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7D4A" w:rsidR="009006C8" w:rsidP="009006C8" w:rsidRDefault="009006C8" w14:paraId="1342ADED" w14:textId="77777777">
      <w:pPr>
        <w:rPr>
          <w:rFonts w:ascii="Verdana" w:hAnsi="Verdana"/>
          <w:lang w:val="es-CO"/>
        </w:rPr>
      </w:pPr>
    </w:p>
    <w:p w:rsidRPr="00C47D4A" w:rsidR="00642725" w:rsidP="005D3CD8" w:rsidRDefault="0075498C" w14:paraId="197595E2" w14:textId="2F3206D4">
      <w:pPr>
        <w:widowControl w:val="0"/>
        <w:autoSpaceDE w:val="0"/>
        <w:autoSpaceDN w:val="0"/>
        <w:jc w:val="center"/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</w:pPr>
      <w:r w:rsidRPr="00C47D4A"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  <w:t>Anexo</w:t>
      </w:r>
      <w:r w:rsidRPr="00C47D4A" w:rsidR="0050798F"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  <w:t xml:space="preserve"> </w:t>
      </w:r>
      <w:r w:rsidRPr="00C47D4A" w:rsidR="005D3CD8"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  <w:t>9</w:t>
      </w:r>
      <w:r w:rsidRPr="00C47D4A" w:rsidR="0050798F"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  <w:t xml:space="preserve"> – Anexo </w:t>
      </w:r>
      <w:r w:rsidRPr="00C47D4A"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  <w:t xml:space="preserve">Técnico </w:t>
      </w:r>
    </w:p>
    <w:p w:rsidRPr="00C47D4A" w:rsidR="00BD4475" w:rsidP="005D3CD8" w:rsidRDefault="00BD4475" w14:paraId="16E0A891" w14:textId="585DA9A9">
      <w:pPr>
        <w:widowControl w:val="0"/>
        <w:autoSpaceDE w:val="0"/>
        <w:autoSpaceDN w:val="0"/>
        <w:jc w:val="center"/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</w:pPr>
      <w:r w:rsidRPr="00C47D4A"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  <w:t xml:space="preserve">Proceso de </w:t>
      </w:r>
      <w:r w:rsidRPr="00C47D4A" w:rsidR="007362A2"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  <w:t>notificación y seguimiento en caso de presunto incumplimiento por el no pago oportuno de parafiscales</w:t>
      </w:r>
    </w:p>
    <w:p w:rsidRPr="00C47D4A" w:rsidR="005D3CD8" w:rsidP="005D3CD8" w:rsidRDefault="005D3CD8" w14:paraId="0BB092AB" w14:textId="77777777">
      <w:pPr>
        <w:widowControl w:val="0"/>
        <w:autoSpaceDE w:val="0"/>
        <w:autoSpaceDN w:val="0"/>
        <w:jc w:val="center"/>
        <w:rPr>
          <w:rFonts w:ascii="Verdana" w:hAnsi="Verdana" w:eastAsia="Arial" w:cs="Arial"/>
          <w:b/>
          <w:bCs/>
          <w:color w:val="auto"/>
          <w:sz w:val="24"/>
          <w:szCs w:val="24"/>
          <w:lang w:eastAsia="es-ES" w:bidi="es-ES"/>
        </w:rPr>
      </w:pPr>
    </w:p>
    <w:p w:rsidRPr="00C47D4A" w:rsidR="00563125" w:rsidP="00563125" w:rsidRDefault="00563125" w14:paraId="40BB820C" w14:textId="77777777">
      <w:pPr>
        <w:jc w:val="center"/>
        <w:rPr>
          <w:rFonts w:ascii="Verdana" w:hAnsi="Verdana"/>
          <w:b/>
          <w:bCs/>
          <w:sz w:val="22"/>
        </w:rPr>
      </w:pPr>
      <w:r w:rsidRPr="00C47D4A">
        <w:rPr>
          <w:rFonts w:ascii="Verdana" w:hAnsi="Verdana"/>
          <w:sz w:val="22"/>
        </w:rPr>
        <w:t xml:space="preserve">Proceso de selección </w:t>
      </w:r>
      <w:r w:rsidRPr="00C47D4A">
        <w:rPr>
          <w:rFonts w:ascii="Verdana" w:hAnsi="Verdana"/>
          <w:b/>
          <w:bCs/>
          <w:sz w:val="22"/>
        </w:rPr>
        <w:t>CCENEG-077-01-2024</w:t>
      </w:r>
    </w:p>
    <w:p w:rsidRPr="00C47D4A" w:rsidR="0075498C" w:rsidP="0075498C" w:rsidRDefault="0075498C" w14:paraId="15115C10" w14:textId="56058357">
      <w:pPr>
        <w:rPr>
          <w:rFonts w:ascii="Verdana" w:hAnsi="Verdana"/>
          <w:sz w:val="24"/>
          <w:szCs w:val="24"/>
          <w:lang w:val="es-CO"/>
        </w:rPr>
      </w:pPr>
    </w:p>
    <w:p w:rsidR="007F5E01" w:rsidRDefault="0075498C" w14:paraId="174B5806" w14:textId="2E9B4D0F">
      <w:pPr>
        <w:pStyle w:val="TDC1"/>
        <w:tabs>
          <w:tab w:val="left" w:pos="600"/>
        </w:tabs>
        <w:rPr>
          <w:rFonts w:asciiTheme="minorHAnsi" w:hAnsiTheme="minorHAnsi" w:eastAsiaTheme="minorEastAsia" w:cstheme="minorBidi"/>
          <w:caps w:val="0"/>
          <w:color w:val="auto"/>
          <w:kern w:val="2"/>
          <w:sz w:val="24"/>
          <w:szCs w:val="24"/>
          <w:lang w:val="es-CO" w:eastAsia="es-MX"/>
          <w14:ligatures w14:val="standardContextual"/>
        </w:rPr>
      </w:pPr>
      <w:r w:rsidRPr="00C47D4A">
        <w:rPr>
          <w:rFonts w:ascii="Verdana" w:hAnsi="Verdana"/>
          <w:b/>
          <w:bCs/>
          <w:lang w:val="es-CO"/>
        </w:rPr>
        <w:fldChar w:fldCharType="begin"/>
      </w:r>
      <w:r w:rsidRPr="00C47D4A">
        <w:rPr>
          <w:rFonts w:ascii="Verdana" w:hAnsi="Verdana"/>
          <w:lang w:val="es-CO"/>
        </w:rPr>
        <w:instrText xml:space="preserve"> TOC \o "1-5" \h \z \u </w:instrText>
      </w:r>
      <w:r w:rsidRPr="00C47D4A">
        <w:rPr>
          <w:rFonts w:ascii="Verdana" w:hAnsi="Verdana"/>
          <w:b/>
          <w:bCs/>
          <w:lang w:val="es-CO"/>
        </w:rPr>
        <w:fldChar w:fldCharType="separate"/>
      </w:r>
      <w:hyperlink w:history="1" w:anchor="_Toc172646610">
        <w:r w:rsidRPr="00F57ACD" w:rsidR="007F5E01">
          <w:rPr>
            <w:rStyle w:val="Hipervnculo"/>
            <w:rFonts w:ascii="Verdana" w:hAnsi="Verdana"/>
            <w:color w:val="011830" w:themeColor="hyperlink" w:themeShade="40"/>
          </w:rPr>
          <w:t>1.</w:t>
        </w:r>
        <w:r w:rsidR="007F5E01">
          <w:rPr>
            <w:rFonts w:asciiTheme="minorHAnsi" w:hAnsiTheme="minorHAnsi" w:eastAsiaTheme="minorEastAsia" w:cstheme="minorBidi"/>
            <w:caps w:val="0"/>
            <w:color w:val="auto"/>
            <w:kern w:val="2"/>
            <w:sz w:val="24"/>
            <w:szCs w:val="24"/>
            <w:lang w:val="es-CO" w:eastAsia="es-MX"/>
            <w14:ligatures w14:val="standardContextual"/>
          </w:rPr>
          <w:tab/>
        </w:r>
        <w:r w:rsidRPr="00F57ACD" w:rsidR="007F5E01">
          <w:rPr>
            <w:rStyle w:val="Hipervnculo"/>
            <w:rFonts w:ascii="Verdana" w:hAnsi="Verdana"/>
            <w:color w:val="011830" w:themeColor="hyperlink" w:themeShade="40"/>
          </w:rPr>
          <w:t>INTRODUCCIÓN</w:t>
        </w:r>
        <w:r w:rsidR="007F5E01">
          <w:rPr>
            <w:webHidden/>
          </w:rPr>
          <w:tab/>
        </w:r>
        <w:r w:rsidR="007F5E01">
          <w:rPr>
            <w:webHidden/>
          </w:rPr>
          <w:fldChar w:fldCharType="begin"/>
        </w:r>
        <w:r w:rsidR="007F5E01">
          <w:rPr>
            <w:webHidden/>
          </w:rPr>
          <w:instrText xml:space="preserve"> PAGEREF _Toc172646610 \h </w:instrText>
        </w:r>
        <w:r w:rsidR="007F5E01">
          <w:rPr>
            <w:webHidden/>
          </w:rPr>
        </w:r>
        <w:r w:rsidR="007F5E01">
          <w:rPr>
            <w:webHidden/>
          </w:rPr>
          <w:fldChar w:fldCharType="separate"/>
        </w:r>
        <w:r w:rsidR="007F5E01">
          <w:rPr>
            <w:webHidden/>
          </w:rPr>
          <w:t>2</w:t>
        </w:r>
        <w:r w:rsidR="007F5E01">
          <w:rPr>
            <w:webHidden/>
          </w:rPr>
          <w:fldChar w:fldCharType="end"/>
        </w:r>
      </w:hyperlink>
    </w:p>
    <w:p w:rsidR="007F5E01" w:rsidRDefault="00054A5B" w14:paraId="407C9DA5" w14:textId="23A49DA8">
      <w:pPr>
        <w:pStyle w:val="TDC1"/>
        <w:tabs>
          <w:tab w:val="left" w:pos="600"/>
        </w:tabs>
        <w:rPr>
          <w:rFonts w:asciiTheme="minorHAnsi" w:hAnsiTheme="minorHAnsi" w:eastAsiaTheme="minorEastAsia" w:cstheme="minorBidi"/>
          <w:caps w:val="0"/>
          <w:color w:val="auto"/>
          <w:kern w:val="2"/>
          <w:sz w:val="24"/>
          <w:szCs w:val="24"/>
          <w:lang w:val="es-CO" w:eastAsia="es-MX"/>
          <w14:ligatures w14:val="standardContextual"/>
        </w:rPr>
      </w:pPr>
      <w:hyperlink w:history="1" w:anchor="_Toc172646611">
        <w:r w:rsidRPr="00F57ACD" w:rsidR="007F5E01">
          <w:rPr>
            <w:rStyle w:val="Hipervnculo"/>
            <w:rFonts w:ascii="Verdana" w:hAnsi="Verdana"/>
            <w:color w:val="011830" w:themeColor="hyperlink" w:themeShade="40"/>
          </w:rPr>
          <w:t>2.</w:t>
        </w:r>
        <w:r w:rsidR="007F5E01">
          <w:rPr>
            <w:rFonts w:asciiTheme="minorHAnsi" w:hAnsiTheme="minorHAnsi" w:eastAsiaTheme="minorEastAsia" w:cstheme="minorBidi"/>
            <w:caps w:val="0"/>
            <w:color w:val="auto"/>
            <w:kern w:val="2"/>
            <w:sz w:val="24"/>
            <w:szCs w:val="24"/>
            <w:lang w:val="es-CO" w:eastAsia="es-MX"/>
            <w14:ligatures w14:val="standardContextual"/>
          </w:rPr>
          <w:tab/>
        </w:r>
        <w:r w:rsidRPr="00F57ACD" w:rsidR="007F5E01">
          <w:rPr>
            <w:rStyle w:val="Hipervnculo"/>
            <w:rFonts w:ascii="Verdana" w:hAnsi="Verdana"/>
            <w:color w:val="011830" w:themeColor="hyperlink" w:themeShade="40"/>
          </w:rPr>
          <w:t>ACCIONES</w:t>
        </w:r>
        <w:r w:rsidR="007F5E01">
          <w:rPr>
            <w:webHidden/>
          </w:rPr>
          <w:tab/>
        </w:r>
        <w:r w:rsidR="007F5E01">
          <w:rPr>
            <w:webHidden/>
          </w:rPr>
          <w:fldChar w:fldCharType="begin"/>
        </w:r>
        <w:r w:rsidR="007F5E01">
          <w:rPr>
            <w:webHidden/>
          </w:rPr>
          <w:instrText xml:space="preserve"> PAGEREF _Toc172646611 \h </w:instrText>
        </w:r>
        <w:r w:rsidR="007F5E01">
          <w:rPr>
            <w:webHidden/>
          </w:rPr>
        </w:r>
        <w:r w:rsidR="007F5E01">
          <w:rPr>
            <w:webHidden/>
          </w:rPr>
          <w:fldChar w:fldCharType="separate"/>
        </w:r>
        <w:r w:rsidR="007F5E01">
          <w:rPr>
            <w:webHidden/>
          </w:rPr>
          <w:t>2</w:t>
        </w:r>
        <w:r w:rsidR="007F5E01">
          <w:rPr>
            <w:webHidden/>
          </w:rPr>
          <w:fldChar w:fldCharType="end"/>
        </w:r>
      </w:hyperlink>
    </w:p>
    <w:p w:rsidR="007F5E01" w:rsidRDefault="00054A5B" w14:paraId="07B89704" w14:textId="3677766B">
      <w:pPr>
        <w:pStyle w:val="TDC1"/>
        <w:tabs>
          <w:tab w:val="left" w:pos="600"/>
        </w:tabs>
        <w:rPr>
          <w:rFonts w:asciiTheme="minorHAnsi" w:hAnsiTheme="minorHAnsi" w:eastAsiaTheme="minorEastAsia" w:cstheme="minorBidi"/>
          <w:caps w:val="0"/>
          <w:color w:val="auto"/>
          <w:kern w:val="2"/>
          <w:sz w:val="24"/>
          <w:szCs w:val="24"/>
          <w:lang w:val="es-CO" w:eastAsia="es-MX"/>
          <w14:ligatures w14:val="standardContextual"/>
        </w:rPr>
      </w:pPr>
      <w:hyperlink w:history="1" w:anchor="_Toc172646612">
        <w:r w:rsidRPr="00F57ACD" w:rsidR="007F5E01">
          <w:rPr>
            <w:rStyle w:val="Hipervnculo"/>
            <w:rFonts w:ascii="Verdana" w:hAnsi="Verdana"/>
            <w:color w:val="011830" w:themeColor="hyperlink" w:themeShade="40"/>
          </w:rPr>
          <w:t>3.</w:t>
        </w:r>
        <w:r w:rsidR="007F5E01">
          <w:rPr>
            <w:rFonts w:asciiTheme="minorHAnsi" w:hAnsiTheme="minorHAnsi" w:eastAsiaTheme="minorEastAsia" w:cstheme="minorBidi"/>
            <w:caps w:val="0"/>
            <w:color w:val="auto"/>
            <w:kern w:val="2"/>
            <w:sz w:val="24"/>
            <w:szCs w:val="24"/>
            <w:lang w:val="es-CO" w:eastAsia="es-MX"/>
            <w14:ligatures w14:val="standardContextual"/>
          </w:rPr>
          <w:tab/>
        </w:r>
        <w:r w:rsidRPr="00F57ACD" w:rsidR="007F5E01">
          <w:rPr>
            <w:rStyle w:val="Hipervnculo"/>
            <w:rFonts w:ascii="Verdana" w:hAnsi="Verdana"/>
            <w:color w:val="011830" w:themeColor="hyperlink" w:themeShade="40"/>
          </w:rPr>
          <w:t>SEGUIMIENTOS</w:t>
        </w:r>
        <w:r w:rsidR="007F5E01">
          <w:rPr>
            <w:webHidden/>
          </w:rPr>
          <w:tab/>
        </w:r>
        <w:r w:rsidR="007F5E01">
          <w:rPr>
            <w:webHidden/>
          </w:rPr>
          <w:fldChar w:fldCharType="begin"/>
        </w:r>
        <w:r w:rsidR="007F5E01">
          <w:rPr>
            <w:webHidden/>
          </w:rPr>
          <w:instrText xml:space="preserve"> PAGEREF _Toc172646612 \h </w:instrText>
        </w:r>
        <w:r w:rsidR="007F5E01">
          <w:rPr>
            <w:webHidden/>
          </w:rPr>
        </w:r>
        <w:r w:rsidR="007F5E01">
          <w:rPr>
            <w:webHidden/>
          </w:rPr>
          <w:fldChar w:fldCharType="separate"/>
        </w:r>
        <w:r w:rsidR="007F5E01">
          <w:rPr>
            <w:webHidden/>
          </w:rPr>
          <w:t>3</w:t>
        </w:r>
        <w:r w:rsidR="007F5E01">
          <w:rPr>
            <w:webHidden/>
          </w:rPr>
          <w:fldChar w:fldCharType="end"/>
        </w:r>
      </w:hyperlink>
    </w:p>
    <w:p w:rsidRPr="00C47D4A" w:rsidR="0075498C" w:rsidP="0075498C" w:rsidRDefault="0075498C" w14:paraId="2C8C7CEB" w14:textId="4F862049">
      <w:pPr>
        <w:rPr>
          <w:rFonts w:ascii="Verdana" w:hAnsi="Verdana"/>
          <w:lang w:val="es-CO"/>
        </w:rPr>
      </w:pPr>
      <w:r w:rsidRPr="00C47D4A">
        <w:rPr>
          <w:rFonts w:ascii="Verdana" w:hAnsi="Verdana"/>
          <w:lang w:val="es-CO"/>
        </w:rPr>
        <w:fldChar w:fldCharType="end"/>
      </w:r>
    </w:p>
    <w:p w:rsidRPr="00C47D4A" w:rsidR="0075498C" w:rsidP="0075498C" w:rsidRDefault="0075498C" w14:paraId="52A880C6" w14:textId="25610685">
      <w:pPr>
        <w:rPr>
          <w:rFonts w:ascii="Verdana" w:hAnsi="Verdana"/>
          <w:lang w:val="es-CO"/>
        </w:rPr>
      </w:pPr>
    </w:p>
    <w:p w:rsidRPr="00C47D4A" w:rsidR="003777A0" w:rsidP="0020587D" w:rsidRDefault="003777A0" w14:paraId="1D31E39E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01EAD355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05331A57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7D10900B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7967282B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2688E567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4FFA5E9C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2093E896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1129D913" w14:textId="1121BC6C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56463E38" w14:textId="5FCDD304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76253723" w14:textId="0CC12F22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6A39D0BD" w14:textId="4709D500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5F3D41E1" w14:textId="72DDECA5">
      <w:pPr>
        <w:rPr>
          <w:rFonts w:ascii="Verdana" w:hAnsi="Verdana"/>
          <w:sz w:val="22"/>
          <w:lang w:val="es-CO"/>
        </w:rPr>
      </w:pPr>
    </w:p>
    <w:p w:rsidRPr="00C47D4A" w:rsidR="00D249C2" w:rsidP="00B323CF" w:rsidRDefault="00D249C2" w14:paraId="46CC62E3" w14:textId="29FA7C80">
      <w:pPr>
        <w:rPr>
          <w:rFonts w:ascii="Verdana" w:hAnsi="Verdana"/>
          <w:sz w:val="22"/>
          <w:lang w:val="es-CO"/>
        </w:rPr>
      </w:pPr>
    </w:p>
    <w:p w:rsidRPr="00C47D4A" w:rsidR="00D249C2" w:rsidP="00B323CF" w:rsidRDefault="00D249C2" w14:paraId="098712C5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689C5C67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068DC169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7A716DC6" w14:textId="77777777">
      <w:pPr>
        <w:rPr>
          <w:rFonts w:ascii="Verdana" w:hAnsi="Verdana"/>
          <w:sz w:val="22"/>
          <w:lang w:val="es-CO"/>
        </w:rPr>
      </w:pPr>
    </w:p>
    <w:p w:rsidRPr="00C47D4A" w:rsidR="00B323CF" w:rsidP="00B323CF" w:rsidRDefault="00B323CF" w14:paraId="616CEDE9" w14:textId="77777777">
      <w:pPr>
        <w:rPr>
          <w:rFonts w:ascii="Verdana" w:hAnsi="Verdana"/>
          <w:color w:val="002060"/>
          <w:sz w:val="28"/>
          <w:szCs w:val="28"/>
        </w:rPr>
      </w:pPr>
    </w:p>
    <w:p w:rsidRPr="00C47D4A" w:rsidR="00D249C2" w:rsidP="00B323CF" w:rsidRDefault="00D249C2" w14:paraId="4A2A6F7A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BD4475" w:rsidP="00B323CF" w:rsidRDefault="00BD4475" w14:paraId="477DC257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CB1901" w:rsidP="00B323CF" w:rsidRDefault="00CB1901" w14:paraId="4430E124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CB1901" w:rsidP="00B323CF" w:rsidRDefault="00CB1901" w14:paraId="2296D9AB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CB1901" w:rsidP="00B323CF" w:rsidRDefault="00CB1901" w14:paraId="1B4E4A79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CB1901" w:rsidP="00B323CF" w:rsidRDefault="00CB1901" w14:paraId="7EE8CDE3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CB1901" w:rsidP="00B323CF" w:rsidRDefault="00CB1901" w14:paraId="6A03BCC0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CB1901" w:rsidP="00B323CF" w:rsidRDefault="00CB1901" w14:paraId="6B659CB4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CB1901" w:rsidP="00B323CF" w:rsidRDefault="00CB1901" w14:paraId="20CF3E32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CB1901" w:rsidP="00B323CF" w:rsidRDefault="00CB1901" w14:paraId="7B2707BB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BD4475" w:rsidP="00B323CF" w:rsidRDefault="00BD4475" w14:paraId="025719CA" w14:textId="77777777">
      <w:pPr>
        <w:rPr>
          <w:rFonts w:ascii="Verdana" w:hAnsi="Verdana"/>
          <w:color w:val="002060"/>
          <w:sz w:val="24"/>
          <w:szCs w:val="24"/>
        </w:rPr>
      </w:pPr>
    </w:p>
    <w:p w:rsidRPr="00C47D4A" w:rsidR="0075498C" w:rsidP="00517C2B" w:rsidRDefault="0012252F" w14:paraId="7D12B88E" w14:textId="342ACE6E">
      <w:pPr>
        <w:pStyle w:val="Ttulo1"/>
        <w:rPr>
          <w:rFonts w:ascii="Verdana" w:hAnsi="Verdana"/>
          <w:color w:val="3B3838" w:themeColor="background2" w:themeShade="40"/>
        </w:rPr>
      </w:pPr>
      <w:bookmarkStart w:name="_Toc172646610" w:id="0"/>
      <w:r w:rsidRPr="00C47D4A">
        <w:rPr>
          <w:rFonts w:ascii="Verdana" w:hAnsi="Verdana"/>
          <w:color w:val="3B3838" w:themeColor="background2" w:themeShade="40"/>
        </w:rPr>
        <w:t>INTRODUCCIÓN</w:t>
      </w:r>
      <w:bookmarkEnd w:id="0"/>
    </w:p>
    <w:p w:rsidRPr="00C47D4A" w:rsidR="0075498C" w:rsidP="0075498C" w:rsidRDefault="0075498C" w14:paraId="188F5F18" w14:textId="4F3FE61F">
      <w:pPr>
        <w:rPr>
          <w:rFonts w:ascii="Verdana" w:hAnsi="Verdana"/>
          <w:lang w:val="es-CO"/>
        </w:rPr>
      </w:pPr>
    </w:p>
    <w:p w:rsidRPr="00C47D4A" w:rsidR="00E829E5" w:rsidP="0075498C" w:rsidRDefault="0075498C" w14:paraId="31A6A720" w14:textId="725A78C1">
      <w:p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 xml:space="preserve">El presente documento tiene como </w:t>
      </w:r>
      <w:r w:rsidRPr="00C47D4A" w:rsidR="001740E1">
        <w:rPr>
          <w:rFonts w:ascii="Verdana" w:hAnsi="Verdana"/>
          <w:sz w:val="22"/>
          <w:lang w:val="es-CO"/>
        </w:rPr>
        <w:t>objeto</w:t>
      </w:r>
      <w:r w:rsidRPr="00C47D4A" w:rsidR="00C45452">
        <w:rPr>
          <w:rFonts w:ascii="Verdana" w:hAnsi="Verdana"/>
          <w:sz w:val="22"/>
          <w:lang w:val="es-CO"/>
        </w:rPr>
        <w:t xml:space="preserve">, establecer </w:t>
      </w:r>
      <w:r w:rsidRPr="00C47D4A" w:rsidR="00801C62">
        <w:rPr>
          <w:rFonts w:ascii="Verdana" w:hAnsi="Verdana"/>
          <w:sz w:val="22"/>
          <w:lang w:val="es-CO"/>
        </w:rPr>
        <w:t xml:space="preserve">las especificaciones técnicas establecidas entre Colombia Compra Eficiente y la </w:t>
      </w:r>
      <w:r w:rsidRPr="00C47D4A" w:rsidR="001120D6">
        <w:rPr>
          <w:rFonts w:ascii="Verdana" w:hAnsi="Verdana"/>
          <w:sz w:val="22"/>
          <w:lang w:val="es-CO"/>
        </w:rPr>
        <w:t>Unidad de Gestión Pensional y Parafiscales,</w:t>
      </w:r>
      <w:r w:rsidRPr="00C47D4A">
        <w:rPr>
          <w:rFonts w:ascii="Verdana" w:hAnsi="Verdana"/>
          <w:sz w:val="22"/>
          <w:lang w:val="es-CO"/>
        </w:rPr>
        <w:t xml:space="preserve"> </w:t>
      </w:r>
      <w:r w:rsidRPr="00C47D4A" w:rsidR="00C513EE">
        <w:rPr>
          <w:rFonts w:ascii="Verdana" w:hAnsi="Verdana"/>
          <w:sz w:val="22"/>
          <w:lang w:val="es-CO"/>
        </w:rPr>
        <w:t>en virtud de la quinta generación del Acuerdo Marco para la prestación d</w:t>
      </w:r>
      <w:r w:rsidRPr="00C47D4A" w:rsidR="0076739E">
        <w:rPr>
          <w:rFonts w:ascii="Verdana" w:hAnsi="Verdana"/>
          <w:sz w:val="22"/>
          <w:lang w:val="es-CO"/>
        </w:rPr>
        <w:t>el</w:t>
      </w:r>
      <w:r w:rsidRPr="00C47D4A">
        <w:rPr>
          <w:rFonts w:ascii="Verdana" w:hAnsi="Verdana"/>
          <w:sz w:val="22"/>
          <w:lang w:val="es-CO"/>
        </w:rPr>
        <w:t xml:space="preserve"> </w:t>
      </w:r>
      <w:r w:rsidRPr="00C47D4A" w:rsidR="0076739E">
        <w:rPr>
          <w:rFonts w:ascii="Verdana" w:hAnsi="Verdana"/>
          <w:sz w:val="22"/>
          <w:lang w:val="es-CO"/>
        </w:rPr>
        <w:t>Servicio Integral de Aseo y Cafetería</w:t>
      </w:r>
      <w:r w:rsidRPr="00C47D4A" w:rsidR="00C513EE">
        <w:rPr>
          <w:rFonts w:ascii="Verdana" w:hAnsi="Verdana"/>
          <w:sz w:val="22"/>
          <w:lang w:val="es-CO"/>
        </w:rPr>
        <w:t xml:space="preserve">, </w:t>
      </w:r>
      <w:r w:rsidRPr="00C47D4A" w:rsidR="00F027A4">
        <w:rPr>
          <w:rFonts w:ascii="Verdana" w:hAnsi="Verdana"/>
          <w:sz w:val="22"/>
          <w:lang w:val="es-CO"/>
        </w:rPr>
        <w:t xml:space="preserve">con el ánimo de velar por el pago oportuno de </w:t>
      </w:r>
      <w:r w:rsidRPr="00C47D4A" w:rsidR="00ED72AB">
        <w:rPr>
          <w:rFonts w:ascii="Verdana" w:hAnsi="Verdana"/>
          <w:sz w:val="22"/>
          <w:lang w:val="es-CO"/>
        </w:rPr>
        <w:t>todo el personal que hace parte de dicha prestación,</w:t>
      </w:r>
      <w:r w:rsidRPr="00C47D4A" w:rsidR="00AF29E0">
        <w:rPr>
          <w:rFonts w:ascii="Verdana" w:hAnsi="Verdana"/>
          <w:sz w:val="22"/>
          <w:lang w:val="es-CO"/>
        </w:rPr>
        <w:t xml:space="preserve"> en el desarrollo de</w:t>
      </w:r>
      <w:r w:rsidRPr="00C47D4A" w:rsidR="00ED72AB">
        <w:rPr>
          <w:rFonts w:ascii="Verdana" w:hAnsi="Verdana"/>
          <w:sz w:val="22"/>
          <w:lang w:val="es-CO"/>
        </w:rPr>
        <w:t xml:space="preserve"> las órdenes de compra durante</w:t>
      </w:r>
      <w:r w:rsidRPr="00C47D4A" w:rsidR="00AF29E0">
        <w:rPr>
          <w:rFonts w:ascii="Verdana" w:hAnsi="Verdana"/>
          <w:sz w:val="22"/>
          <w:lang w:val="es-CO"/>
        </w:rPr>
        <w:t xml:space="preserve"> la operación secundaria.</w:t>
      </w:r>
    </w:p>
    <w:p w:rsidRPr="00C47D4A" w:rsidR="009B60E4" w:rsidP="00E829E5" w:rsidRDefault="009B60E4" w14:paraId="78D10012" w14:textId="77777777">
      <w:pPr>
        <w:rPr>
          <w:rFonts w:ascii="Verdana" w:hAnsi="Verdana"/>
          <w:sz w:val="22"/>
          <w:lang w:val="es-CO"/>
        </w:rPr>
      </w:pPr>
    </w:p>
    <w:p w:rsidRPr="00C47D4A" w:rsidR="009234F9" w:rsidP="00574341" w:rsidRDefault="00574341" w14:paraId="4C8BDAEC" w14:textId="34D8EB49">
      <w:p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>La Dirección de Parafiscales es la encargada de dirigir y coordinar las acciones requeridas para el desarrollo de un sistema integrado</w:t>
      </w:r>
      <w:r w:rsidRPr="00C47D4A" w:rsidR="00531D3F">
        <w:rPr>
          <w:rFonts w:ascii="Verdana" w:hAnsi="Verdana"/>
          <w:sz w:val="22"/>
          <w:lang w:val="es-CO"/>
        </w:rPr>
        <w:t xml:space="preserve">, </w:t>
      </w:r>
      <w:r w:rsidRPr="00C47D4A">
        <w:rPr>
          <w:rFonts w:ascii="Verdana" w:hAnsi="Verdana"/>
          <w:sz w:val="22"/>
          <w:lang w:val="es-CO"/>
        </w:rPr>
        <w:t xml:space="preserve">es responsable de la ejecución de las acciones de determinación y cobro </w:t>
      </w:r>
      <w:r w:rsidRPr="00C47D4A" w:rsidR="00531D3F">
        <w:rPr>
          <w:rFonts w:ascii="Verdana" w:hAnsi="Verdana"/>
          <w:sz w:val="22"/>
          <w:lang w:val="es-CO"/>
        </w:rPr>
        <w:t>y</w:t>
      </w:r>
      <w:r w:rsidRPr="00C47D4A">
        <w:rPr>
          <w:rFonts w:ascii="Verdana" w:hAnsi="Verdana"/>
          <w:sz w:val="22"/>
          <w:lang w:val="es-CO"/>
        </w:rPr>
        <w:t xml:space="preserve"> opera a través de tres subdirecciones: Subdirección de Integración, Subdirección de Determinación de Obligaciones y Subdirección de Cobranzas.</w:t>
      </w:r>
    </w:p>
    <w:p w:rsidRPr="00C47D4A" w:rsidR="00E829E5" w:rsidP="00E829E5" w:rsidRDefault="00E829E5" w14:paraId="71FD634D" w14:textId="77777777">
      <w:pPr>
        <w:rPr>
          <w:rFonts w:ascii="Verdana" w:hAnsi="Verdana"/>
          <w:sz w:val="22"/>
          <w:lang w:val="es-CO"/>
        </w:rPr>
      </w:pPr>
    </w:p>
    <w:p w:rsidRPr="00C47D4A" w:rsidR="002365FF" w:rsidP="000541B8" w:rsidRDefault="00E829E5" w14:paraId="668DF8E1" w14:textId="5B98F2DE">
      <w:p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 xml:space="preserve">A través de mesas de trabajo, Colombia Compra Eficiente junto con </w:t>
      </w:r>
      <w:r w:rsidRPr="00C47D4A" w:rsidR="00420DDD">
        <w:rPr>
          <w:rFonts w:ascii="Verdana" w:hAnsi="Verdana"/>
          <w:sz w:val="22"/>
          <w:lang w:val="es-CO"/>
        </w:rPr>
        <w:t>la Dirección de Parafiscales</w:t>
      </w:r>
      <w:r w:rsidRPr="00C47D4A">
        <w:rPr>
          <w:rFonts w:ascii="Verdana" w:hAnsi="Verdana"/>
          <w:sz w:val="22"/>
          <w:lang w:val="es-CO"/>
        </w:rPr>
        <w:t xml:space="preserve"> identificó la posibilidad de </w:t>
      </w:r>
      <w:r w:rsidRPr="00C47D4A" w:rsidR="00AE30C8">
        <w:rPr>
          <w:rFonts w:ascii="Verdana" w:hAnsi="Verdana"/>
          <w:sz w:val="22"/>
          <w:lang w:val="es-CO"/>
        </w:rPr>
        <w:t xml:space="preserve">realizar acciones conjuntas que incluyan </w:t>
      </w:r>
      <w:r w:rsidRPr="00C47D4A" w:rsidR="009C029B">
        <w:rPr>
          <w:rFonts w:ascii="Verdana" w:hAnsi="Verdana"/>
          <w:sz w:val="22"/>
          <w:lang w:val="es-CO"/>
        </w:rPr>
        <w:t xml:space="preserve">actividades persuasivas e incluso sanciones que permitan mitigar la situación descrita, orientadas a que los y las operarias que hacen parte del Acuerdo Marco gocen de todas las garantías legales </w:t>
      </w:r>
      <w:r w:rsidRPr="00C47D4A" w:rsidR="00755C4C">
        <w:rPr>
          <w:rFonts w:ascii="Verdana" w:hAnsi="Verdana"/>
          <w:sz w:val="22"/>
          <w:lang w:val="es-CO"/>
        </w:rPr>
        <w:t>en el desarrollo de las órdenes de compra.</w:t>
      </w:r>
    </w:p>
    <w:p w:rsidRPr="00C47D4A" w:rsidR="00B101A4" w:rsidP="009E45C3" w:rsidRDefault="00B101A4" w14:paraId="71CE49E3" w14:textId="77777777">
      <w:pPr>
        <w:rPr>
          <w:rFonts w:ascii="Verdana" w:hAnsi="Verdana"/>
          <w:sz w:val="22"/>
          <w:lang w:val="es-CO"/>
        </w:rPr>
      </w:pPr>
    </w:p>
    <w:p w:rsidRPr="00C47D4A" w:rsidR="00D867B8" w:rsidP="00D867B8" w:rsidRDefault="00C513EE" w14:paraId="5148FD52" w14:textId="1D8211C2">
      <w:pPr>
        <w:pStyle w:val="Ttulo1"/>
        <w:rPr>
          <w:rFonts w:ascii="Verdana" w:hAnsi="Verdana"/>
          <w:color w:val="3B3838" w:themeColor="background2" w:themeShade="40"/>
        </w:rPr>
      </w:pPr>
      <w:bookmarkStart w:name="_Toc172646611" w:id="1"/>
      <w:r w:rsidRPr="00C47D4A">
        <w:rPr>
          <w:rFonts w:ascii="Verdana" w:hAnsi="Verdana"/>
          <w:color w:val="3B3838" w:themeColor="background2" w:themeShade="40"/>
        </w:rPr>
        <w:t>ACCIONES</w:t>
      </w:r>
      <w:bookmarkEnd w:id="1"/>
    </w:p>
    <w:p w:rsidRPr="00C47D4A" w:rsidR="00D867B8" w:rsidP="009E45C3" w:rsidRDefault="00D867B8" w14:paraId="27C6C032" w14:textId="77777777">
      <w:pPr>
        <w:rPr>
          <w:rFonts w:ascii="Verdana" w:hAnsi="Verdana"/>
          <w:sz w:val="22"/>
          <w:lang w:val="es-CO"/>
        </w:rPr>
      </w:pPr>
    </w:p>
    <w:p w:rsidRPr="00FB1ED6" w:rsidR="00022F31" w:rsidP="0012252F" w:rsidRDefault="00022F31" w14:paraId="1AEB1B73" w14:textId="7277E71E">
      <w:pPr>
        <w:rPr>
          <w:rFonts w:ascii="Verdana" w:hAnsi="Verdana"/>
          <w:b/>
          <w:bCs/>
          <w:color w:val="3B3838" w:themeColor="background2" w:themeShade="40"/>
          <w:sz w:val="22"/>
          <w:lang w:val="es-CO"/>
        </w:rPr>
      </w:pPr>
      <w:r w:rsidRPr="00FB1ED6">
        <w:rPr>
          <w:rFonts w:ascii="Verdana" w:hAnsi="Verdana"/>
          <w:b/>
          <w:bCs/>
          <w:color w:val="3B3838" w:themeColor="background2" w:themeShade="40"/>
          <w:sz w:val="22"/>
          <w:lang w:val="es-CO"/>
        </w:rPr>
        <w:t>Capacitaciones:</w:t>
      </w:r>
    </w:p>
    <w:p w:rsidR="00037166" w:rsidP="0012252F" w:rsidRDefault="00037166" w14:paraId="0636E898" w14:textId="77777777">
      <w:pPr>
        <w:rPr>
          <w:rFonts w:ascii="Verdana" w:hAnsi="Verdana"/>
          <w:sz w:val="22"/>
          <w:lang w:val="es-CO"/>
        </w:rPr>
      </w:pPr>
    </w:p>
    <w:p w:rsidRPr="007B5B84" w:rsidR="007B5B84" w:rsidP="007B5B84" w:rsidRDefault="007B5B84" w14:paraId="53C5DE6C" w14:textId="77777777">
      <w:pPr>
        <w:numPr>
          <w:ilvl w:val="0"/>
          <w:numId w:val="46"/>
        </w:numPr>
        <w:rPr>
          <w:rFonts w:ascii="Verdana" w:hAnsi="Verdana"/>
          <w:sz w:val="22"/>
          <w:lang w:val="es-CO"/>
        </w:rPr>
      </w:pPr>
      <w:r w:rsidRPr="007B5B84">
        <w:rPr>
          <w:rFonts w:ascii="Verdana" w:hAnsi="Verdana"/>
          <w:sz w:val="22"/>
          <w:lang w:val="es-CO"/>
        </w:rPr>
        <w:t>Establecer la posibilidad de incluir un proceso para iniciar procesos de fiscalización</w:t>
      </w:r>
    </w:p>
    <w:p w:rsidRPr="007B5B84" w:rsidR="007B5B84" w:rsidP="007B5B84" w:rsidRDefault="007B5B84" w14:paraId="68F2A8ED" w14:textId="77777777">
      <w:pPr>
        <w:numPr>
          <w:ilvl w:val="0"/>
          <w:numId w:val="46"/>
        </w:numPr>
        <w:rPr>
          <w:rFonts w:ascii="Verdana" w:hAnsi="Verdana"/>
          <w:sz w:val="22"/>
          <w:lang w:val="es-CO"/>
        </w:rPr>
      </w:pPr>
      <w:r w:rsidRPr="007B5B84">
        <w:rPr>
          <w:rFonts w:ascii="Verdana" w:hAnsi="Verdana"/>
          <w:sz w:val="22"/>
          <w:lang w:val="es-CO"/>
        </w:rPr>
        <w:t>Considerar un ponderable para proponentes reportados por el área de cobranza de la UGPP.</w:t>
      </w:r>
    </w:p>
    <w:p w:rsidRPr="00C47D4A" w:rsidR="007B5B84" w:rsidP="0012252F" w:rsidRDefault="007B5B84" w14:paraId="446C6F00" w14:textId="77777777">
      <w:pPr>
        <w:rPr>
          <w:rFonts w:ascii="Verdana" w:hAnsi="Verdana"/>
          <w:sz w:val="22"/>
          <w:lang w:val="es-CO"/>
        </w:rPr>
      </w:pPr>
    </w:p>
    <w:p w:rsidRPr="00C47D4A" w:rsidR="00037166" w:rsidP="0012252F" w:rsidRDefault="000C2570" w14:paraId="52889B74" w14:textId="0E5BE22B">
      <w:p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>La Subdirección de Negocios junto con la Dirección de Parafiscales, realizará</w:t>
      </w:r>
      <w:r w:rsidRPr="00C47D4A" w:rsidR="0094620A">
        <w:rPr>
          <w:rFonts w:ascii="Verdana" w:hAnsi="Verdana"/>
          <w:sz w:val="22"/>
          <w:lang w:val="es-CO"/>
        </w:rPr>
        <w:t xml:space="preserve">n capacitaciones </w:t>
      </w:r>
      <w:r w:rsidRPr="00C47D4A" w:rsidR="00A84ED7">
        <w:rPr>
          <w:rFonts w:ascii="Verdana" w:hAnsi="Verdana"/>
          <w:sz w:val="22"/>
          <w:lang w:val="es-CO"/>
        </w:rPr>
        <w:t>en los siguientes tiempos:</w:t>
      </w:r>
    </w:p>
    <w:p w:rsidRPr="00C47D4A" w:rsidR="00987E64" w:rsidP="0012252F" w:rsidRDefault="00987E64" w14:paraId="170A0956" w14:textId="77777777">
      <w:pPr>
        <w:rPr>
          <w:rFonts w:ascii="Verdana" w:hAnsi="Verdana"/>
          <w:sz w:val="22"/>
          <w:lang w:val="es-CO"/>
        </w:rPr>
      </w:pPr>
    </w:p>
    <w:p w:rsidRPr="00C47D4A" w:rsidR="00987E64" w:rsidP="00987E64" w:rsidRDefault="00A84ED7" w14:paraId="7626F48C" w14:textId="7D97E421">
      <w:pPr>
        <w:pStyle w:val="Prrafodelista"/>
        <w:numPr>
          <w:ilvl w:val="0"/>
          <w:numId w:val="42"/>
        </w:num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>Proveedores adjudicado</w:t>
      </w:r>
      <w:r w:rsidR="00BD73F1">
        <w:rPr>
          <w:rFonts w:ascii="Verdana" w:hAnsi="Verdana"/>
          <w:sz w:val="22"/>
          <w:lang w:val="es-CO"/>
        </w:rPr>
        <w:t>s</w:t>
      </w:r>
      <w:r w:rsidRPr="00C47D4A">
        <w:rPr>
          <w:rFonts w:ascii="Verdana" w:hAnsi="Verdana"/>
          <w:sz w:val="22"/>
          <w:lang w:val="es-CO"/>
        </w:rPr>
        <w:t>: al segundo mes de operación del Acuerdo Marco de Precios</w:t>
      </w:r>
    </w:p>
    <w:p w:rsidR="00022F31" w:rsidP="0012252F" w:rsidRDefault="00A84ED7" w14:paraId="48C70FAD" w14:textId="07DA0309">
      <w:pPr>
        <w:pStyle w:val="Prrafodelista"/>
        <w:numPr>
          <w:ilvl w:val="0"/>
          <w:numId w:val="42"/>
        </w:num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 xml:space="preserve">Entidades Compradoras: cada seis (6) meses </w:t>
      </w:r>
      <w:r w:rsidRPr="00C47D4A" w:rsidR="00B450B0">
        <w:rPr>
          <w:rFonts w:ascii="Verdana" w:hAnsi="Verdana"/>
          <w:sz w:val="22"/>
          <w:lang w:val="es-CO"/>
        </w:rPr>
        <w:t>durante toda la operación del Acuerdo Marco de Precios</w:t>
      </w:r>
    </w:p>
    <w:p w:rsidR="002266F4" w:rsidP="002266F4" w:rsidRDefault="002266F4" w14:paraId="32ECABED" w14:textId="77777777">
      <w:pPr>
        <w:rPr>
          <w:rFonts w:ascii="Verdana" w:hAnsi="Verdana"/>
          <w:sz w:val="22"/>
          <w:lang w:val="es-CO"/>
        </w:rPr>
      </w:pPr>
    </w:p>
    <w:p w:rsidRPr="00FB1ED6" w:rsidR="002266F4" w:rsidP="002266F4" w:rsidRDefault="00915BD6" w14:paraId="7B0A11CE" w14:textId="6DCD98E9">
      <w:pPr>
        <w:rPr>
          <w:rFonts w:ascii="Verdana" w:hAnsi="Verdana"/>
          <w:b/>
          <w:bCs/>
          <w:color w:val="3B3838" w:themeColor="background2" w:themeShade="40"/>
          <w:sz w:val="22"/>
          <w:lang w:val="es-CO"/>
        </w:rPr>
      </w:pPr>
      <w:r w:rsidRPr="00FB1ED6">
        <w:rPr>
          <w:rFonts w:ascii="Verdana" w:hAnsi="Verdana"/>
          <w:b/>
          <w:bCs/>
          <w:color w:val="3B3838" w:themeColor="background2" w:themeShade="40"/>
          <w:sz w:val="22"/>
          <w:lang w:val="es-CO"/>
        </w:rPr>
        <w:t>Líneas</w:t>
      </w:r>
      <w:r w:rsidRPr="00FB1ED6" w:rsidR="006D669F">
        <w:rPr>
          <w:rFonts w:ascii="Verdana" w:hAnsi="Verdana"/>
          <w:b/>
          <w:bCs/>
          <w:color w:val="3B3838" w:themeColor="background2" w:themeShade="40"/>
          <w:sz w:val="22"/>
          <w:lang w:val="es-CO"/>
        </w:rPr>
        <w:t xml:space="preserve"> de acción</w:t>
      </w:r>
      <w:r w:rsidRPr="00FB1ED6" w:rsidR="002266F4">
        <w:rPr>
          <w:rFonts w:ascii="Verdana" w:hAnsi="Verdana"/>
          <w:b/>
          <w:bCs/>
          <w:color w:val="3B3838" w:themeColor="background2" w:themeShade="40"/>
          <w:sz w:val="22"/>
          <w:lang w:val="es-CO"/>
        </w:rPr>
        <w:t xml:space="preserve">: </w:t>
      </w:r>
    </w:p>
    <w:p w:rsidR="00073B90" w:rsidP="00073B90" w:rsidRDefault="00073B90" w14:paraId="03E60462" w14:textId="77777777">
      <w:pPr>
        <w:rPr>
          <w:rFonts w:ascii="Verdana" w:hAnsi="Verdana"/>
          <w:sz w:val="22"/>
          <w:lang w:val="es-CO"/>
        </w:rPr>
      </w:pPr>
    </w:p>
    <w:p w:rsidR="00197EE4" w:rsidP="00197EE4" w:rsidRDefault="00E907F9" w14:paraId="2FA2377B" w14:textId="51386198">
      <w:pPr>
        <w:pStyle w:val="Prrafodelista"/>
        <w:numPr>
          <w:ilvl w:val="0"/>
          <w:numId w:val="44"/>
        </w:numPr>
        <w:rPr>
          <w:rFonts w:ascii="Verdana" w:hAnsi="Verdana"/>
          <w:sz w:val="22"/>
          <w:lang w:val="es-CO"/>
        </w:rPr>
      </w:pPr>
      <w:r w:rsidRPr="00FB6330">
        <w:rPr>
          <w:rFonts w:ascii="Verdana" w:hAnsi="Verdana"/>
          <w:sz w:val="22"/>
          <w:lang w:val="es-CO"/>
        </w:rPr>
        <w:t xml:space="preserve">La Dirección de </w:t>
      </w:r>
      <w:r w:rsidRPr="00FB6330" w:rsidR="00FB6330">
        <w:rPr>
          <w:rFonts w:ascii="Verdana" w:hAnsi="Verdana"/>
          <w:sz w:val="22"/>
          <w:lang w:val="es-CO"/>
        </w:rPr>
        <w:t>Parafiscales</w:t>
      </w:r>
      <w:r w:rsidRPr="00FB6330">
        <w:rPr>
          <w:rFonts w:ascii="Verdana" w:hAnsi="Verdana"/>
          <w:sz w:val="22"/>
          <w:lang w:val="es-CO"/>
        </w:rPr>
        <w:t xml:space="preserve"> verificará la validez </w:t>
      </w:r>
      <w:r w:rsidRPr="00FB6330" w:rsidR="00FB6330">
        <w:rPr>
          <w:rFonts w:ascii="Verdana" w:hAnsi="Verdana"/>
          <w:sz w:val="22"/>
          <w:lang w:val="es-CO"/>
        </w:rPr>
        <w:t xml:space="preserve">de los documentos que sean firmados por el revisor fiscal en virtud de las obligaciones </w:t>
      </w:r>
      <w:r w:rsidR="00FB6330">
        <w:rPr>
          <w:rFonts w:ascii="Verdana" w:hAnsi="Verdana"/>
          <w:sz w:val="22"/>
          <w:lang w:val="es-CO"/>
        </w:rPr>
        <w:t xml:space="preserve">relacionadas con el pago de parafiscales de las y los operarios </w:t>
      </w:r>
      <w:r w:rsidR="009B2181">
        <w:rPr>
          <w:rFonts w:ascii="Verdana" w:hAnsi="Verdana"/>
          <w:sz w:val="22"/>
          <w:lang w:val="es-CO"/>
        </w:rPr>
        <w:t>que desarrollan labores en el desarrollo de las órdenes de compra</w:t>
      </w:r>
      <w:r w:rsidR="00F2178A">
        <w:rPr>
          <w:rFonts w:ascii="Verdana" w:hAnsi="Verdana"/>
          <w:sz w:val="22"/>
          <w:lang w:val="es-CO"/>
        </w:rPr>
        <w:t>, previa solicitud de Colombia Compra Eficiente.</w:t>
      </w:r>
    </w:p>
    <w:p w:rsidR="00D60F15" w:rsidP="00D60F15" w:rsidRDefault="00D60F15" w14:paraId="29C41C84" w14:textId="77777777">
      <w:pPr>
        <w:pStyle w:val="Prrafodelista"/>
        <w:rPr>
          <w:rFonts w:ascii="Verdana" w:hAnsi="Verdana"/>
          <w:sz w:val="22"/>
          <w:lang w:val="es-CO"/>
        </w:rPr>
      </w:pPr>
    </w:p>
    <w:p w:rsidR="00060F2A" w:rsidP="2A4A97E3" w:rsidRDefault="00060F2A" w14:paraId="06BEC07E" w14:textId="58AFD70E">
      <w:pPr>
        <w:pStyle w:val="Prrafodelista"/>
        <w:numPr>
          <w:ilvl w:val="0"/>
          <w:numId w:val="44"/>
        </w:numPr>
        <w:rPr>
          <w:rFonts w:ascii="Verdana" w:hAnsi="Verdana"/>
          <w:sz w:val="22"/>
          <w:szCs w:val="22"/>
          <w:lang w:val="es-CO"/>
        </w:rPr>
      </w:pPr>
      <w:r w:rsidRPr="2A4A97E3" w:rsidR="00060F2A">
        <w:rPr>
          <w:rFonts w:ascii="Verdana" w:hAnsi="Verdana"/>
          <w:sz w:val="22"/>
          <w:szCs w:val="22"/>
          <w:lang w:val="es-CO"/>
        </w:rPr>
        <w:t xml:space="preserve">Colombia Compra Eficiente </w:t>
      </w:r>
      <w:r w:rsidRPr="2A4A97E3" w:rsidR="00915BD6">
        <w:rPr>
          <w:rFonts w:ascii="Verdana" w:hAnsi="Verdana"/>
          <w:sz w:val="22"/>
          <w:szCs w:val="22"/>
          <w:lang w:val="es-CO"/>
        </w:rPr>
        <w:t xml:space="preserve">notificará a la </w:t>
      </w:r>
      <w:r w:rsidRPr="2A4A97E3" w:rsidR="00915BD6">
        <w:rPr>
          <w:rFonts w:ascii="Verdana" w:hAnsi="Verdana"/>
          <w:sz w:val="22"/>
          <w:szCs w:val="22"/>
          <w:lang w:val="es-CO"/>
        </w:rPr>
        <w:t>Dirección de Parafiscales</w:t>
      </w:r>
      <w:r w:rsidRPr="2A4A97E3" w:rsidR="00915BD6">
        <w:rPr>
          <w:rFonts w:ascii="Verdana" w:hAnsi="Verdana"/>
          <w:sz w:val="22"/>
          <w:szCs w:val="22"/>
          <w:lang w:val="es-CO"/>
        </w:rPr>
        <w:t xml:space="preserve"> </w:t>
      </w:r>
      <w:r w:rsidRPr="2A4A97E3" w:rsidR="00935FA7">
        <w:rPr>
          <w:rFonts w:ascii="Verdana" w:hAnsi="Verdana"/>
          <w:sz w:val="22"/>
          <w:szCs w:val="22"/>
          <w:lang w:val="es-CO"/>
        </w:rPr>
        <w:t xml:space="preserve">cuando lo </w:t>
      </w:r>
      <w:r w:rsidRPr="2A4A97E3" w:rsidR="00935FA7">
        <w:rPr>
          <w:rFonts w:ascii="Verdana" w:hAnsi="Verdana"/>
          <w:sz w:val="22"/>
          <w:szCs w:val="22"/>
          <w:lang w:val="es-CO"/>
        </w:rPr>
        <w:t>considere</w:t>
      </w:r>
      <w:r w:rsidRPr="2A4A97E3" w:rsidR="00935FA7">
        <w:rPr>
          <w:rFonts w:ascii="Verdana" w:hAnsi="Verdana"/>
          <w:sz w:val="22"/>
          <w:szCs w:val="22"/>
          <w:lang w:val="es-CO"/>
        </w:rPr>
        <w:t xml:space="preserve">, un reporte en caso de que se evidencié el reiterado incumplimiento por parte de </w:t>
      </w:r>
      <w:r w:rsidRPr="2A4A97E3" w:rsidR="00D60F15">
        <w:rPr>
          <w:rFonts w:ascii="Verdana" w:hAnsi="Verdana"/>
          <w:sz w:val="22"/>
          <w:szCs w:val="22"/>
          <w:lang w:val="es-CO"/>
        </w:rPr>
        <w:t xml:space="preserve">alguno de </w:t>
      </w:r>
      <w:r w:rsidRPr="2A4A97E3" w:rsidR="00935FA7">
        <w:rPr>
          <w:rFonts w:ascii="Verdana" w:hAnsi="Verdana"/>
          <w:sz w:val="22"/>
          <w:szCs w:val="22"/>
          <w:lang w:val="es-CO"/>
        </w:rPr>
        <w:t>los proveedores adjudicados sobre el pago oportuno de las</w:t>
      </w:r>
      <w:r w:rsidRPr="2A4A97E3" w:rsidR="2E7B8E48">
        <w:rPr>
          <w:rFonts w:ascii="Verdana" w:hAnsi="Verdana"/>
          <w:sz w:val="22"/>
          <w:szCs w:val="22"/>
          <w:lang w:val="es-CO"/>
        </w:rPr>
        <w:t xml:space="preserve"> operarias</w:t>
      </w:r>
      <w:r w:rsidRPr="2A4A97E3" w:rsidR="00935FA7">
        <w:rPr>
          <w:rFonts w:ascii="Verdana" w:hAnsi="Verdana"/>
          <w:sz w:val="22"/>
          <w:szCs w:val="22"/>
          <w:lang w:val="es-CO"/>
        </w:rPr>
        <w:t xml:space="preserve"> </w:t>
      </w:r>
      <w:r w:rsidRPr="2A4A97E3" w:rsidR="00935FA7">
        <w:rPr>
          <w:rFonts w:ascii="Verdana" w:hAnsi="Verdana"/>
          <w:sz w:val="22"/>
          <w:szCs w:val="22"/>
          <w:lang w:val="es-CO"/>
        </w:rPr>
        <w:t xml:space="preserve">y los operarios, </w:t>
      </w:r>
      <w:r w:rsidRPr="2A4A97E3" w:rsidR="00077BB0">
        <w:rPr>
          <w:rFonts w:ascii="Verdana" w:hAnsi="Verdana"/>
          <w:sz w:val="22"/>
          <w:szCs w:val="22"/>
          <w:lang w:val="es-CO"/>
        </w:rPr>
        <w:t xml:space="preserve">con el </w:t>
      </w:r>
      <w:r w:rsidRPr="2A4A97E3" w:rsidR="000C478F">
        <w:rPr>
          <w:rFonts w:ascii="Verdana" w:hAnsi="Verdana"/>
          <w:sz w:val="22"/>
          <w:szCs w:val="22"/>
          <w:lang w:val="es-CO"/>
        </w:rPr>
        <w:t>ánimo</w:t>
      </w:r>
      <w:r w:rsidRPr="2A4A97E3" w:rsidR="00077BB0">
        <w:rPr>
          <w:rFonts w:ascii="Verdana" w:hAnsi="Verdana"/>
          <w:sz w:val="22"/>
          <w:szCs w:val="22"/>
          <w:lang w:val="es-CO"/>
        </w:rPr>
        <w:t xml:space="preserve"> que se inicien los procesos persuasivos del caso, </w:t>
      </w:r>
      <w:r w:rsidRPr="2A4A97E3" w:rsidR="006737B0">
        <w:rPr>
          <w:rFonts w:ascii="Verdana" w:hAnsi="Verdana"/>
          <w:sz w:val="22"/>
          <w:szCs w:val="22"/>
          <w:lang w:val="es-CO"/>
        </w:rPr>
        <w:t>derivando en sanciones por mora</w:t>
      </w:r>
      <w:r w:rsidRPr="2A4A97E3" w:rsidR="00D60F15">
        <w:rPr>
          <w:rFonts w:ascii="Verdana" w:hAnsi="Verdana"/>
          <w:sz w:val="22"/>
          <w:szCs w:val="22"/>
          <w:lang w:val="es-CO"/>
        </w:rPr>
        <w:t xml:space="preserve">, </w:t>
      </w:r>
      <w:r w:rsidRPr="2A4A97E3" w:rsidR="00853875">
        <w:rPr>
          <w:rFonts w:ascii="Verdana" w:hAnsi="Verdana"/>
          <w:sz w:val="22"/>
          <w:szCs w:val="22"/>
          <w:lang w:val="es-CO"/>
        </w:rPr>
        <w:t>fiscalización y los demás establecidos por la UGPP.</w:t>
      </w:r>
    </w:p>
    <w:p w:rsidRPr="007B5B84" w:rsidR="007B5B84" w:rsidP="007B5B84" w:rsidRDefault="007B5B84" w14:paraId="2F8D9CA0" w14:textId="77777777">
      <w:pPr>
        <w:rPr>
          <w:rFonts w:ascii="Verdana" w:hAnsi="Verdana"/>
          <w:sz w:val="22"/>
          <w:lang w:val="es-CO"/>
        </w:rPr>
      </w:pPr>
    </w:p>
    <w:p w:rsidRPr="007B5B84" w:rsidR="007B5B84" w:rsidP="007B5B84" w:rsidRDefault="007B5B84" w14:paraId="755095BE" w14:textId="3F944270">
      <w:pPr>
        <w:pStyle w:val="Prrafodelista"/>
        <w:numPr>
          <w:ilvl w:val="0"/>
          <w:numId w:val="44"/>
        </w:numPr>
        <w:rPr>
          <w:rFonts w:ascii="Verdana" w:hAnsi="Verdana"/>
          <w:sz w:val="22"/>
          <w:lang w:val="es-CO"/>
        </w:rPr>
      </w:pPr>
      <w:r w:rsidRPr="00FB6330">
        <w:rPr>
          <w:rFonts w:ascii="Verdana" w:hAnsi="Verdana"/>
          <w:sz w:val="22"/>
          <w:lang w:val="es-CO"/>
        </w:rPr>
        <w:t xml:space="preserve">La Dirección de Parafiscales </w:t>
      </w:r>
      <w:r>
        <w:rPr>
          <w:rFonts w:ascii="Verdana" w:hAnsi="Verdana"/>
          <w:sz w:val="22"/>
          <w:lang w:val="es-CO"/>
        </w:rPr>
        <w:t>dispondrá de</w:t>
      </w:r>
      <w:r w:rsidRPr="007B5B84">
        <w:rPr>
          <w:rFonts w:ascii="Verdana" w:hAnsi="Verdana"/>
          <w:sz w:val="22"/>
          <w:lang w:val="es-CO"/>
        </w:rPr>
        <w:t xml:space="preserve"> un enlace para verificar los proveedores reportados con las carteras</w:t>
      </w:r>
      <w:r>
        <w:rPr>
          <w:rFonts w:ascii="Verdana" w:hAnsi="Verdana"/>
          <w:sz w:val="22"/>
          <w:lang w:val="es-CO"/>
        </w:rPr>
        <w:t>,</w:t>
      </w:r>
      <w:r w:rsidRPr="007B5B84">
        <w:rPr>
          <w:rFonts w:ascii="Verdana" w:hAnsi="Verdana"/>
          <w:sz w:val="22"/>
          <w:lang w:val="es-CO"/>
        </w:rPr>
        <w:t xml:space="preserve"> </w:t>
      </w:r>
      <w:r>
        <w:rPr>
          <w:rFonts w:ascii="Verdana" w:hAnsi="Verdana"/>
          <w:sz w:val="22"/>
          <w:lang w:val="es-CO"/>
        </w:rPr>
        <w:t>en el que Colombia Compra Eficiente podrá verificar el estado de los proveedores.</w:t>
      </w:r>
    </w:p>
    <w:p w:rsidRPr="00C47D4A" w:rsidR="002266F4" w:rsidP="00073B90" w:rsidRDefault="002266F4" w14:paraId="6BDC0F88" w14:textId="77777777">
      <w:pPr>
        <w:rPr>
          <w:rFonts w:ascii="Verdana" w:hAnsi="Verdana"/>
          <w:sz w:val="22"/>
          <w:lang w:val="es-CO"/>
        </w:rPr>
      </w:pPr>
    </w:p>
    <w:p w:rsidRPr="00FB1ED6" w:rsidR="00073B90" w:rsidP="00073B90" w:rsidRDefault="00CE2B03" w14:paraId="4786A50E" w14:textId="5F91B14B">
      <w:pPr>
        <w:rPr>
          <w:rFonts w:ascii="Verdana" w:hAnsi="Verdana"/>
          <w:b/>
          <w:bCs/>
          <w:color w:val="3B3838" w:themeColor="background2" w:themeShade="40"/>
          <w:sz w:val="22"/>
          <w:lang w:val="es-CO"/>
        </w:rPr>
      </w:pPr>
      <w:r w:rsidRPr="00FB1ED6">
        <w:rPr>
          <w:rFonts w:ascii="Verdana" w:hAnsi="Verdana"/>
          <w:b/>
          <w:bCs/>
          <w:color w:val="3B3838" w:themeColor="background2" w:themeShade="40"/>
          <w:sz w:val="22"/>
          <w:lang w:val="es-CO"/>
        </w:rPr>
        <w:t>Canales de atención:</w:t>
      </w:r>
    </w:p>
    <w:p w:rsidRPr="00C47D4A" w:rsidR="00CE2B03" w:rsidP="00073B90" w:rsidRDefault="00CE2B03" w14:paraId="302E5BF0" w14:textId="77777777">
      <w:pPr>
        <w:rPr>
          <w:rFonts w:ascii="Verdana" w:hAnsi="Verdana"/>
          <w:sz w:val="22"/>
          <w:lang w:val="es-CO"/>
        </w:rPr>
      </w:pPr>
    </w:p>
    <w:p w:rsidRPr="00C47D4A" w:rsidR="00CE2B03" w:rsidP="00073B90" w:rsidRDefault="00CE2B03" w14:paraId="2D0E0219" w14:textId="404DC68C">
      <w:p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 xml:space="preserve">La Dirección de Parafiscales establecerá un correo para los casos en los que las entidades compradoras o Colombia Compra Eficiente conozca de algún posible incumplimiento al pago de </w:t>
      </w:r>
      <w:r w:rsidRPr="00C47D4A" w:rsidR="00C7217A">
        <w:rPr>
          <w:rFonts w:ascii="Verdana" w:hAnsi="Verdana"/>
          <w:sz w:val="22"/>
          <w:lang w:val="es-CO"/>
        </w:rPr>
        <w:t>parafiscales del personal.</w:t>
      </w:r>
    </w:p>
    <w:p w:rsidRPr="00C47D4A" w:rsidR="00C7217A" w:rsidP="00073B90" w:rsidRDefault="00C7217A" w14:paraId="208C6328" w14:textId="77777777">
      <w:pPr>
        <w:rPr>
          <w:rFonts w:ascii="Verdana" w:hAnsi="Verdana"/>
          <w:sz w:val="22"/>
          <w:lang w:val="es-CO"/>
        </w:rPr>
      </w:pPr>
    </w:p>
    <w:p w:rsidRPr="00C47D4A" w:rsidR="00C7217A" w:rsidP="00073B90" w:rsidRDefault="00C7217A" w14:paraId="4832B34A" w14:textId="1818E824">
      <w:p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 xml:space="preserve">Colombia Compra Eficiente </w:t>
      </w:r>
      <w:r w:rsidRPr="00C47D4A" w:rsidR="0052580F">
        <w:rPr>
          <w:rFonts w:ascii="Verdana" w:hAnsi="Verdana"/>
          <w:sz w:val="22"/>
          <w:lang w:val="es-CO"/>
        </w:rPr>
        <w:t>deberá remitir:</w:t>
      </w:r>
    </w:p>
    <w:p w:rsidRPr="00C47D4A" w:rsidR="0052580F" w:rsidP="00073B90" w:rsidRDefault="0052580F" w14:paraId="0665E169" w14:textId="77777777">
      <w:pPr>
        <w:rPr>
          <w:rFonts w:ascii="Verdana" w:hAnsi="Verdana"/>
          <w:sz w:val="22"/>
          <w:lang w:val="es-CO"/>
        </w:rPr>
      </w:pPr>
    </w:p>
    <w:p w:rsidRPr="00C47D4A" w:rsidR="0052580F" w:rsidP="0052580F" w:rsidRDefault="0052580F" w14:paraId="47A65199" w14:textId="4FED7260">
      <w:pPr>
        <w:pStyle w:val="Prrafodelista"/>
        <w:numPr>
          <w:ilvl w:val="0"/>
          <w:numId w:val="43"/>
        </w:num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>Nombres completos y documentación de identificación del personal presuntamente afectado</w:t>
      </w:r>
    </w:p>
    <w:p w:rsidRPr="00C47D4A" w:rsidR="0052580F" w:rsidP="0052580F" w:rsidRDefault="0052580F" w14:paraId="200686B8" w14:textId="50F1B13F">
      <w:pPr>
        <w:pStyle w:val="Prrafodelista"/>
        <w:numPr>
          <w:ilvl w:val="0"/>
          <w:numId w:val="43"/>
        </w:num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>Nombre y NIT del proveedor que posiblemente se encuentre incumpliendo</w:t>
      </w:r>
    </w:p>
    <w:p w:rsidRPr="00C47D4A" w:rsidR="00424715" w:rsidP="0052580F" w:rsidRDefault="00D13AA1" w14:paraId="59EEE342" w14:textId="206D6F80">
      <w:pPr>
        <w:pStyle w:val="Prrafodelista"/>
        <w:numPr>
          <w:ilvl w:val="0"/>
          <w:numId w:val="43"/>
        </w:numPr>
        <w:rPr>
          <w:rFonts w:ascii="Verdana" w:hAnsi="Verdana"/>
          <w:sz w:val="22"/>
          <w:lang w:val="es-CO"/>
        </w:rPr>
      </w:pPr>
      <w:r w:rsidRPr="00C47D4A">
        <w:rPr>
          <w:rFonts w:ascii="Verdana" w:hAnsi="Verdana"/>
          <w:sz w:val="22"/>
          <w:lang w:val="es-CO"/>
        </w:rPr>
        <w:t>Documentos allegados</w:t>
      </w:r>
    </w:p>
    <w:p w:rsidRPr="00C47D4A" w:rsidR="00022F31" w:rsidP="0012252F" w:rsidRDefault="00022F31" w14:paraId="05D95CC9" w14:textId="77777777">
      <w:pPr>
        <w:rPr>
          <w:rFonts w:ascii="Verdana" w:hAnsi="Verdana"/>
          <w:sz w:val="22"/>
          <w:lang w:val="es-CO"/>
        </w:rPr>
      </w:pPr>
    </w:p>
    <w:p w:rsidRPr="00C47D4A" w:rsidR="0012252F" w:rsidP="0012252F" w:rsidRDefault="0012252F" w14:paraId="3D383016" w14:textId="271F5469">
      <w:pPr>
        <w:pStyle w:val="Ttulo1"/>
        <w:rPr>
          <w:rFonts w:ascii="Verdana" w:hAnsi="Verdana"/>
          <w:color w:val="3B3838" w:themeColor="background2" w:themeShade="40"/>
        </w:rPr>
      </w:pPr>
      <w:bookmarkStart w:name="_Toc172646612" w:id="2"/>
      <w:r w:rsidRPr="00C47D4A">
        <w:rPr>
          <w:rFonts w:ascii="Verdana" w:hAnsi="Verdana"/>
          <w:color w:val="3B3838" w:themeColor="background2" w:themeShade="40"/>
        </w:rPr>
        <w:t>SEGUIMIENTOS</w:t>
      </w:r>
      <w:bookmarkEnd w:id="2"/>
    </w:p>
    <w:p w:rsidRPr="00C47D4A" w:rsidR="00DB5985" w:rsidP="00D42586" w:rsidRDefault="00DB5985" w14:paraId="12396C5C" w14:textId="77777777">
      <w:pPr>
        <w:rPr>
          <w:rFonts w:ascii="Verdana" w:hAnsi="Verdana"/>
          <w:sz w:val="22"/>
          <w:lang w:val="es-CO"/>
        </w:rPr>
      </w:pPr>
    </w:p>
    <w:p w:rsidRPr="006C0680" w:rsidR="00FD5F64" w:rsidP="00E43495" w:rsidRDefault="003F5DC1" w14:paraId="02BC1D6D" w14:textId="35BD84C1">
      <w:pPr>
        <w:pStyle w:val="Prrafodelista"/>
        <w:numPr>
          <w:ilvl w:val="0"/>
          <w:numId w:val="45"/>
        </w:numPr>
        <w:rPr>
          <w:rFonts w:ascii="Verdana" w:hAnsi="Verdana"/>
          <w:sz w:val="22"/>
          <w:lang w:val="es-CO"/>
        </w:rPr>
      </w:pPr>
      <w:r w:rsidRPr="00FB1ED6">
        <w:rPr>
          <w:rFonts w:ascii="Verdana" w:hAnsi="Verdana"/>
          <w:sz w:val="22"/>
          <w:lang w:val="es-CO"/>
        </w:rPr>
        <w:t xml:space="preserve">Los proveedores adjudicados deberán </w:t>
      </w:r>
      <w:r w:rsidRPr="00FB1ED6" w:rsidR="00CA457D">
        <w:rPr>
          <w:rFonts w:ascii="Verdana" w:hAnsi="Verdana"/>
          <w:sz w:val="22"/>
          <w:lang w:val="es-CO"/>
        </w:rPr>
        <w:t xml:space="preserve">remitir en los momentos en los que sea indicado </w:t>
      </w:r>
      <w:r w:rsidRPr="00FB1ED6" w:rsidR="00964A9D">
        <w:rPr>
          <w:rFonts w:ascii="Verdana" w:hAnsi="Verdana"/>
          <w:sz w:val="22"/>
          <w:lang w:val="es-CO"/>
        </w:rPr>
        <w:t xml:space="preserve">por Colombia Compra Eficiente información relacionada con </w:t>
      </w:r>
      <w:r w:rsidRPr="00FB1ED6" w:rsidR="00FB1ED6">
        <w:rPr>
          <w:rFonts w:ascii="Verdana" w:hAnsi="Verdana"/>
          <w:sz w:val="22"/>
          <w:lang w:val="es-CO"/>
        </w:rPr>
        <w:t>el pago oportuno de parafiscales.</w:t>
      </w:r>
    </w:p>
    <w:p w:rsidRPr="00C47D4A" w:rsidR="001A268C" w:rsidP="00ED5296" w:rsidRDefault="001A268C" w14:paraId="2AD4830D" w14:textId="77777777">
      <w:pPr>
        <w:rPr>
          <w:rFonts w:ascii="Verdana" w:hAnsi="Verdana"/>
          <w:sz w:val="22"/>
          <w:lang w:val="es-CO"/>
        </w:rPr>
      </w:pPr>
    </w:p>
    <w:p w:rsidRPr="00C47D4A" w:rsidR="00B90134" w:rsidP="00ED5296" w:rsidRDefault="00B90134" w14:paraId="764CF598" w14:textId="77777777">
      <w:pPr>
        <w:rPr>
          <w:rFonts w:ascii="Verdana" w:hAnsi="Verdana"/>
          <w:sz w:val="22"/>
          <w:lang w:val="es-CO"/>
        </w:rPr>
      </w:pPr>
    </w:p>
    <w:p w:rsidRPr="00C47D4A" w:rsidR="00ED5296" w:rsidP="00ED5296" w:rsidRDefault="00ED5296" w14:paraId="65CC047C" w14:textId="5ED4EB80">
      <w:pPr>
        <w:rPr>
          <w:rFonts w:ascii="Verdana" w:hAnsi="Verdana"/>
          <w:sz w:val="22"/>
          <w:lang w:val="es-CO"/>
        </w:rPr>
      </w:pPr>
    </w:p>
    <w:p w:rsidRPr="00C47D4A" w:rsidR="00ED5296" w:rsidP="00ED5296" w:rsidRDefault="00ED5296" w14:paraId="295B8144" w14:textId="7CDBB628">
      <w:pPr>
        <w:rPr>
          <w:rFonts w:ascii="Verdana" w:hAnsi="Verdana"/>
          <w:sz w:val="22"/>
          <w:lang w:val="es-CO"/>
        </w:rPr>
      </w:pPr>
    </w:p>
    <w:p w:rsidRPr="00C47D4A" w:rsidR="00ED5296" w:rsidP="00ED5296" w:rsidRDefault="00ED5296" w14:paraId="0A4B2946" w14:textId="0E2969C4">
      <w:pPr>
        <w:rPr>
          <w:rFonts w:ascii="Verdana" w:hAnsi="Verdana"/>
          <w:sz w:val="16"/>
          <w:szCs w:val="18"/>
          <w:lang w:val="es-CO"/>
        </w:rPr>
      </w:pPr>
      <w:r w:rsidRPr="00C47D4A">
        <w:rPr>
          <w:rFonts w:ascii="Verdana" w:hAnsi="Verdana"/>
          <w:sz w:val="16"/>
          <w:szCs w:val="18"/>
          <w:lang w:val="es-CO"/>
        </w:rPr>
        <w:br w:type="page"/>
      </w:r>
    </w:p>
    <w:p w:rsidRPr="00C47D4A" w:rsidR="004F0907" w:rsidP="00E10A6C" w:rsidRDefault="004F0907" w14:paraId="406A5D31" w14:textId="0215996F">
      <w:pPr>
        <w:rPr>
          <w:rFonts w:ascii="Verdana" w:hAnsi="Verdana"/>
          <w:lang w:val="es-CO"/>
        </w:rPr>
      </w:pPr>
    </w:p>
    <w:p w:rsidRPr="00C47D4A" w:rsidR="008A796C" w:rsidP="00E10A6C" w:rsidRDefault="008A796C" w14:paraId="11ABE70F" w14:textId="0ACBD29E">
      <w:pPr>
        <w:rPr>
          <w:rFonts w:ascii="Verdana" w:hAnsi="Verdana"/>
          <w:lang w:val="es-CO"/>
        </w:rPr>
      </w:pPr>
    </w:p>
    <w:p w:rsidRPr="00C47D4A" w:rsidR="008A796C" w:rsidP="00E10A6C" w:rsidRDefault="008A796C" w14:paraId="485BA94D" w14:textId="2D27B712">
      <w:pPr>
        <w:rPr>
          <w:rFonts w:ascii="Verdana" w:hAnsi="Verdana"/>
          <w:sz w:val="16"/>
          <w:szCs w:val="16"/>
          <w:lang w:val="es-CO"/>
        </w:rPr>
      </w:pPr>
    </w:p>
    <w:p w:rsidRPr="00C47D4A" w:rsidR="00D249C2" w:rsidP="00E10A6C" w:rsidRDefault="00D249C2" w14:paraId="67A6FC49" w14:textId="0C29790E">
      <w:pPr>
        <w:rPr>
          <w:rFonts w:ascii="Verdana" w:hAnsi="Verdana"/>
          <w:sz w:val="16"/>
          <w:szCs w:val="16"/>
          <w:lang w:val="es-CO"/>
        </w:rPr>
      </w:pPr>
    </w:p>
    <w:p w:rsidRPr="00C47D4A" w:rsidR="00D249C2" w:rsidP="00E10A6C" w:rsidRDefault="00D249C2" w14:paraId="2E15BD38" w14:textId="1308CA7D">
      <w:pPr>
        <w:rPr>
          <w:rFonts w:ascii="Verdana" w:hAnsi="Verdana"/>
          <w:sz w:val="16"/>
          <w:szCs w:val="16"/>
          <w:lang w:val="es-CO"/>
        </w:rPr>
      </w:pPr>
    </w:p>
    <w:p w:rsidRPr="00C47D4A" w:rsidR="00D249C2" w:rsidP="00E10A6C" w:rsidRDefault="00D249C2" w14:paraId="534CD947" w14:textId="463857A7">
      <w:pPr>
        <w:rPr>
          <w:rFonts w:ascii="Verdana" w:hAnsi="Verdana"/>
          <w:sz w:val="16"/>
          <w:szCs w:val="16"/>
          <w:lang w:val="es-CO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3"/>
        <w:gridCol w:w="4302"/>
      </w:tblGrid>
      <w:tr w:rsidRPr="00C47D4A" w:rsidR="00F4639E" w:rsidTr="00AB02BD" w14:paraId="199EF0FF" w14:textId="77777777">
        <w:trPr>
          <w:trHeight w:val="196"/>
        </w:trPr>
        <w:tc>
          <w:tcPr>
            <w:tcW w:w="660" w:type="dxa"/>
            <w:vAlign w:val="center"/>
          </w:tcPr>
          <w:p w:rsidRPr="00C47D4A" w:rsidR="00F4639E" w:rsidP="00AB02BD" w:rsidRDefault="00F4639E" w14:paraId="7C80549F" w14:textId="77777777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Elaboró:</w:t>
            </w:r>
          </w:p>
        </w:tc>
        <w:tc>
          <w:tcPr>
            <w:tcW w:w="4302" w:type="dxa"/>
            <w:tcBorders>
              <w:bottom w:val="dotted" w:color="7F7F7F" w:themeColor="text1" w:themeTint="80" w:sz="4" w:space="0"/>
            </w:tcBorders>
            <w:vAlign w:val="center"/>
          </w:tcPr>
          <w:p w:rsidRPr="00C47D4A" w:rsidR="00F4639E" w:rsidP="00AB02BD" w:rsidRDefault="00DE635D" w14:paraId="7D658EBB" w14:textId="77777777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Laura Natalia Herrera Copete</w:t>
            </w:r>
          </w:p>
          <w:p w:rsidRPr="00C47D4A" w:rsidR="00DE635D" w:rsidP="00AB02BD" w:rsidRDefault="00DE635D" w14:paraId="623B57AA" w14:textId="1667D846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Estructuradora</w:t>
            </w:r>
          </w:p>
        </w:tc>
      </w:tr>
      <w:tr w:rsidRPr="00C47D4A" w:rsidR="00F4639E" w:rsidTr="00AB02BD" w14:paraId="3E547314" w14:textId="77777777">
        <w:trPr>
          <w:trHeight w:val="206"/>
        </w:trPr>
        <w:tc>
          <w:tcPr>
            <w:tcW w:w="660" w:type="dxa"/>
            <w:vAlign w:val="center"/>
          </w:tcPr>
          <w:p w:rsidRPr="00C47D4A" w:rsidR="00F4639E" w:rsidP="00AB02BD" w:rsidRDefault="00F4639E" w14:paraId="0190311F" w14:textId="77777777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Revisó:</w:t>
            </w:r>
          </w:p>
        </w:tc>
        <w:tc>
          <w:tcPr>
            <w:tcW w:w="4302" w:type="dxa"/>
            <w:tcBorders>
              <w:top w:val="dotted" w:color="7F7F7F" w:themeColor="text1" w:themeTint="80" w:sz="4" w:space="0"/>
              <w:bottom w:val="dotted" w:color="7F7F7F" w:themeColor="text1" w:themeTint="80" w:sz="4" w:space="0"/>
            </w:tcBorders>
            <w:vAlign w:val="center"/>
          </w:tcPr>
          <w:p w:rsidRPr="00C47D4A" w:rsidR="00F4639E" w:rsidP="00AB02BD" w:rsidRDefault="00DE635D" w14:paraId="67B02192" w14:textId="77777777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René Tercero Hernández Bolaño</w:t>
            </w:r>
          </w:p>
          <w:p w:rsidRPr="00C47D4A" w:rsidR="00DE635D" w:rsidP="00AB02BD" w:rsidRDefault="00DE635D" w14:paraId="731E9FFA" w14:textId="77777777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Gestor</w:t>
            </w:r>
          </w:p>
          <w:p w:rsidRPr="00C47D4A" w:rsidR="0095774F" w:rsidP="00AB02BD" w:rsidRDefault="0095774F" w14:paraId="16D66147" w14:textId="17C9FEFE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Sergio Andrés Peña Aristizábal</w:t>
            </w:r>
          </w:p>
          <w:p w:rsidRPr="00C47D4A" w:rsidR="0095774F" w:rsidP="00AB02BD" w:rsidRDefault="0095774F" w14:paraId="13B91482" w14:textId="12428A7F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Gestor</w:t>
            </w:r>
          </w:p>
        </w:tc>
      </w:tr>
      <w:tr w:rsidRPr="00C47D4A" w:rsidR="00F4639E" w:rsidTr="00AB02BD" w14:paraId="31839848" w14:textId="77777777">
        <w:trPr>
          <w:trHeight w:val="194"/>
        </w:trPr>
        <w:tc>
          <w:tcPr>
            <w:tcW w:w="660" w:type="dxa"/>
            <w:vAlign w:val="center"/>
          </w:tcPr>
          <w:p w:rsidRPr="00C47D4A" w:rsidR="00F4639E" w:rsidP="00AB02BD" w:rsidRDefault="00F4639E" w14:paraId="48CF9FEB" w14:textId="77777777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Aprobó:</w:t>
            </w:r>
          </w:p>
        </w:tc>
        <w:tc>
          <w:tcPr>
            <w:tcW w:w="4302" w:type="dxa"/>
            <w:tcBorders>
              <w:top w:val="dotted" w:color="7F7F7F" w:themeColor="text1" w:themeTint="80" w:sz="4" w:space="0"/>
              <w:bottom w:val="dotted" w:color="7F7F7F" w:themeColor="text1" w:themeTint="80" w:sz="4" w:space="0"/>
            </w:tcBorders>
            <w:vAlign w:val="center"/>
          </w:tcPr>
          <w:p w:rsidRPr="00C47D4A" w:rsidR="00F4639E" w:rsidP="00AB02BD" w:rsidRDefault="00C202B8" w14:paraId="13C6F0A5" w14:textId="643C073A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Guillermo Buenaventura Cruz</w:t>
            </w:r>
          </w:p>
          <w:p w:rsidRPr="00C47D4A" w:rsidR="00C202B8" w:rsidP="00AB02BD" w:rsidRDefault="00C202B8" w14:paraId="6036CDD7" w14:textId="2D2715F3">
            <w:pPr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</w:pPr>
            <w:r w:rsidRPr="00C47D4A">
              <w:rPr>
                <w:rFonts w:ascii="Verdana" w:hAnsi="Verdana" w:eastAsia="Times New Roman" w:cs="Arial"/>
                <w:color w:val="4E4D4D"/>
                <w:sz w:val="16"/>
                <w:szCs w:val="16"/>
                <w:lang w:eastAsia="es-ES"/>
              </w:rPr>
              <w:t>Subdirector de Negocios</w:t>
            </w:r>
          </w:p>
        </w:tc>
      </w:tr>
    </w:tbl>
    <w:p w:rsidRPr="00C47D4A" w:rsidR="00D249C2" w:rsidP="00E10A6C" w:rsidRDefault="00D249C2" w14:paraId="7A8779DB" w14:textId="3A5ABEBF">
      <w:pPr>
        <w:rPr>
          <w:rFonts w:ascii="Verdana" w:hAnsi="Verdana"/>
          <w:sz w:val="16"/>
          <w:szCs w:val="16"/>
          <w:lang w:val="es-CO"/>
        </w:rPr>
      </w:pPr>
    </w:p>
    <w:p w:rsidRPr="00C47D4A" w:rsidR="00D249C2" w:rsidP="00E10A6C" w:rsidRDefault="00D249C2" w14:paraId="46546659" w14:textId="3AD1683F">
      <w:pPr>
        <w:rPr>
          <w:rFonts w:ascii="Verdana" w:hAnsi="Verdana"/>
          <w:sz w:val="16"/>
          <w:szCs w:val="16"/>
          <w:lang w:val="es-CO"/>
        </w:rPr>
      </w:pPr>
    </w:p>
    <w:p w:rsidRPr="00C47D4A" w:rsidR="00A42A7F" w:rsidP="00E10A6C" w:rsidRDefault="00A42A7F" w14:paraId="2A71E7D7" w14:textId="6ED7EA0F">
      <w:pPr>
        <w:rPr>
          <w:rFonts w:ascii="Verdana" w:hAnsi="Verdana"/>
          <w:sz w:val="16"/>
          <w:szCs w:val="16"/>
          <w:lang w:val="es-CO"/>
        </w:rPr>
      </w:pPr>
    </w:p>
    <w:p w:rsidRPr="00C47D4A" w:rsidR="00A42A7F" w:rsidP="00E10A6C" w:rsidRDefault="00A42A7F" w14:paraId="6C3B422C" w14:textId="38669496">
      <w:pPr>
        <w:rPr>
          <w:rFonts w:ascii="Verdana" w:hAnsi="Verdana"/>
          <w:sz w:val="16"/>
          <w:szCs w:val="16"/>
          <w:lang w:val="es-CO"/>
        </w:rPr>
      </w:pPr>
    </w:p>
    <w:tbl>
      <w:tblPr>
        <w:tblW w:w="5484" w:type="pct"/>
        <w:tblInd w:w="-28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721"/>
        <w:gridCol w:w="1507"/>
        <w:gridCol w:w="3015"/>
        <w:gridCol w:w="2716"/>
      </w:tblGrid>
      <w:tr w:rsidRPr="00241A4A" w:rsidR="00104E25" w:rsidTr="00F62F59" w14:paraId="4FAC7E51" w14:textId="77777777">
        <w:trPr>
          <w:trHeight w:val="330"/>
        </w:trPr>
        <w:tc>
          <w:tcPr>
            <w:tcW w:w="2206" w:type="pct"/>
            <w:gridSpan w:val="3"/>
            <w:shd w:val="clear" w:color="auto" w:fill="404040" w:themeFill="text1" w:themeFillTint="BF"/>
            <w:noWrap/>
            <w:vAlign w:val="center"/>
            <w:hideMark/>
          </w:tcPr>
          <w:p w:rsidRPr="00F275E1" w:rsidR="00104E25" w:rsidP="00F62F59" w:rsidRDefault="00104E25" w14:paraId="3D885835" w14:textId="77777777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F275E1">
              <w:rPr>
                <w:rFonts w:ascii="Verdana" w:hAnsi="Verdana"/>
                <w:color w:val="FFFFFF" w:themeColor="background1"/>
                <w:sz w:val="18"/>
                <w:szCs w:val="18"/>
              </w:rPr>
              <w:t>CONTROL DE CAMBIOS DE DOCUMENTO</w:t>
            </w:r>
          </w:p>
        </w:tc>
        <w:tc>
          <w:tcPr>
            <w:tcW w:w="1470" w:type="pct"/>
            <w:shd w:val="clear" w:color="000000" w:fill="F2F2F2"/>
            <w:vAlign w:val="center"/>
            <w:hideMark/>
          </w:tcPr>
          <w:p w:rsidRPr="00241A4A" w:rsidR="00104E25" w:rsidP="00F62F59" w:rsidRDefault="00104E25" w14:paraId="32ACCE55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Versión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Pr="00241A4A" w:rsidR="00104E25" w:rsidP="00F62F59" w:rsidRDefault="00104E25" w14:paraId="2A746DFE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1</w:t>
            </w:r>
          </w:p>
        </w:tc>
      </w:tr>
      <w:tr w:rsidRPr="00241A4A" w:rsidR="00104E25" w:rsidTr="00F62F59" w14:paraId="13145C32" w14:textId="77777777">
        <w:trPr>
          <w:trHeight w:val="290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Pr="00241A4A" w:rsidR="00104E25" w:rsidP="00F62F59" w:rsidRDefault="00104E25" w14:paraId="2776C97C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Pr="00241A4A" w:rsidR="00104E25" w:rsidP="00F62F59" w:rsidRDefault="00104E25" w14:paraId="131C6EA5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DESCRIPCIÓN DE AJUSTES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Pr="00241A4A" w:rsidR="00104E25" w:rsidP="00F62F59" w:rsidRDefault="00104E25" w14:paraId="44CD6631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ELABORÓ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Pr="00241A4A" w:rsidR="00104E25" w:rsidP="00F62F59" w:rsidRDefault="00104E25" w14:paraId="16D62CC3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REVISÓ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Pr="00241A4A" w:rsidR="00104E25" w:rsidP="00F62F59" w:rsidRDefault="00104E25" w14:paraId="317FE8D7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APROBÓ</w:t>
            </w:r>
          </w:p>
        </w:tc>
      </w:tr>
      <w:tr w:rsidRPr="00241A4A" w:rsidR="00104E25" w:rsidTr="00F62F59" w14:paraId="51C97100" w14:textId="77777777">
        <w:trPr>
          <w:trHeight w:val="937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Pr="007151E7" w:rsidR="00104E25" w:rsidP="00F62F59" w:rsidRDefault="00104E25" w14:paraId="0F21A6B6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>02/07/2024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Pr="007151E7" w:rsidR="00104E25" w:rsidP="00F62F59" w:rsidRDefault="00104E25" w14:paraId="19053E9B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 xml:space="preserve">Creación </w:t>
            </w:r>
          </w:p>
          <w:p w:rsidRPr="007151E7" w:rsidR="00104E25" w:rsidP="00F62F59" w:rsidRDefault="00104E25" w14:paraId="793F7368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>Documento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Pr="007151E7" w:rsidR="00104E25" w:rsidP="00F62F59" w:rsidRDefault="00104E25" w14:paraId="123B5857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>Laura Natalia Herrera Copete</w:t>
            </w:r>
          </w:p>
          <w:p w:rsidRPr="007151E7" w:rsidR="00104E25" w:rsidP="00F62F59" w:rsidRDefault="00104E25" w14:paraId="09B8C951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>Contratista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Pr="007151E7" w:rsidR="00104E25" w:rsidP="00F62F59" w:rsidRDefault="00104E25" w14:paraId="110FD563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>René Tercero Hernández Bolaño</w:t>
            </w:r>
          </w:p>
          <w:p w:rsidRPr="007151E7" w:rsidR="00104E25" w:rsidP="00F62F59" w:rsidRDefault="00104E25" w14:paraId="2779E9D8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>Sergio Andrés Peña Aristizábal</w:t>
            </w:r>
          </w:p>
          <w:p w:rsidRPr="007151E7" w:rsidR="00104E25" w:rsidP="00F62F59" w:rsidRDefault="00104E25" w14:paraId="0B0CC3C3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 xml:space="preserve">Gestor </w:t>
            </w:r>
          </w:p>
          <w:p w:rsidRPr="007151E7" w:rsidR="00104E25" w:rsidP="00F62F59" w:rsidRDefault="00104E25" w14:paraId="03BEBD7A" w14:textId="77777777">
            <w:pPr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>Código T1 grado 15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Pr="007151E7" w:rsidR="00104E25" w:rsidP="00F62F59" w:rsidRDefault="00104E25" w14:paraId="4777962F" w14:textId="77777777">
            <w:pPr>
              <w:spacing w:after="240"/>
              <w:jc w:val="center"/>
              <w:rPr>
                <w:rFonts w:ascii="Verdana" w:hAnsi="Verdan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 xml:space="preserve">Guillermo Buenaventura Cruz </w:t>
            </w: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br/>
            </w:r>
            <w:r w:rsidRPr="007151E7">
              <w:rPr>
                <w:rFonts w:ascii="Verdana" w:hAnsi="Verdana"/>
                <w:sz w:val="16"/>
                <w:szCs w:val="18"/>
                <w:lang w:val="es-MX"/>
              </w:rPr>
              <w:t>Subdirector de Negocios</w:t>
            </w:r>
          </w:p>
        </w:tc>
      </w:tr>
      <w:tr w:rsidRPr="00241A4A" w:rsidR="00104E25" w:rsidTr="00F62F59" w14:paraId="1545BC0C" w14:textId="77777777">
        <w:trPr>
          <w:trHeight w:val="392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Pr="00241A4A" w:rsidR="00104E25" w:rsidP="00F62F59" w:rsidRDefault="00104E25" w14:paraId="3800E45E" w14:textId="77777777">
            <w:pPr>
              <w:jc w:val="center"/>
              <w:rPr>
                <w:rFonts w:ascii="Verdana" w:hAnsi="Verdana"/>
                <w:sz w:val="18"/>
                <w:szCs w:val="20"/>
                <w:lang w:val="es-MX"/>
              </w:rPr>
            </w:pPr>
            <w:r w:rsidRPr="002F3C7D">
              <w:rPr>
                <w:rFonts w:ascii="Verdana" w:hAnsi="Verdana"/>
                <w:sz w:val="16"/>
                <w:szCs w:val="18"/>
                <w:lang w:val="es-MX"/>
              </w:rPr>
              <w:t>Nota: El control de cambios en el documento, se refiere a cualquier ajuste que se efectúe sobre el documento que describe ficha técnica del presente documento.</w:t>
            </w:r>
          </w:p>
        </w:tc>
      </w:tr>
    </w:tbl>
    <w:p w:rsidRPr="00C47D4A" w:rsidR="008A796C" w:rsidP="00E10A6C" w:rsidRDefault="008A796C" w14:paraId="55B944D3" w14:textId="77777777">
      <w:pPr>
        <w:rPr>
          <w:rFonts w:ascii="Verdana" w:hAnsi="Verdana"/>
          <w:lang w:val="es-CO"/>
        </w:rPr>
      </w:pPr>
    </w:p>
    <w:sectPr w:rsidRPr="00C47D4A" w:rsidR="008A796C" w:rsidSect="00753C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BC2" w:rsidP="00BB4277" w:rsidRDefault="00CA4BC2" w14:paraId="136B1028" w14:textId="77777777">
      <w:r>
        <w:separator/>
      </w:r>
    </w:p>
  </w:endnote>
  <w:endnote w:type="continuationSeparator" w:id="0">
    <w:p w:rsidR="00CA4BC2" w:rsidP="00BB4277" w:rsidRDefault="00CA4BC2" w14:paraId="70F55A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Light">
    <w:altName w:val="Calibri"/>
    <w:panose1 w:val="020B0604020202020204"/>
    <w:charset w:val="00"/>
    <w:family w:val="auto"/>
    <w:pitch w:val="variable"/>
    <w:sig w:usb0="A000002F" w:usb1="1000004A" w:usb2="00000000" w:usb3="00000000" w:csb0="00000193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A5B" w:rsidRDefault="00054A5B" w14:paraId="4D21B93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894157"/>
      <w:docPartObj>
        <w:docPartGallery w:val="Page Numbers (Bottom of Page)"/>
        <w:docPartUnique/>
      </w:docPartObj>
    </w:sdtPr>
    <w:sdtEndPr/>
    <w:sdtContent>
      <w:sdt>
        <w:sdtPr>
          <w:id w:val="685572261"/>
          <w:docPartObj>
            <w:docPartGallery w:val="Page Numbers (Bottom of Page)"/>
            <w:docPartUnique/>
          </w:docPartObj>
        </w:sdtPr>
        <w:sdtEndPr>
          <w:rPr>
            <w:sz w:val="16"/>
            <w:szCs w:val="16"/>
          </w:rPr>
        </w:sdtEndPr>
        <w:sdtContent>
          <w:sdt>
            <w:sdtPr>
              <w:rPr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:rsidR="008E4F6F" w:rsidP="00BB4277" w:rsidRDefault="007C60B4" w14:paraId="7BB3BBD7" w14:textId="77777777">
                <w:pPr>
                  <w:pStyle w:val="Piedepgina"/>
                  <w:pBdr>
                    <w:bottom w:val="single" w:color="auto" w:sz="12" w:space="1"/>
                  </w:pBdr>
                  <w:jc w:val="right"/>
                  <w:rPr>
                    <w:bCs/>
                    <w:sz w:val="16"/>
                    <w:szCs w:val="16"/>
                  </w:rPr>
                </w:pPr>
                <w:r w:rsidRPr="00D1618E">
                  <w:rPr>
                    <w:sz w:val="16"/>
                    <w:szCs w:val="16"/>
                  </w:rPr>
                  <w:t xml:space="preserve">Página </w:t>
                </w:r>
                <w:r w:rsidRPr="00D1618E">
                  <w:rPr>
                    <w:bCs/>
                    <w:sz w:val="16"/>
                    <w:szCs w:val="16"/>
                  </w:rPr>
                  <w:fldChar w:fldCharType="begin"/>
                </w:r>
                <w:r w:rsidRPr="00D1618E">
                  <w:rPr>
                    <w:bCs/>
                    <w:sz w:val="16"/>
                    <w:szCs w:val="16"/>
                  </w:rPr>
                  <w:instrText>PAGE</w:instrText>
                </w:r>
                <w:r w:rsidRPr="00D1618E">
                  <w:rPr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Cs/>
                    <w:sz w:val="16"/>
                    <w:szCs w:val="16"/>
                  </w:rPr>
                  <w:t>52</w:t>
                </w:r>
                <w:r w:rsidRPr="00D1618E">
                  <w:rPr>
                    <w:bCs/>
                    <w:sz w:val="16"/>
                    <w:szCs w:val="16"/>
                  </w:rPr>
                  <w:fldChar w:fldCharType="end"/>
                </w:r>
                <w:r w:rsidRPr="00D1618E">
                  <w:rPr>
                    <w:sz w:val="16"/>
                    <w:szCs w:val="16"/>
                  </w:rPr>
                  <w:t xml:space="preserve"> de </w:t>
                </w:r>
                <w:r w:rsidRPr="00D1618E">
                  <w:rPr>
                    <w:bCs/>
                    <w:sz w:val="16"/>
                    <w:szCs w:val="16"/>
                  </w:rPr>
                  <w:fldChar w:fldCharType="begin"/>
                </w:r>
                <w:r w:rsidRPr="00D1618E">
                  <w:rPr>
                    <w:bCs/>
                    <w:sz w:val="16"/>
                    <w:szCs w:val="16"/>
                  </w:rPr>
                  <w:instrText>NUMPAGES</w:instrText>
                </w:r>
                <w:r w:rsidRPr="00D1618E">
                  <w:rPr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Cs/>
                    <w:sz w:val="16"/>
                    <w:szCs w:val="16"/>
                  </w:rPr>
                  <w:t>59</w:t>
                </w:r>
                <w:r w:rsidRPr="00D1618E">
                  <w:rPr>
                    <w:bCs/>
                    <w:sz w:val="16"/>
                    <w:szCs w:val="16"/>
                  </w:rPr>
                  <w:fldChar w:fldCharType="end"/>
                </w:r>
              </w:p>
              <w:p w:rsidR="00D34DAA" w:rsidP="00D34DAA" w:rsidRDefault="00054A5B" w14:paraId="7B939E88" w14:textId="77777777">
                <w:pPr>
                  <w:spacing w:line="276" w:lineRule="auto"/>
                  <w:rPr>
                    <w:sz w:val="16"/>
                    <w:szCs w:val="16"/>
                  </w:rPr>
                </w:pPr>
              </w:p>
            </w:sdtContent>
          </w:sdt>
        </w:sdtContent>
      </w:sdt>
      <w:p w:rsidRPr="00D34DAA" w:rsidR="00D34DAA" w:rsidP="00D34DAA" w:rsidRDefault="00D34DAA" w14:paraId="360A86EA" w14:textId="62EEBB48">
        <w:pPr>
          <w:spacing w:line="276" w:lineRule="auto"/>
          <w:rPr>
            <w:sz w:val="16"/>
            <w:szCs w:val="16"/>
          </w:rPr>
        </w:pPr>
        <w:r w:rsidRPr="008E4D59">
          <w:rPr>
            <w:rFonts w:ascii="Verdana" w:hAnsi="Verdana"/>
            <w:b/>
            <w:bCs/>
            <w:szCs w:val="20"/>
          </w:rPr>
          <w:t>Agencia Nacional de Contratación</w:t>
        </w:r>
        <w:r>
          <w:rPr>
            <w:rFonts w:ascii="Verdana" w:hAnsi="Verdana"/>
            <w:b/>
            <w:bCs/>
            <w:szCs w:val="20"/>
          </w:rPr>
          <w:t xml:space="preserve"> </w:t>
        </w:r>
        <w:r w:rsidRPr="008E4D59">
          <w:rPr>
            <w:rFonts w:ascii="Verdana" w:hAnsi="Verdana"/>
            <w:b/>
            <w:bCs/>
            <w:szCs w:val="20"/>
          </w:rPr>
          <w:t>Públic</w:t>
        </w:r>
        <w:r>
          <w:rPr>
            <w:rFonts w:ascii="Verdana" w:hAnsi="Verdana"/>
            <w:b/>
            <w:bCs/>
            <w:szCs w:val="20"/>
          </w:rPr>
          <w:t>a</w:t>
        </w:r>
      </w:p>
      <w:p w:rsidRPr="00174B77" w:rsidR="00D34DAA" w:rsidP="00D34DAA" w:rsidRDefault="00D34DAA" w14:paraId="4CE6934D" w14:textId="77777777">
        <w:pPr>
          <w:spacing w:line="276" w:lineRule="auto"/>
          <w:rPr>
            <w:rFonts w:ascii="Verdana" w:hAnsi="Verdana"/>
            <w:b/>
            <w:bCs/>
            <w:szCs w:val="20"/>
          </w:rPr>
        </w:pPr>
        <w:r w:rsidRPr="008E4D59">
          <w:rPr>
            <w:rFonts w:ascii="Verdana" w:hAnsi="Verdana"/>
            <w:b/>
            <w:bCs/>
            <w:szCs w:val="20"/>
          </w:rPr>
          <w:t>Colombia Compra Eficiente</w:t>
        </w:r>
        <w:r>
          <w:rPr>
            <w:rFonts w:ascii="Verdana" w:hAnsi="Verdana"/>
            <w:b/>
            <w:bCs/>
            <w:szCs w:val="20"/>
          </w:rPr>
          <w:t xml:space="preserve">      </w:t>
        </w:r>
      </w:p>
      <w:p w:rsidR="00D34DAA" w:rsidP="00D34DAA" w:rsidRDefault="00D34DAA" w14:paraId="44ADD813" w14:textId="77777777">
        <w:pPr>
          <w:spacing w:line="276" w:lineRule="auto"/>
          <w:rPr>
            <w:rFonts w:ascii="Verdana" w:hAnsi="Verdana"/>
            <w:sz w:val="18"/>
            <w:szCs w:val="18"/>
          </w:rPr>
        </w:pPr>
        <w:r w:rsidRPr="00E41027">
          <w:rPr>
            <w:rFonts w:ascii="Verdana" w:hAnsi="Verdana"/>
            <w:sz w:val="18"/>
            <w:szCs w:val="18"/>
          </w:rPr>
          <w:t>Dirección: Carrera 7 # 26 – 20 - Bogotá, Colombia</w:t>
        </w:r>
      </w:p>
      <w:p w:rsidRPr="00E41027" w:rsidR="00D34DAA" w:rsidP="00D34DAA" w:rsidRDefault="00D34DAA" w14:paraId="5C472858" w14:textId="77777777">
        <w:pPr>
          <w:spacing w:line="276" w:lineRule="auto"/>
          <w:rPr>
            <w:rFonts w:ascii="Verdana" w:hAnsi="Verdana"/>
            <w:sz w:val="18"/>
            <w:szCs w:val="18"/>
          </w:rPr>
        </w:pPr>
        <w:r w:rsidRPr="00E41027">
          <w:rPr>
            <w:rFonts w:ascii="Verdana" w:hAnsi="Verdana"/>
            <w:sz w:val="18"/>
            <w:szCs w:val="18"/>
          </w:rPr>
          <w:t>Mesa de servicio: (+57) 601 7456788</w:t>
        </w:r>
      </w:p>
      <w:p w:rsidR="00D34DAA" w:rsidP="00D34DAA" w:rsidRDefault="00D34DAA" w14:paraId="30E390D6" w14:textId="77777777">
        <w:pPr>
          <w:pStyle w:val="Encabezado"/>
        </w:pPr>
        <w:r w:rsidRPr="00E41027">
          <w:rPr>
            <w:rFonts w:ascii="Verdana" w:hAnsi="Verdana"/>
            <w:sz w:val="18"/>
            <w:szCs w:val="18"/>
          </w:rPr>
          <w:t>Atención al ciudadano:</w:t>
        </w:r>
        <w:r>
          <w:rPr>
            <w:rFonts w:ascii="Verdana" w:hAnsi="Verdana"/>
            <w:sz w:val="18"/>
            <w:szCs w:val="18"/>
          </w:rPr>
          <w:t xml:space="preserve"> </w:t>
        </w:r>
        <w:r w:rsidRPr="00E41027">
          <w:rPr>
            <w:rFonts w:ascii="Verdana" w:hAnsi="Verdana"/>
            <w:sz w:val="18"/>
            <w:szCs w:val="18"/>
          </w:rPr>
          <w:t>(+57) 601 7956600</w:t>
        </w:r>
        <w:r>
          <w:rPr>
            <w:rFonts w:ascii="Verdana" w:hAnsi="Verdana"/>
            <w:szCs w:val="20"/>
          </w:rPr>
          <w:t xml:space="preserve">    </w:t>
        </w:r>
      </w:p>
      <w:p w:rsidRPr="00D1618E" w:rsidR="007C60B4" w:rsidP="00BB4277" w:rsidRDefault="007C60B4" w14:paraId="445BA37F" w14:textId="2538258E">
        <w:pPr>
          <w:pStyle w:val="Piedepgina"/>
          <w:jc w:val="right"/>
          <w:rPr>
            <w:sz w:val="16"/>
            <w:szCs w:val="16"/>
          </w:rPr>
        </w:pPr>
      </w:p>
      <w:p w:rsidR="007C60B4" w:rsidP="00D34DAA" w:rsidRDefault="00054A5B" w14:paraId="5EA1AEF0" w14:textId="11530C2A">
        <w:pPr>
          <w:pStyle w:val="Piedep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A5B" w:rsidRDefault="00054A5B" w14:paraId="3379A56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BC2" w:rsidP="00BB4277" w:rsidRDefault="00CA4BC2" w14:paraId="13C25381" w14:textId="77777777">
      <w:r>
        <w:separator/>
      </w:r>
    </w:p>
  </w:footnote>
  <w:footnote w:type="continuationSeparator" w:id="0">
    <w:p w:rsidR="00CA4BC2" w:rsidP="00BB4277" w:rsidRDefault="00CA4BC2" w14:paraId="216D4F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089" w:rsidRDefault="00054A5B" w14:paraId="04FCAEC6" w14:textId="72138F33">
    <w:pPr>
      <w:pStyle w:val="Encabezado"/>
    </w:pPr>
    <w:r w:rsidRPr="00D85093">
      <w:rPr>
        <w:noProof/>
      </w:rPr>
    </w:r>
    <w:r w:rsidRPr="00D85093" w:rsidR="00054A5B">
      <w:rPr>
        <w:noProof/>
      </w:rPr>
      <w:pict w14:anchorId="73698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808130" style="position:absolute;left:0;text-align:left;margin-left:0;margin-top:0;width:545.35pt;height:113.95pt;rotation:315;z-index:-251651072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textpath style="font-family:&quot;Arial Nova&quot;;font-size:1pt" string="DEFINITIV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A5F43" w:rsidR="00CA5F43" w:rsidP="00504D44" w:rsidRDefault="00054A5B" w14:paraId="6FA79DA3" w14:textId="65E014A8">
    <w:pPr>
      <w:pStyle w:val="Encabezado"/>
      <w:jc w:val="center"/>
      <w:rPr>
        <w:rFonts w:ascii="Geomanist Light" w:hAnsi="Geomanist Light"/>
        <w:sz w:val="18"/>
        <w:szCs w:val="18"/>
      </w:rPr>
    </w:pPr>
    <w:r w:rsidRPr="008C5342">
      <w:rPr>
        <w:noProof/>
      </w:rPr>
    </w:r>
    <w:r w:rsidRPr="008C5342" w:rsidR="00054A5B">
      <w:rPr>
        <w:noProof/>
      </w:rPr>
      <w:pict w14:anchorId="608561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808131" style="position:absolute;left:0;text-align:left;margin-left:0;margin-top:0;width:545.35pt;height:113.95pt;rotation:315;z-index:-251646976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textpath style="font-family:&quot;Arial Nova&quot;;font-size:1pt" string="DEFINITIVO"/>
        </v:shape>
      </w:pict>
    </w:r>
    <w:r w:rsidR="00504D44">
      <w:rPr>
        <w:rFonts w:ascii="Geomanist Light" w:hAnsi="Geomanist Light"/>
        <w:b/>
        <w:noProof/>
        <w:szCs w:val="20"/>
      </w:rPr>
      <w:drawing>
        <wp:inline distT="0" distB="0" distL="0" distR="0" wp14:anchorId="413C7964" wp14:editId="4809C82B">
          <wp:extent cx="2040396" cy="907997"/>
          <wp:effectExtent l="0" t="0" r="4445" b="0"/>
          <wp:docPr id="526565576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565576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700" cy="91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089" w:rsidRDefault="00054A5B" w14:paraId="4C13DBD4" w14:textId="1E42AE76">
    <w:pPr>
      <w:pStyle w:val="Encabezado"/>
    </w:pPr>
    <w:r w:rsidRPr="00225676">
      <w:rPr>
        <w:noProof/>
      </w:rPr>
    </w:r>
    <w:r w:rsidRPr="00225676" w:rsidR="00054A5B">
      <w:rPr>
        <w:noProof/>
      </w:rPr>
      <w:pict w14:anchorId="7F2BAE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808129" style="position:absolute;left:0;text-align:left;margin-left:0;margin-top:0;width:545.35pt;height:113.95pt;rotation:315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textpath style="font-family:&quot;Arial Nova&quot;;font-size:1pt" string="DEFINITIV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072934"/>
    <w:multiLevelType w:val="hybridMultilevel"/>
    <w:tmpl w:val="898E70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320BA"/>
    <w:multiLevelType w:val="hybridMultilevel"/>
    <w:tmpl w:val="A830B27D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E1BAA2"/>
    <w:multiLevelType w:val="hybridMultilevel"/>
    <w:tmpl w:val="130C4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56447F"/>
    <w:multiLevelType w:val="hybridMultilevel"/>
    <w:tmpl w:val="F4D42C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5E1514"/>
    <w:multiLevelType w:val="hybridMultilevel"/>
    <w:tmpl w:val="C980C182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245391"/>
    <w:multiLevelType w:val="hybridMultilevel"/>
    <w:tmpl w:val="3A70544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672D16"/>
    <w:multiLevelType w:val="hybridMultilevel"/>
    <w:tmpl w:val="57EED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379472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D1D58"/>
    <w:multiLevelType w:val="hybridMultilevel"/>
    <w:tmpl w:val="00CAABB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44576F"/>
    <w:multiLevelType w:val="hybridMultilevel"/>
    <w:tmpl w:val="F02A2E2C"/>
    <w:lvl w:ilvl="0" w:tplc="C2B2D5D4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eastAsia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C6A00"/>
    <w:multiLevelType w:val="hybridMultilevel"/>
    <w:tmpl w:val="C356322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7D52EB"/>
    <w:multiLevelType w:val="hybridMultilevel"/>
    <w:tmpl w:val="4B068BBC"/>
    <w:lvl w:ilvl="0" w:tplc="BB320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23A2"/>
    <w:multiLevelType w:val="hybridMultilevel"/>
    <w:tmpl w:val="72B63BE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240A0017">
      <w:start w:val="1"/>
      <w:numFmt w:val="lowerLetter"/>
      <w:lvlText w:val="%9)"/>
      <w:lvlJc w:val="left"/>
    </w:lvl>
  </w:abstractNum>
  <w:abstractNum w:abstractNumId="12" w15:restartNumberingAfterBreak="0">
    <w:nsid w:val="17C16BE1"/>
    <w:multiLevelType w:val="hybridMultilevel"/>
    <w:tmpl w:val="848EBEEE"/>
    <w:lvl w:ilvl="0" w:tplc="C4A0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610A3"/>
    <w:multiLevelType w:val="multilevel"/>
    <w:tmpl w:val="805256A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B1A7DBC"/>
    <w:multiLevelType w:val="hybridMultilevel"/>
    <w:tmpl w:val="0A0A5F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812"/>
    <w:multiLevelType w:val="hybridMultilevel"/>
    <w:tmpl w:val="87DEE3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3834BF"/>
    <w:multiLevelType w:val="hybridMultilevel"/>
    <w:tmpl w:val="6700D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33B2C"/>
    <w:multiLevelType w:val="hybridMultilevel"/>
    <w:tmpl w:val="5D8638D8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260EF"/>
    <w:multiLevelType w:val="hybridMultilevel"/>
    <w:tmpl w:val="63C2A7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54963"/>
    <w:multiLevelType w:val="hybridMultilevel"/>
    <w:tmpl w:val="562434E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790198"/>
    <w:multiLevelType w:val="hybridMultilevel"/>
    <w:tmpl w:val="9CE0B5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0453CC"/>
    <w:multiLevelType w:val="hybridMultilevel"/>
    <w:tmpl w:val="0FCEAE4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0613A50"/>
    <w:multiLevelType w:val="hybridMultilevel"/>
    <w:tmpl w:val="BE08D060"/>
    <w:lvl w:ilvl="0" w:tplc="D1623DE0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32C6B3A"/>
    <w:multiLevelType w:val="hybridMultilevel"/>
    <w:tmpl w:val="D304CAB4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4B84210"/>
    <w:multiLevelType w:val="hybridMultilevel"/>
    <w:tmpl w:val="298C69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50127"/>
    <w:multiLevelType w:val="hybridMultilevel"/>
    <w:tmpl w:val="CCB24B9A"/>
    <w:lvl w:ilvl="0" w:tplc="D1623DE0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4810C8"/>
    <w:multiLevelType w:val="hybridMultilevel"/>
    <w:tmpl w:val="C728065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8531D"/>
    <w:multiLevelType w:val="hybridMultilevel"/>
    <w:tmpl w:val="57C0D162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B59C0"/>
    <w:multiLevelType w:val="hybridMultilevel"/>
    <w:tmpl w:val="C7A0EDA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D31C50"/>
    <w:multiLevelType w:val="hybridMultilevel"/>
    <w:tmpl w:val="0956792E"/>
    <w:lvl w:ilvl="0" w:tplc="D1623DE0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66293E"/>
    <w:multiLevelType w:val="hybridMultilevel"/>
    <w:tmpl w:val="BEB26D6A"/>
    <w:lvl w:ilvl="0" w:tplc="C2B2D5D4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eastAsia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E78B2"/>
    <w:multiLevelType w:val="hybridMultilevel"/>
    <w:tmpl w:val="133AF05A"/>
    <w:lvl w:ilvl="0" w:tplc="FFFFFFFF">
      <w:start w:val="1"/>
      <w:numFmt w:val="bullet"/>
      <w:lvlText w:val="•"/>
      <w:lvlJc w:val="left"/>
    </w:lvl>
    <w:lvl w:ilvl="1" w:tplc="D1623DE0">
      <w:numFmt w:val="bullet"/>
      <w:lvlText w:val="•"/>
      <w:lvlJc w:val="left"/>
      <w:rPr>
        <w:rFonts w:hint="default" w:ascii="Arial" w:hAnsi="Arial" w:cs="Arial" w:eastAsia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35235A0"/>
    <w:multiLevelType w:val="hybridMultilevel"/>
    <w:tmpl w:val="87C4E286"/>
    <w:lvl w:ilvl="0" w:tplc="719CC79E">
      <w:start w:val="580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4217F6"/>
    <w:multiLevelType w:val="hybridMultilevel"/>
    <w:tmpl w:val="308826BC"/>
    <w:lvl w:ilvl="0" w:tplc="A02C6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453FE"/>
    <w:multiLevelType w:val="hybridMultilevel"/>
    <w:tmpl w:val="7A8A9D8E"/>
    <w:lvl w:ilvl="0" w:tplc="817601B2">
      <w:start w:val="2"/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5FA76E8"/>
    <w:multiLevelType w:val="hybridMultilevel"/>
    <w:tmpl w:val="C99AA3B2"/>
    <w:lvl w:ilvl="0" w:tplc="FFFFFFFF">
      <w:start w:val="1"/>
      <w:numFmt w:val="lowerRoman"/>
      <w:lvlText w:val="%1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70D2D"/>
    <w:multiLevelType w:val="hybridMultilevel"/>
    <w:tmpl w:val="BB3C96CE"/>
    <w:lvl w:ilvl="0" w:tplc="A5CE5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1D107D"/>
    <w:multiLevelType w:val="hybridMultilevel"/>
    <w:tmpl w:val="7BDE99B2"/>
    <w:lvl w:ilvl="0" w:tplc="D1623DE0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D6057EE"/>
    <w:multiLevelType w:val="hybridMultilevel"/>
    <w:tmpl w:val="9CE0B5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B706EF"/>
    <w:multiLevelType w:val="hybridMultilevel"/>
    <w:tmpl w:val="71CE57E0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E745E9"/>
    <w:multiLevelType w:val="hybridMultilevel"/>
    <w:tmpl w:val="7820F1A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E76D5C"/>
    <w:multiLevelType w:val="multilevel"/>
    <w:tmpl w:val="76C0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231518">
    <w:abstractNumId w:val="13"/>
  </w:num>
  <w:num w:numId="2" w16cid:durableId="1013147598">
    <w:abstractNumId w:val="36"/>
  </w:num>
  <w:num w:numId="3" w16cid:durableId="1629235993">
    <w:abstractNumId w:val="26"/>
  </w:num>
  <w:num w:numId="4" w16cid:durableId="1166356692">
    <w:abstractNumId w:val="34"/>
  </w:num>
  <w:num w:numId="5" w16cid:durableId="119111300">
    <w:abstractNumId w:val="20"/>
  </w:num>
  <w:num w:numId="6" w16cid:durableId="33162409">
    <w:abstractNumId w:val="38"/>
  </w:num>
  <w:num w:numId="7" w16cid:durableId="766467227">
    <w:abstractNumId w:val="1"/>
  </w:num>
  <w:num w:numId="8" w16cid:durableId="980303735">
    <w:abstractNumId w:val="11"/>
  </w:num>
  <w:num w:numId="9" w16cid:durableId="8913141">
    <w:abstractNumId w:val="2"/>
  </w:num>
  <w:num w:numId="10" w16cid:durableId="1508665962">
    <w:abstractNumId w:val="7"/>
  </w:num>
  <w:num w:numId="11" w16cid:durableId="1128621583">
    <w:abstractNumId w:val="29"/>
  </w:num>
  <w:num w:numId="12" w16cid:durableId="789781003">
    <w:abstractNumId w:val="0"/>
  </w:num>
  <w:num w:numId="13" w16cid:durableId="124349165">
    <w:abstractNumId w:val="31"/>
  </w:num>
  <w:num w:numId="14" w16cid:durableId="472992741">
    <w:abstractNumId w:val="37"/>
  </w:num>
  <w:num w:numId="15" w16cid:durableId="675763078">
    <w:abstractNumId w:val="25"/>
  </w:num>
  <w:num w:numId="16" w16cid:durableId="393699528">
    <w:abstractNumId w:val="3"/>
  </w:num>
  <w:num w:numId="17" w16cid:durableId="1175726567">
    <w:abstractNumId w:val="22"/>
  </w:num>
  <w:num w:numId="18" w16cid:durableId="1665686">
    <w:abstractNumId w:val="32"/>
  </w:num>
  <w:num w:numId="19" w16cid:durableId="1266772843">
    <w:abstractNumId w:val="14"/>
  </w:num>
  <w:num w:numId="20" w16cid:durableId="669019950">
    <w:abstractNumId w:val="39"/>
  </w:num>
  <w:num w:numId="21" w16cid:durableId="209853464">
    <w:abstractNumId w:val="4"/>
  </w:num>
  <w:num w:numId="22" w16cid:durableId="429936482">
    <w:abstractNumId w:val="23"/>
  </w:num>
  <w:num w:numId="23" w16cid:durableId="686177124">
    <w:abstractNumId w:val="13"/>
  </w:num>
  <w:num w:numId="24" w16cid:durableId="1435395860">
    <w:abstractNumId w:val="13"/>
  </w:num>
  <w:num w:numId="25" w16cid:durableId="2026470638">
    <w:abstractNumId w:val="13"/>
  </w:num>
  <w:num w:numId="26" w16cid:durableId="1046027033">
    <w:abstractNumId w:val="13"/>
  </w:num>
  <w:num w:numId="27" w16cid:durableId="499345805">
    <w:abstractNumId w:val="24"/>
  </w:num>
  <w:num w:numId="28" w16cid:durableId="1799571022">
    <w:abstractNumId w:val="10"/>
  </w:num>
  <w:num w:numId="29" w16cid:durableId="700711543">
    <w:abstractNumId w:val="21"/>
  </w:num>
  <w:num w:numId="30" w16cid:durableId="472600479">
    <w:abstractNumId w:val="28"/>
  </w:num>
  <w:num w:numId="31" w16cid:durableId="1930386415">
    <w:abstractNumId w:val="18"/>
  </w:num>
  <w:num w:numId="32" w16cid:durableId="1930307583">
    <w:abstractNumId w:val="6"/>
  </w:num>
  <w:num w:numId="33" w16cid:durableId="1509714407">
    <w:abstractNumId w:val="5"/>
  </w:num>
  <w:num w:numId="34" w16cid:durableId="1097213334">
    <w:abstractNumId w:val="17"/>
  </w:num>
  <w:num w:numId="35" w16cid:durableId="1106080058">
    <w:abstractNumId w:val="8"/>
  </w:num>
  <w:num w:numId="36" w16cid:durableId="708067826">
    <w:abstractNumId w:val="9"/>
  </w:num>
  <w:num w:numId="37" w16cid:durableId="1453286070">
    <w:abstractNumId w:val="27"/>
  </w:num>
  <w:num w:numId="38" w16cid:durableId="1357803262">
    <w:abstractNumId w:val="35"/>
  </w:num>
  <w:num w:numId="39" w16cid:durableId="554201600">
    <w:abstractNumId w:val="30"/>
  </w:num>
  <w:num w:numId="40" w16cid:durableId="879245923">
    <w:abstractNumId w:val="15"/>
  </w:num>
  <w:num w:numId="41" w16cid:durableId="1406993270">
    <w:abstractNumId w:val="40"/>
  </w:num>
  <w:num w:numId="42" w16cid:durableId="1900902897">
    <w:abstractNumId w:val="12"/>
  </w:num>
  <w:num w:numId="43" w16cid:durableId="763454732">
    <w:abstractNumId w:val="33"/>
  </w:num>
  <w:num w:numId="44" w16cid:durableId="989821811">
    <w:abstractNumId w:val="16"/>
  </w:num>
  <w:num w:numId="45" w16cid:durableId="1978097033">
    <w:abstractNumId w:val="19"/>
  </w:num>
  <w:num w:numId="46" w16cid:durableId="1047799241">
    <w:abstractNumId w:val="4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77"/>
    <w:rsid w:val="0000553E"/>
    <w:rsid w:val="00006BD1"/>
    <w:rsid w:val="00022F31"/>
    <w:rsid w:val="0003086F"/>
    <w:rsid w:val="00037166"/>
    <w:rsid w:val="000541B8"/>
    <w:rsid w:val="00054A5B"/>
    <w:rsid w:val="00060F2A"/>
    <w:rsid w:val="00073B90"/>
    <w:rsid w:val="000773E3"/>
    <w:rsid w:val="00077BB0"/>
    <w:rsid w:val="00090ABC"/>
    <w:rsid w:val="00091895"/>
    <w:rsid w:val="000962ED"/>
    <w:rsid w:val="000A17C3"/>
    <w:rsid w:val="000C0B52"/>
    <w:rsid w:val="000C2570"/>
    <w:rsid w:val="000C478F"/>
    <w:rsid w:val="000C6D3F"/>
    <w:rsid w:val="000E606F"/>
    <w:rsid w:val="000E628C"/>
    <w:rsid w:val="000E74F0"/>
    <w:rsid w:val="00100F3D"/>
    <w:rsid w:val="00101D46"/>
    <w:rsid w:val="00104E25"/>
    <w:rsid w:val="001120D6"/>
    <w:rsid w:val="0012252F"/>
    <w:rsid w:val="00136177"/>
    <w:rsid w:val="00145824"/>
    <w:rsid w:val="00145AC7"/>
    <w:rsid w:val="0015662C"/>
    <w:rsid w:val="0015757A"/>
    <w:rsid w:val="00167A35"/>
    <w:rsid w:val="001740E1"/>
    <w:rsid w:val="00185BDB"/>
    <w:rsid w:val="00197EE4"/>
    <w:rsid w:val="001A1ACF"/>
    <w:rsid w:val="001A268C"/>
    <w:rsid w:val="001B171C"/>
    <w:rsid w:val="001B1A59"/>
    <w:rsid w:val="001B23B2"/>
    <w:rsid w:val="001C007E"/>
    <w:rsid w:val="001C5715"/>
    <w:rsid w:val="001E4155"/>
    <w:rsid w:val="0020587D"/>
    <w:rsid w:val="002161E6"/>
    <w:rsid w:val="002266F4"/>
    <w:rsid w:val="00226944"/>
    <w:rsid w:val="002365FF"/>
    <w:rsid w:val="00246591"/>
    <w:rsid w:val="00247B9D"/>
    <w:rsid w:val="00265492"/>
    <w:rsid w:val="00277C32"/>
    <w:rsid w:val="00290679"/>
    <w:rsid w:val="00295AF0"/>
    <w:rsid w:val="002A4746"/>
    <w:rsid w:val="002C5942"/>
    <w:rsid w:val="002E4D86"/>
    <w:rsid w:val="002E5967"/>
    <w:rsid w:val="002F1FAA"/>
    <w:rsid w:val="002F23DF"/>
    <w:rsid w:val="002F794E"/>
    <w:rsid w:val="0030395B"/>
    <w:rsid w:val="00316CEA"/>
    <w:rsid w:val="003313CD"/>
    <w:rsid w:val="00331FAE"/>
    <w:rsid w:val="003369C5"/>
    <w:rsid w:val="00341C6A"/>
    <w:rsid w:val="003502AF"/>
    <w:rsid w:val="00353E8F"/>
    <w:rsid w:val="003703E0"/>
    <w:rsid w:val="003777A0"/>
    <w:rsid w:val="00392943"/>
    <w:rsid w:val="003B6DAD"/>
    <w:rsid w:val="003C6EDE"/>
    <w:rsid w:val="003D4DB8"/>
    <w:rsid w:val="003E4222"/>
    <w:rsid w:val="003F5DC1"/>
    <w:rsid w:val="0040793C"/>
    <w:rsid w:val="00412827"/>
    <w:rsid w:val="00420DDD"/>
    <w:rsid w:val="004238C2"/>
    <w:rsid w:val="00424715"/>
    <w:rsid w:val="00440726"/>
    <w:rsid w:val="0044129F"/>
    <w:rsid w:val="00442E8A"/>
    <w:rsid w:val="004432F1"/>
    <w:rsid w:val="004443B7"/>
    <w:rsid w:val="00460F66"/>
    <w:rsid w:val="00472124"/>
    <w:rsid w:val="00472812"/>
    <w:rsid w:val="0048085A"/>
    <w:rsid w:val="00483E39"/>
    <w:rsid w:val="004928FB"/>
    <w:rsid w:val="004A1359"/>
    <w:rsid w:val="004B2823"/>
    <w:rsid w:val="004B296D"/>
    <w:rsid w:val="004B3A7E"/>
    <w:rsid w:val="004B5CB2"/>
    <w:rsid w:val="004F0907"/>
    <w:rsid w:val="00504D44"/>
    <w:rsid w:val="00506931"/>
    <w:rsid w:val="0050798F"/>
    <w:rsid w:val="00516A74"/>
    <w:rsid w:val="00517C2B"/>
    <w:rsid w:val="0052580F"/>
    <w:rsid w:val="00531D3F"/>
    <w:rsid w:val="0053654A"/>
    <w:rsid w:val="00543EA1"/>
    <w:rsid w:val="0055335E"/>
    <w:rsid w:val="00555FEB"/>
    <w:rsid w:val="00560873"/>
    <w:rsid w:val="0056237D"/>
    <w:rsid w:val="00563125"/>
    <w:rsid w:val="0057203C"/>
    <w:rsid w:val="00574341"/>
    <w:rsid w:val="00576AAD"/>
    <w:rsid w:val="00585176"/>
    <w:rsid w:val="005942D4"/>
    <w:rsid w:val="005A14EA"/>
    <w:rsid w:val="005A1F7A"/>
    <w:rsid w:val="005B1FD5"/>
    <w:rsid w:val="005D3CD8"/>
    <w:rsid w:val="005D7E53"/>
    <w:rsid w:val="005F1900"/>
    <w:rsid w:val="005F32D1"/>
    <w:rsid w:val="0060035A"/>
    <w:rsid w:val="006045E2"/>
    <w:rsid w:val="00613728"/>
    <w:rsid w:val="00630933"/>
    <w:rsid w:val="00642725"/>
    <w:rsid w:val="00657214"/>
    <w:rsid w:val="0067016B"/>
    <w:rsid w:val="006737B0"/>
    <w:rsid w:val="00673C21"/>
    <w:rsid w:val="006926ED"/>
    <w:rsid w:val="00693923"/>
    <w:rsid w:val="00696EC6"/>
    <w:rsid w:val="006C0680"/>
    <w:rsid w:val="006C1C82"/>
    <w:rsid w:val="006C267B"/>
    <w:rsid w:val="006C7E89"/>
    <w:rsid w:val="006D669F"/>
    <w:rsid w:val="006F13B0"/>
    <w:rsid w:val="006F377E"/>
    <w:rsid w:val="0070446C"/>
    <w:rsid w:val="0070668B"/>
    <w:rsid w:val="00710653"/>
    <w:rsid w:val="00715DD8"/>
    <w:rsid w:val="007212F9"/>
    <w:rsid w:val="007362A2"/>
    <w:rsid w:val="00753CD0"/>
    <w:rsid w:val="0075498C"/>
    <w:rsid w:val="00755C4C"/>
    <w:rsid w:val="00756D11"/>
    <w:rsid w:val="00764B12"/>
    <w:rsid w:val="0076739E"/>
    <w:rsid w:val="00772E97"/>
    <w:rsid w:val="00776824"/>
    <w:rsid w:val="007774EF"/>
    <w:rsid w:val="00785931"/>
    <w:rsid w:val="00791F71"/>
    <w:rsid w:val="00795DBA"/>
    <w:rsid w:val="007B5B84"/>
    <w:rsid w:val="007C2F53"/>
    <w:rsid w:val="007C60B4"/>
    <w:rsid w:val="007D07E1"/>
    <w:rsid w:val="007D3336"/>
    <w:rsid w:val="007E18B8"/>
    <w:rsid w:val="007E680E"/>
    <w:rsid w:val="007F3186"/>
    <w:rsid w:val="007F5E01"/>
    <w:rsid w:val="008010B9"/>
    <w:rsid w:val="00801164"/>
    <w:rsid w:val="00801B75"/>
    <w:rsid w:val="00801C62"/>
    <w:rsid w:val="008111A6"/>
    <w:rsid w:val="00823BA5"/>
    <w:rsid w:val="0084277F"/>
    <w:rsid w:val="00846A3A"/>
    <w:rsid w:val="00853875"/>
    <w:rsid w:val="00881A69"/>
    <w:rsid w:val="00885D3F"/>
    <w:rsid w:val="00897167"/>
    <w:rsid w:val="008A796C"/>
    <w:rsid w:val="008B32F6"/>
    <w:rsid w:val="008B3C31"/>
    <w:rsid w:val="008B4555"/>
    <w:rsid w:val="008D1CA4"/>
    <w:rsid w:val="008E4F6F"/>
    <w:rsid w:val="009006C8"/>
    <w:rsid w:val="00913CDA"/>
    <w:rsid w:val="00915BD6"/>
    <w:rsid w:val="00922D72"/>
    <w:rsid w:val="009234F9"/>
    <w:rsid w:val="00933414"/>
    <w:rsid w:val="00935FA7"/>
    <w:rsid w:val="0094620A"/>
    <w:rsid w:val="009507C4"/>
    <w:rsid w:val="0095774F"/>
    <w:rsid w:val="00964A9D"/>
    <w:rsid w:val="00974319"/>
    <w:rsid w:val="00980B06"/>
    <w:rsid w:val="00980B08"/>
    <w:rsid w:val="00986CD4"/>
    <w:rsid w:val="00987E64"/>
    <w:rsid w:val="00993524"/>
    <w:rsid w:val="009B10C8"/>
    <w:rsid w:val="009B2181"/>
    <w:rsid w:val="009B2BED"/>
    <w:rsid w:val="009B60E4"/>
    <w:rsid w:val="009B6FBA"/>
    <w:rsid w:val="009C029B"/>
    <w:rsid w:val="009C56B5"/>
    <w:rsid w:val="009D630D"/>
    <w:rsid w:val="009E0241"/>
    <w:rsid w:val="009E45C3"/>
    <w:rsid w:val="009F3415"/>
    <w:rsid w:val="00A42A7F"/>
    <w:rsid w:val="00A46454"/>
    <w:rsid w:val="00A764D8"/>
    <w:rsid w:val="00A84ED7"/>
    <w:rsid w:val="00A96E70"/>
    <w:rsid w:val="00AA0DFA"/>
    <w:rsid w:val="00AA67F4"/>
    <w:rsid w:val="00AC60E8"/>
    <w:rsid w:val="00AD2C3A"/>
    <w:rsid w:val="00AD7012"/>
    <w:rsid w:val="00AE30C8"/>
    <w:rsid w:val="00AE79E1"/>
    <w:rsid w:val="00AF29E0"/>
    <w:rsid w:val="00B00519"/>
    <w:rsid w:val="00B101A4"/>
    <w:rsid w:val="00B15C93"/>
    <w:rsid w:val="00B323CF"/>
    <w:rsid w:val="00B32609"/>
    <w:rsid w:val="00B450B0"/>
    <w:rsid w:val="00B63212"/>
    <w:rsid w:val="00B7579C"/>
    <w:rsid w:val="00B90134"/>
    <w:rsid w:val="00BA562C"/>
    <w:rsid w:val="00BA7037"/>
    <w:rsid w:val="00BB4277"/>
    <w:rsid w:val="00BB5A3F"/>
    <w:rsid w:val="00BD37DD"/>
    <w:rsid w:val="00BD3C7C"/>
    <w:rsid w:val="00BD4475"/>
    <w:rsid w:val="00BD73F1"/>
    <w:rsid w:val="00BF73DF"/>
    <w:rsid w:val="00C12BF3"/>
    <w:rsid w:val="00C202B8"/>
    <w:rsid w:val="00C30F7F"/>
    <w:rsid w:val="00C37FC9"/>
    <w:rsid w:val="00C4240C"/>
    <w:rsid w:val="00C44105"/>
    <w:rsid w:val="00C45452"/>
    <w:rsid w:val="00C47D4A"/>
    <w:rsid w:val="00C513EE"/>
    <w:rsid w:val="00C653E8"/>
    <w:rsid w:val="00C7217A"/>
    <w:rsid w:val="00C86C85"/>
    <w:rsid w:val="00CA457D"/>
    <w:rsid w:val="00CA4BC2"/>
    <w:rsid w:val="00CA5F43"/>
    <w:rsid w:val="00CA7877"/>
    <w:rsid w:val="00CB1901"/>
    <w:rsid w:val="00CC1897"/>
    <w:rsid w:val="00CC3C19"/>
    <w:rsid w:val="00CD2FA1"/>
    <w:rsid w:val="00CD4268"/>
    <w:rsid w:val="00CE1EEC"/>
    <w:rsid w:val="00CE2B03"/>
    <w:rsid w:val="00CE3117"/>
    <w:rsid w:val="00CE54B6"/>
    <w:rsid w:val="00D073B6"/>
    <w:rsid w:val="00D112A3"/>
    <w:rsid w:val="00D13AA1"/>
    <w:rsid w:val="00D249C2"/>
    <w:rsid w:val="00D34DAA"/>
    <w:rsid w:val="00D40FA9"/>
    <w:rsid w:val="00D42586"/>
    <w:rsid w:val="00D46AB3"/>
    <w:rsid w:val="00D47C60"/>
    <w:rsid w:val="00D60F15"/>
    <w:rsid w:val="00D7072B"/>
    <w:rsid w:val="00D74399"/>
    <w:rsid w:val="00D80EEC"/>
    <w:rsid w:val="00D830F8"/>
    <w:rsid w:val="00D85DEF"/>
    <w:rsid w:val="00D867B8"/>
    <w:rsid w:val="00D93379"/>
    <w:rsid w:val="00DA3089"/>
    <w:rsid w:val="00DB3488"/>
    <w:rsid w:val="00DB448B"/>
    <w:rsid w:val="00DB5985"/>
    <w:rsid w:val="00DB7C2C"/>
    <w:rsid w:val="00DC24E4"/>
    <w:rsid w:val="00DC63AB"/>
    <w:rsid w:val="00DD25C1"/>
    <w:rsid w:val="00DD5675"/>
    <w:rsid w:val="00DE4908"/>
    <w:rsid w:val="00DE635D"/>
    <w:rsid w:val="00DE63D1"/>
    <w:rsid w:val="00DF0453"/>
    <w:rsid w:val="00DF3782"/>
    <w:rsid w:val="00E10A6C"/>
    <w:rsid w:val="00E16A20"/>
    <w:rsid w:val="00E307C6"/>
    <w:rsid w:val="00E3609B"/>
    <w:rsid w:val="00E43495"/>
    <w:rsid w:val="00E578F5"/>
    <w:rsid w:val="00E616E7"/>
    <w:rsid w:val="00E6233D"/>
    <w:rsid w:val="00E76FDB"/>
    <w:rsid w:val="00E829E5"/>
    <w:rsid w:val="00E87981"/>
    <w:rsid w:val="00E907F9"/>
    <w:rsid w:val="00EB5571"/>
    <w:rsid w:val="00ED525C"/>
    <w:rsid w:val="00ED5296"/>
    <w:rsid w:val="00ED6A56"/>
    <w:rsid w:val="00ED72AB"/>
    <w:rsid w:val="00EF3774"/>
    <w:rsid w:val="00EF3B43"/>
    <w:rsid w:val="00EF64A6"/>
    <w:rsid w:val="00F027A4"/>
    <w:rsid w:val="00F061F4"/>
    <w:rsid w:val="00F079BF"/>
    <w:rsid w:val="00F2178A"/>
    <w:rsid w:val="00F30DCD"/>
    <w:rsid w:val="00F3610E"/>
    <w:rsid w:val="00F4639E"/>
    <w:rsid w:val="00F52416"/>
    <w:rsid w:val="00F6346E"/>
    <w:rsid w:val="00F66F22"/>
    <w:rsid w:val="00F80AAA"/>
    <w:rsid w:val="00F80B19"/>
    <w:rsid w:val="00F87301"/>
    <w:rsid w:val="00FA1949"/>
    <w:rsid w:val="00FA6D0A"/>
    <w:rsid w:val="00FB1ED6"/>
    <w:rsid w:val="00FB32D8"/>
    <w:rsid w:val="00FB6330"/>
    <w:rsid w:val="00FD5F64"/>
    <w:rsid w:val="00FF34FF"/>
    <w:rsid w:val="2A4A97E3"/>
    <w:rsid w:val="2E7B8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E2F2F"/>
  <w15:chartTrackingRefBased/>
  <w15:docId w15:val="{3325F06E-9366-48E4-8D67-3F61A778E4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639E"/>
    <w:pPr>
      <w:spacing w:after="0" w:line="240" w:lineRule="auto"/>
      <w:jc w:val="both"/>
    </w:pPr>
    <w:rPr>
      <w:rFonts w:ascii="Arial Nova" w:hAnsi="Arial Nova"/>
      <w:color w:val="171717" w:themeColor="background2" w:themeShade="1A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1901"/>
    <w:pPr>
      <w:keepNext/>
      <w:keepLines/>
      <w:numPr>
        <w:numId w:val="1"/>
      </w:numPr>
      <w:pBdr>
        <w:bottom w:val="single" w:color="auto" w:sz="4" w:space="1"/>
      </w:pBdr>
      <w:outlineLvl w:val="0"/>
    </w:pPr>
    <w:rPr>
      <w:rFonts w:ascii="Century Gothic" w:hAnsi="Century Gothic" w:eastAsiaTheme="majorEastAsia" w:cstheme="majorBidi"/>
      <w:b/>
      <w:color w:val="45589C"/>
      <w:sz w:val="24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A7E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3A7E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szCs w:val="24"/>
      <w:lang w:val="es-C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3A7E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bCs/>
      <w:u w:val="single"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277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B4277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B42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B427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42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B4277"/>
    <w:rPr>
      <w:lang w:val="es-ES"/>
    </w:rPr>
  </w:style>
  <w:style w:type="table" w:styleId="Cuadrculadetablaclara1" w:customStyle="1">
    <w:name w:val="Cuadrícula de tabla clara1"/>
    <w:basedOn w:val="Tablanormal"/>
    <w:next w:val="Tablaconcuadrculaclara"/>
    <w:uiPriority w:val="99"/>
    <w:rsid w:val="00BB427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ablaconcuadrculaclara">
    <w:name w:val="Grid Table Light"/>
    <w:basedOn w:val="Tablanormal"/>
    <w:uiPriority w:val="40"/>
    <w:rsid w:val="00BB427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CB1901"/>
    <w:rPr>
      <w:rFonts w:ascii="Century Gothic" w:hAnsi="Century Gothic" w:eastAsiaTheme="majorEastAsia" w:cstheme="majorBidi"/>
      <w:b/>
      <w:color w:val="45589C"/>
      <w:sz w:val="24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777A0"/>
    <w:pPr>
      <w:tabs>
        <w:tab w:val="right" w:leader="dot" w:pos="8828"/>
      </w:tabs>
      <w:spacing w:before="120" w:after="120"/>
      <w:jc w:val="left"/>
    </w:pPr>
    <w:rPr>
      <w:rFonts w:ascii="Geomanist Light" w:hAnsi="Geomanist Light" w:cstheme="minorHAnsi"/>
      <w:caps/>
      <w:noProof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5498C"/>
    <w:pPr>
      <w:ind w:left="200"/>
      <w:jc w:val="left"/>
    </w:pPr>
    <w:rPr>
      <w:rFonts w:cs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75498C"/>
    <w:pPr>
      <w:ind w:left="400"/>
      <w:jc w:val="left"/>
    </w:pPr>
    <w:rPr>
      <w:rFonts w:cstheme="minorHAnsi"/>
      <w:i/>
      <w:iCs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75498C"/>
    <w:pPr>
      <w:ind w:left="600"/>
      <w:jc w:val="left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75498C"/>
    <w:pPr>
      <w:ind w:left="800"/>
      <w:jc w:val="left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75498C"/>
    <w:pPr>
      <w:ind w:left="1000"/>
      <w:jc w:val="left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75498C"/>
    <w:pPr>
      <w:ind w:left="1200"/>
      <w:jc w:val="left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75498C"/>
    <w:pPr>
      <w:ind w:left="1400"/>
      <w:jc w:val="left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75498C"/>
    <w:pPr>
      <w:ind w:left="1600"/>
      <w:jc w:val="left"/>
    </w:pPr>
    <w:rPr>
      <w:rFonts w:cs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49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4155"/>
    <w:pPr>
      <w:ind w:left="720"/>
      <w:contextualSpacing/>
    </w:pPr>
  </w:style>
  <w:style w:type="character" w:styleId="Ttulo2Car" w:customStyle="1">
    <w:name w:val="Título 2 Car"/>
    <w:basedOn w:val="Fuentedeprrafopredeter"/>
    <w:link w:val="Ttulo2"/>
    <w:uiPriority w:val="9"/>
    <w:rsid w:val="004B3A7E"/>
    <w:rPr>
      <w:rFonts w:ascii="Arial Nova" w:hAnsi="Arial Nova" w:eastAsiaTheme="majorEastAsia" w:cstheme="majorBidi"/>
      <w:b/>
      <w:color w:val="171717" w:themeColor="background2" w:themeShade="1A"/>
      <w:sz w:val="20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4B3A7E"/>
    <w:rPr>
      <w:rFonts w:ascii="Arial Nova" w:hAnsi="Arial Nova" w:eastAsiaTheme="majorEastAsia" w:cstheme="majorBidi"/>
      <w:b/>
      <w:color w:val="171717" w:themeColor="background2" w:themeShade="1A"/>
      <w:sz w:val="20"/>
      <w:szCs w:val="24"/>
    </w:rPr>
  </w:style>
  <w:style w:type="table" w:styleId="Tablaconcuadrcula">
    <w:name w:val="Table Grid"/>
    <w:basedOn w:val="Tablanormal"/>
    <w:uiPriority w:val="59"/>
    <w:rsid w:val="003E42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5757A"/>
    <w:pPr>
      <w:jc w:val="center"/>
    </w:pPr>
    <w:rPr>
      <w:b/>
      <w:iCs/>
      <w:sz w:val="16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20587D"/>
  </w:style>
  <w:style w:type="paragraph" w:styleId="Default" w:customStyle="1">
    <w:name w:val="Default"/>
    <w:rsid w:val="00706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28FB"/>
    <w:rPr>
      <w:rFonts w:ascii="Times New Roman" w:hAnsi="Times New Roman" w:cs="Times New Roman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4B3A7E"/>
    <w:rPr>
      <w:rFonts w:ascii="Arial Nova" w:hAnsi="Arial Nova" w:eastAsiaTheme="majorEastAsia" w:cstheme="majorBidi"/>
      <w:b/>
      <w:bCs/>
      <w:color w:val="171717" w:themeColor="background2" w:themeShade="1A"/>
      <w:sz w:val="2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F3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3186"/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F318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18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F3186"/>
    <w:rPr>
      <w:b/>
      <w:bCs/>
      <w:sz w:val="20"/>
      <w:szCs w:val="20"/>
      <w:lang w:val="es-ES"/>
    </w:rPr>
  </w:style>
  <w:style w:type="character" w:styleId="SubttuloCar" w:customStyle="1">
    <w:name w:val="Subtítulo Car"/>
    <w:link w:val="Subttulo"/>
    <w:uiPriority w:val="99"/>
    <w:locked/>
    <w:rsid w:val="008A796C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8A796C"/>
    <w:pPr>
      <w:jc w:val="center"/>
    </w:pPr>
    <w:rPr>
      <w:rFonts w:asciiTheme="minorHAnsi" w:hAnsiTheme="minorHAnsi"/>
      <w:b/>
      <w:bCs/>
      <w:color w:val="auto"/>
      <w:sz w:val="22"/>
      <w:lang w:val="es-MX" w:eastAsia="es-ES"/>
    </w:rPr>
  </w:style>
  <w:style w:type="character" w:styleId="SubttuloCar1" w:customStyle="1">
    <w:name w:val="Subtítulo Car1"/>
    <w:basedOn w:val="Fuentedeprrafopredeter"/>
    <w:uiPriority w:val="11"/>
    <w:rsid w:val="008A796C"/>
    <w:rPr>
      <w:rFonts w:eastAsiaTheme="minorEastAsia"/>
      <w:color w:val="5A5A5A" w:themeColor="text1" w:themeTint="A5"/>
      <w:spacing w:val="15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9C2"/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D249C2"/>
    <w:rPr>
      <w:rFonts w:ascii="Arial Nova" w:hAnsi="Arial Nova"/>
      <w:color w:val="171717" w:themeColor="background2" w:themeShade="1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249C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D8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99867476F5040A2D46CBA2C5F5326" ma:contentTypeVersion="13" ma:contentTypeDescription="Crear nuevo documento." ma:contentTypeScope="" ma:versionID="25c921c3226a79cc87ea3acf95d87112">
  <xsd:schema xmlns:xsd="http://www.w3.org/2001/XMLSchema" xmlns:xs="http://www.w3.org/2001/XMLSchema" xmlns:p="http://schemas.microsoft.com/office/2006/metadata/properties" xmlns:ns2="da8aa7cc-758d-4523-905f-442eecf473d5" xmlns:ns3="e5df8afc-c778-424a-bb27-2a946fd16249" targetNamespace="http://schemas.microsoft.com/office/2006/metadata/properties" ma:root="true" ma:fieldsID="37d457499ca7ecb1ca095eab53028062" ns2:_="" ns3:_="">
    <xsd:import namespace="da8aa7cc-758d-4523-905f-442eecf473d5"/>
    <xsd:import namespace="e5df8afc-c778-424a-bb27-2a946fd162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aa7cc-758d-4523-905f-442eecf473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8afc-c778-424a-bb27-2a946fd16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8aa7cc-758d-4523-905f-442eecf473d5">
      <UserInfo>
        <DisplayName>Rene Tercero Hernández</DisplayName>
        <AccountId>13</AccountId>
        <AccountType/>
      </UserInfo>
      <UserInfo>
        <DisplayName>William Javier Ruiz Salas</DisplayName>
        <AccountId>14</AccountId>
        <AccountType/>
      </UserInfo>
      <UserInfo>
        <DisplayName>Laura Natalia Herrera</DisplayName>
        <AccountId>11</AccountId>
        <AccountType/>
      </UserInfo>
      <UserInfo>
        <DisplayName>Jaime Enrique Santiago Moncaleano Alvarado</DisplayName>
        <AccountId>23</AccountId>
        <AccountType/>
      </UserInfo>
      <UserInfo>
        <DisplayName>Sergio Andrés Peña Aristizábal</DisplayName>
        <AccountId>6</AccountId>
        <AccountType/>
      </UserInfo>
    </SharedWithUsers>
    <MediaLengthInSeconds xmlns="e5df8afc-c778-424a-bb27-2a946fd16249" xsi:nil="true"/>
    <lcf76f155ced4ddcb4097134ff3c332f xmlns="e5df8afc-c778-424a-bb27-2a946fd16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CA123-BDDA-4684-96D1-8189F0D8E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aa7cc-758d-4523-905f-442eecf473d5"/>
    <ds:schemaRef ds:uri="e5df8afc-c778-424a-bb27-2a946fd16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92E13-EE3B-45D4-8F71-97030E243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5B364-87B6-4F30-BA84-99A9B61A6F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1C572E-8A27-4C5E-B2EF-0BC35A331386}">
  <ds:schemaRefs>
    <ds:schemaRef ds:uri="http://schemas.microsoft.com/office/2006/metadata/properties"/>
    <ds:schemaRef ds:uri="http://schemas.microsoft.com/office/infopath/2007/PartnerControls"/>
    <ds:schemaRef ds:uri="da8aa7cc-758d-4523-905f-442eecf473d5"/>
    <ds:schemaRef ds:uri="e5df8afc-c778-424a-bb27-2a946fd162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Karlo Fernández Cala</dc:creator>
  <keywords/>
  <dc:description/>
  <lastModifiedBy>Jaime Enrique Santiago Moncaleano Alvarado</lastModifiedBy>
  <revision>163</revision>
  <lastPrinted>2020-09-11T14:56:00.0000000Z</lastPrinted>
  <dcterms:created xsi:type="dcterms:W3CDTF">2023-06-19T14:10:00.0000000Z</dcterms:created>
  <dcterms:modified xsi:type="dcterms:W3CDTF">2024-09-12T16:11:17.7419378Z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0x010100FCF99867476F5040A2D46CBA2C5F5326</vt:lpwstr>
  </property>
  <property fmtid="{D5CDD505-2E9C-101B-9397-08002B2CF9AE}" pid="3" name="MediaServiceImageTags">
    <vt:lpwstr/>
  </property>
  <property fmtid="{D5CDD505-2E9C-101B-9397-08002B2CF9AE}" pid="4" name="Order">
    <vt:r8>166487100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