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3611C" w14:textId="77777777" w:rsidR="007B182B" w:rsidRPr="00A81BAA" w:rsidRDefault="007B182B" w:rsidP="007B182B">
      <w:pPr>
        <w:rPr>
          <w:rFonts w:ascii="Verdana" w:eastAsia="Arial" w:hAnsi="Verdana" w:cs="Arial"/>
          <w:sz w:val="22"/>
          <w:szCs w:val="22"/>
        </w:rPr>
      </w:pPr>
    </w:p>
    <w:p w14:paraId="4B0BD4B5" w14:textId="77777777" w:rsidR="000518CA" w:rsidRPr="00A81BAA" w:rsidRDefault="000518CA" w:rsidP="007B182B">
      <w:pPr>
        <w:rPr>
          <w:rFonts w:ascii="Verdana" w:eastAsia="Arial" w:hAnsi="Verdana" w:cs="Arial"/>
          <w:sz w:val="22"/>
          <w:szCs w:val="22"/>
        </w:rPr>
      </w:pPr>
    </w:p>
    <w:p w14:paraId="4C1E2A71" w14:textId="77777777" w:rsidR="00B76F5A" w:rsidRPr="00A81BAA" w:rsidRDefault="00B76F5A" w:rsidP="007B182B">
      <w:pPr>
        <w:rPr>
          <w:rFonts w:ascii="Verdana" w:eastAsia="Arial" w:hAnsi="Verdana" w:cs="Arial"/>
          <w:sz w:val="22"/>
          <w:szCs w:val="22"/>
        </w:rPr>
      </w:pPr>
    </w:p>
    <w:p w14:paraId="3D4DD66D" w14:textId="77777777" w:rsidR="00B76F5A" w:rsidRPr="00A81BAA" w:rsidRDefault="00B76F5A" w:rsidP="007B182B">
      <w:pPr>
        <w:rPr>
          <w:rFonts w:ascii="Verdana" w:eastAsia="Arial" w:hAnsi="Verdana" w:cs="Arial"/>
          <w:sz w:val="22"/>
          <w:szCs w:val="22"/>
        </w:rPr>
      </w:pPr>
    </w:p>
    <w:p w14:paraId="0C009C8C" w14:textId="77777777" w:rsidR="00B76F5A" w:rsidRPr="00A81BAA" w:rsidRDefault="00B76F5A" w:rsidP="007B182B">
      <w:pPr>
        <w:rPr>
          <w:rFonts w:ascii="Verdana" w:eastAsia="Arial" w:hAnsi="Verdana" w:cs="Arial"/>
          <w:sz w:val="22"/>
          <w:szCs w:val="22"/>
        </w:rPr>
      </w:pPr>
    </w:p>
    <w:p w14:paraId="7A60489F" w14:textId="77777777" w:rsidR="002340CF" w:rsidRPr="00A81BAA" w:rsidRDefault="002340CF" w:rsidP="00A81BAA">
      <w:pPr>
        <w:rPr>
          <w:rFonts w:ascii="Verdana" w:eastAsia="Arial" w:hAnsi="Verdana" w:cs="Arial"/>
          <w:b/>
          <w:sz w:val="22"/>
          <w:szCs w:val="22"/>
        </w:rPr>
      </w:pPr>
    </w:p>
    <w:p w14:paraId="0A62BEC2" w14:textId="229D9E27" w:rsidR="002340CF" w:rsidRPr="00A81BAA" w:rsidRDefault="216F4183" w:rsidP="449377F1">
      <w:pPr>
        <w:jc w:val="center"/>
        <w:rPr>
          <w:rFonts w:ascii="Verdana Pro" w:eastAsia="Verdana Pro" w:hAnsi="Verdana Pro" w:cs="Verdana Pro"/>
          <w:b/>
          <w:bCs/>
          <w:sz w:val="22"/>
          <w:szCs w:val="22"/>
        </w:rPr>
      </w:pPr>
      <w:r w:rsidRPr="449377F1">
        <w:rPr>
          <w:rFonts w:ascii="Verdana Pro" w:eastAsia="Verdana Pro" w:hAnsi="Verdana Pro" w:cs="Verdana Pro"/>
          <w:b/>
          <w:bCs/>
          <w:sz w:val="22"/>
          <w:szCs w:val="22"/>
        </w:rPr>
        <w:t xml:space="preserve">ANEXO </w:t>
      </w:r>
    </w:p>
    <w:p w14:paraId="5359F0D2" w14:textId="6FA94855" w:rsidR="002340CF" w:rsidRPr="00A81BAA" w:rsidRDefault="216F4183" w:rsidP="449377F1">
      <w:pPr>
        <w:jc w:val="center"/>
        <w:rPr>
          <w:rFonts w:ascii="Verdana Pro" w:eastAsia="Verdana Pro" w:hAnsi="Verdana Pro" w:cs="Verdana Pro"/>
          <w:b/>
          <w:bCs/>
          <w:sz w:val="22"/>
          <w:szCs w:val="22"/>
        </w:rPr>
      </w:pPr>
      <w:r w:rsidRPr="449377F1">
        <w:rPr>
          <w:rFonts w:ascii="Verdana Pro" w:eastAsia="Verdana Pro" w:hAnsi="Verdana Pro" w:cs="Verdana Pro"/>
          <w:b/>
          <w:bCs/>
          <w:sz w:val="22"/>
          <w:szCs w:val="22"/>
        </w:rPr>
        <w:t xml:space="preserve">MEMORIA JUSTIFICATIVA </w:t>
      </w:r>
    </w:p>
    <w:p w14:paraId="753C2822" w14:textId="77777777" w:rsidR="002340CF" w:rsidRDefault="002340CF" w:rsidP="449377F1">
      <w:pPr>
        <w:jc w:val="center"/>
        <w:rPr>
          <w:rFonts w:ascii="Verdana Pro" w:eastAsia="Verdana Pro" w:hAnsi="Verdana Pro" w:cs="Verdana Pro"/>
          <w:b/>
          <w:bCs/>
          <w:sz w:val="22"/>
          <w:szCs w:val="22"/>
        </w:rPr>
      </w:pPr>
    </w:p>
    <w:p w14:paraId="280D92EF" w14:textId="77777777" w:rsidR="002052D8" w:rsidRDefault="002052D8" w:rsidP="449377F1">
      <w:pPr>
        <w:jc w:val="center"/>
        <w:rPr>
          <w:rFonts w:ascii="Verdana Pro" w:eastAsia="Verdana Pro" w:hAnsi="Verdana Pro" w:cs="Verdana Pro"/>
          <w:b/>
          <w:bCs/>
          <w:sz w:val="22"/>
          <w:szCs w:val="22"/>
        </w:rPr>
      </w:pPr>
    </w:p>
    <w:p w14:paraId="184E48C8" w14:textId="77777777" w:rsidR="002052D8" w:rsidRPr="00A81BAA" w:rsidRDefault="002052D8" w:rsidP="449377F1">
      <w:pPr>
        <w:jc w:val="center"/>
        <w:rPr>
          <w:rFonts w:ascii="Verdana Pro" w:eastAsia="Verdana Pro" w:hAnsi="Verdana Pro" w:cs="Verdana Pro"/>
          <w:b/>
          <w:bCs/>
          <w:sz w:val="22"/>
          <w:szCs w:val="22"/>
        </w:rPr>
      </w:pPr>
    </w:p>
    <w:p w14:paraId="6C3F2DD1" w14:textId="77777777" w:rsidR="002340CF" w:rsidRPr="00A81BAA" w:rsidRDefault="002340CF" w:rsidP="449377F1">
      <w:pPr>
        <w:jc w:val="center"/>
        <w:rPr>
          <w:rFonts w:ascii="Verdana Pro" w:eastAsia="Verdana Pro" w:hAnsi="Verdana Pro" w:cs="Verdana Pro"/>
          <w:b/>
          <w:bCs/>
          <w:sz w:val="22"/>
          <w:szCs w:val="22"/>
        </w:rPr>
      </w:pPr>
    </w:p>
    <w:p w14:paraId="438F7E49" w14:textId="77777777" w:rsidR="002340CF" w:rsidRPr="00A81BAA" w:rsidRDefault="002340CF" w:rsidP="449377F1">
      <w:pPr>
        <w:jc w:val="center"/>
        <w:rPr>
          <w:rFonts w:ascii="Verdana Pro" w:eastAsia="Verdana Pro" w:hAnsi="Verdana Pro" w:cs="Verdana Pro"/>
          <w:b/>
          <w:bCs/>
          <w:sz w:val="22"/>
          <w:szCs w:val="22"/>
        </w:rPr>
      </w:pPr>
    </w:p>
    <w:p w14:paraId="7612261F" w14:textId="77777777" w:rsidR="002340CF" w:rsidRPr="00A81BAA" w:rsidRDefault="002340CF" w:rsidP="449377F1">
      <w:pPr>
        <w:jc w:val="center"/>
        <w:rPr>
          <w:rFonts w:ascii="Verdana Pro" w:eastAsia="Verdana Pro" w:hAnsi="Verdana Pro" w:cs="Verdana Pro"/>
          <w:b/>
          <w:bCs/>
          <w:sz w:val="22"/>
          <w:szCs w:val="22"/>
        </w:rPr>
      </w:pPr>
    </w:p>
    <w:p w14:paraId="001D52F8" w14:textId="77777777" w:rsidR="002340CF" w:rsidRPr="00A81BAA" w:rsidRDefault="002340CF" w:rsidP="449377F1">
      <w:pPr>
        <w:jc w:val="center"/>
        <w:rPr>
          <w:rFonts w:ascii="Verdana Pro" w:eastAsia="Verdana Pro" w:hAnsi="Verdana Pro" w:cs="Verdana Pro"/>
          <w:b/>
          <w:bCs/>
          <w:sz w:val="22"/>
          <w:szCs w:val="22"/>
        </w:rPr>
      </w:pPr>
    </w:p>
    <w:p w14:paraId="4CFF44D3" w14:textId="0471B835" w:rsidR="002340CF" w:rsidRDefault="0764339E" w:rsidP="449377F1">
      <w:pPr>
        <w:jc w:val="center"/>
        <w:rPr>
          <w:rFonts w:ascii="Verdana Pro" w:eastAsia="Verdana Pro" w:hAnsi="Verdana Pro" w:cs="Verdana Pro"/>
          <w:b/>
          <w:bCs/>
          <w:sz w:val="22"/>
          <w:szCs w:val="22"/>
        </w:rPr>
      </w:pPr>
      <w:r w:rsidRPr="449377F1">
        <w:rPr>
          <w:rFonts w:ascii="Verdana Pro" w:eastAsia="Verdana Pro" w:hAnsi="Verdana Pro" w:cs="Verdana Pro"/>
          <w:b/>
          <w:bCs/>
          <w:sz w:val="22"/>
          <w:szCs w:val="22"/>
        </w:rPr>
        <w:t xml:space="preserve">ANÁLISIS SECTORIAL PARA LA ACTUALIZACIÓN DEL DOCUMENTO TIPO INFRAESTRUCTURA SOCIAL MODALIDADES DE SELECCIÓN </w:t>
      </w:r>
      <w:r w:rsidR="2D375BEE" w:rsidRPr="449377F1">
        <w:rPr>
          <w:rFonts w:ascii="Verdana Pro" w:eastAsia="Verdana Pro" w:hAnsi="Verdana Pro" w:cs="Verdana Pro"/>
          <w:b/>
          <w:bCs/>
          <w:sz w:val="22"/>
          <w:szCs w:val="22"/>
        </w:rPr>
        <w:t>CONCURSO DE MÉRITOS, LICITACIÓN PÚBLICA, MÍNIMA CUANTÍA, SELECCIÓN ABREVIADA DE MENOR CUANTÍA</w:t>
      </w:r>
      <w:r w:rsidRPr="449377F1">
        <w:rPr>
          <w:rFonts w:ascii="Verdana Pro" w:eastAsia="Verdana Pro" w:hAnsi="Verdana Pro" w:cs="Verdana Pro"/>
          <w:b/>
          <w:bCs/>
          <w:sz w:val="22"/>
          <w:szCs w:val="22"/>
        </w:rPr>
        <w:t>.</w:t>
      </w:r>
    </w:p>
    <w:p w14:paraId="5A199F92" w14:textId="77777777" w:rsidR="00132EF8" w:rsidRPr="00A81BAA" w:rsidRDefault="00132EF8" w:rsidP="449377F1">
      <w:pPr>
        <w:jc w:val="center"/>
        <w:rPr>
          <w:rFonts w:ascii="Verdana Pro" w:eastAsia="Verdana Pro" w:hAnsi="Verdana Pro" w:cs="Verdana Pro"/>
          <w:b/>
          <w:bCs/>
          <w:sz w:val="22"/>
          <w:szCs w:val="22"/>
        </w:rPr>
      </w:pPr>
    </w:p>
    <w:p w14:paraId="6E840B60" w14:textId="5B288665" w:rsidR="177792B3" w:rsidRDefault="177792B3" w:rsidP="449377F1">
      <w:pPr>
        <w:jc w:val="center"/>
        <w:rPr>
          <w:rFonts w:ascii="Verdana Pro" w:eastAsia="Verdana Pro" w:hAnsi="Verdana Pro" w:cs="Verdana Pro"/>
          <w:b/>
          <w:bCs/>
          <w:sz w:val="22"/>
          <w:szCs w:val="22"/>
        </w:rPr>
      </w:pPr>
    </w:p>
    <w:p w14:paraId="2F65E8DD" w14:textId="7DA41AA7" w:rsidR="177792B3" w:rsidRDefault="177792B3" w:rsidP="449377F1">
      <w:pPr>
        <w:jc w:val="center"/>
        <w:rPr>
          <w:rFonts w:ascii="Verdana Pro" w:eastAsia="Verdana Pro" w:hAnsi="Verdana Pro" w:cs="Verdana Pro"/>
          <w:b/>
          <w:bCs/>
          <w:sz w:val="22"/>
          <w:szCs w:val="22"/>
        </w:rPr>
      </w:pPr>
    </w:p>
    <w:p w14:paraId="5919E553" w14:textId="2F864EFC" w:rsidR="177792B3" w:rsidRDefault="177792B3" w:rsidP="449377F1">
      <w:pPr>
        <w:jc w:val="center"/>
        <w:rPr>
          <w:rFonts w:ascii="Verdana Pro" w:eastAsia="Verdana Pro" w:hAnsi="Verdana Pro" w:cs="Verdana Pro"/>
          <w:b/>
          <w:bCs/>
          <w:sz w:val="22"/>
          <w:szCs w:val="22"/>
        </w:rPr>
      </w:pPr>
    </w:p>
    <w:p w14:paraId="2029727E" w14:textId="10077FF0" w:rsidR="002052D8" w:rsidRPr="00A81BAA" w:rsidRDefault="4A4A10E8" w:rsidP="449377F1">
      <w:pPr>
        <w:jc w:val="center"/>
        <w:rPr>
          <w:rFonts w:ascii="Verdana Pro" w:eastAsia="Verdana Pro" w:hAnsi="Verdana Pro" w:cs="Verdana Pro"/>
          <w:b/>
          <w:bCs/>
          <w:sz w:val="22"/>
          <w:szCs w:val="22"/>
        </w:rPr>
      </w:pPr>
      <w:r w:rsidRPr="449377F1">
        <w:rPr>
          <w:rFonts w:ascii="Verdana Pro" w:eastAsia="Verdana Pro" w:hAnsi="Verdana Pro" w:cs="Verdana Pro"/>
          <w:b/>
          <w:bCs/>
          <w:sz w:val="22"/>
          <w:szCs w:val="22"/>
        </w:rPr>
        <w:t>202</w:t>
      </w:r>
      <w:r w:rsidR="71E8F3C4" w:rsidRPr="449377F1">
        <w:rPr>
          <w:rFonts w:ascii="Verdana Pro" w:eastAsia="Verdana Pro" w:hAnsi="Verdana Pro" w:cs="Verdana Pro"/>
          <w:b/>
          <w:bCs/>
          <w:sz w:val="22"/>
          <w:szCs w:val="22"/>
        </w:rPr>
        <w:t>5</w:t>
      </w:r>
    </w:p>
    <w:p w14:paraId="3B46C43C" w14:textId="77777777" w:rsidR="002340CF" w:rsidRPr="00A81BAA" w:rsidRDefault="002340CF" w:rsidP="449377F1">
      <w:pPr>
        <w:jc w:val="center"/>
        <w:rPr>
          <w:rFonts w:ascii="Verdana Pro" w:eastAsia="Verdana Pro" w:hAnsi="Verdana Pro" w:cs="Verdana Pro"/>
          <w:b/>
          <w:bCs/>
          <w:sz w:val="22"/>
          <w:szCs w:val="22"/>
        </w:rPr>
      </w:pPr>
    </w:p>
    <w:p w14:paraId="3633B306" w14:textId="77777777" w:rsidR="002340CF" w:rsidRPr="00A81BAA" w:rsidRDefault="002340CF" w:rsidP="449377F1">
      <w:pPr>
        <w:jc w:val="center"/>
        <w:rPr>
          <w:rFonts w:ascii="Verdana Pro" w:eastAsia="Verdana Pro" w:hAnsi="Verdana Pro" w:cs="Verdana Pro"/>
          <w:b/>
          <w:bCs/>
          <w:sz w:val="22"/>
          <w:szCs w:val="22"/>
        </w:rPr>
      </w:pPr>
    </w:p>
    <w:p w14:paraId="40171ED1" w14:textId="77777777" w:rsidR="002340CF" w:rsidRPr="00A81BAA" w:rsidRDefault="002340CF" w:rsidP="449377F1">
      <w:pPr>
        <w:jc w:val="center"/>
        <w:rPr>
          <w:rFonts w:ascii="Verdana Pro" w:eastAsia="Verdana Pro" w:hAnsi="Verdana Pro" w:cs="Verdana Pro"/>
          <w:b/>
          <w:bCs/>
          <w:sz w:val="22"/>
          <w:szCs w:val="22"/>
        </w:rPr>
      </w:pPr>
    </w:p>
    <w:p w14:paraId="4D71630C" w14:textId="77777777" w:rsidR="002340CF" w:rsidRPr="00A81BAA" w:rsidRDefault="002340CF" w:rsidP="449377F1">
      <w:pPr>
        <w:jc w:val="center"/>
        <w:rPr>
          <w:rFonts w:ascii="Verdana Pro" w:eastAsia="Verdana Pro" w:hAnsi="Verdana Pro" w:cs="Verdana Pro"/>
          <w:b/>
          <w:bCs/>
          <w:sz w:val="22"/>
          <w:szCs w:val="22"/>
        </w:rPr>
      </w:pPr>
    </w:p>
    <w:p w14:paraId="6DC16352" w14:textId="77777777" w:rsidR="002340CF" w:rsidRPr="00A81BAA" w:rsidRDefault="002340CF" w:rsidP="449377F1">
      <w:pPr>
        <w:jc w:val="center"/>
        <w:rPr>
          <w:rFonts w:ascii="Verdana Pro" w:eastAsia="Verdana Pro" w:hAnsi="Verdana Pro" w:cs="Verdana Pro"/>
          <w:b/>
          <w:bCs/>
          <w:sz w:val="22"/>
          <w:szCs w:val="22"/>
        </w:rPr>
      </w:pPr>
    </w:p>
    <w:p w14:paraId="7FA29601" w14:textId="77777777" w:rsidR="002340CF" w:rsidRPr="00A81BAA" w:rsidRDefault="002340CF" w:rsidP="449377F1">
      <w:pPr>
        <w:jc w:val="center"/>
        <w:rPr>
          <w:rFonts w:ascii="Verdana Pro" w:eastAsia="Verdana Pro" w:hAnsi="Verdana Pro" w:cs="Verdana Pro"/>
          <w:b/>
          <w:bCs/>
          <w:sz w:val="22"/>
          <w:szCs w:val="22"/>
        </w:rPr>
      </w:pPr>
    </w:p>
    <w:p w14:paraId="4912D20F" w14:textId="67C9A2E0" w:rsidR="3C4C3544" w:rsidRPr="00A81BAA" w:rsidRDefault="3C4C3544" w:rsidP="449377F1">
      <w:pPr>
        <w:jc w:val="center"/>
        <w:rPr>
          <w:rFonts w:ascii="Verdana Pro" w:eastAsia="Verdana Pro" w:hAnsi="Verdana Pro" w:cs="Verdana Pro"/>
          <w:b/>
          <w:bCs/>
          <w:sz w:val="22"/>
          <w:szCs w:val="22"/>
        </w:rPr>
      </w:pPr>
    </w:p>
    <w:p w14:paraId="07EFB356" w14:textId="57934993" w:rsidR="007A79A5" w:rsidRPr="00A81BAA" w:rsidRDefault="4A4A10E8" w:rsidP="449377F1">
      <w:pPr>
        <w:jc w:val="center"/>
        <w:rPr>
          <w:rFonts w:ascii="Verdana Pro" w:eastAsia="Verdana Pro" w:hAnsi="Verdana Pro" w:cs="Verdana Pro"/>
          <w:b/>
          <w:bCs/>
          <w:sz w:val="22"/>
          <w:szCs w:val="22"/>
        </w:rPr>
      </w:pPr>
      <w:r>
        <w:rPr>
          <w:noProof/>
        </w:rPr>
        <w:drawing>
          <wp:inline distT="0" distB="0" distL="0" distR="0" wp14:anchorId="3AF234B2" wp14:editId="167F0073">
            <wp:extent cx="6120765" cy="2286000"/>
            <wp:effectExtent l="0" t="0" r="0" b="0"/>
            <wp:docPr id="407792546" name="Imagen 1" descr="Vista previa de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2">
                      <a:extLst>
                        <a:ext uri="{28A0092B-C50C-407E-A947-70E740481C1C}">
                          <a14:useLocalDpi xmlns:a14="http://schemas.microsoft.com/office/drawing/2010/main" val="0"/>
                        </a:ext>
                      </a:extLst>
                    </a:blip>
                    <a:stretch>
                      <a:fillRect/>
                    </a:stretch>
                  </pic:blipFill>
                  <pic:spPr>
                    <a:xfrm>
                      <a:off x="0" y="0"/>
                      <a:ext cx="6120765" cy="2286000"/>
                    </a:xfrm>
                    <a:prstGeom prst="rect">
                      <a:avLst/>
                    </a:prstGeom>
                  </pic:spPr>
                </pic:pic>
              </a:graphicData>
            </a:graphic>
          </wp:inline>
        </w:drawing>
      </w:r>
    </w:p>
    <w:p w14:paraId="5B32B049" w14:textId="77777777" w:rsidR="007A79A5" w:rsidRPr="00A81BAA" w:rsidRDefault="007A79A5" w:rsidP="449377F1">
      <w:pPr>
        <w:jc w:val="center"/>
        <w:rPr>
          <w:rFonts w:ascii="Verdana Pro" w:eastAsia="Verdana Pro" w:hAnsi="Verdana Pro" w:cs="Verdana Pro"/>
          <w:b/>
          <w:bCs/>
          <w:sz w:val="22"/>
          <w:szCs w:val="22"/>
        </w:rPr>
      </w:pPr>
    </w:p>
    <w:p w14:paraId="157CCC4A" w14:textId="77777777" w:rsidR="007A79A5" w:rsidRPr="00A81BAA" w:rsidRDefault="007A79A5" w:rsidP="449377F1">
      <w:pPr>
        <w:jc w:val="center"/>
        <w:rPr>
          <w:rFonts w:ascii="Verdana Pro" w:eastAsia="Verdana Pro" w:hAnsi="Verdana Pro" w:cs="Verdana Pro"/>
          <w:b/>
          <w:bCs/>
          <w:sz w:val="22"/>
          <w:szCs w:val="22"/>
        </w:rPr>
      </w:pPr>
    </w:p>
    <w:p w14:paraId="167DA238" w14:textId="2C28534A" w:rsidR="3C4C3544" w:rsidRPr="00A81BAA" w:rsidRDefault="3C4C3544" w:rsidP="449377F1">
      <w:pPr>
        <w:jc w:val="center"/>
        <w:rPr>
          <w:rFonts w:ascii="Verdana Pro" w:eastAsia="Verdana Pro" w:hAnsi="Verdana Pro" w:cs="Verdana Pro"/>
          <w:b/>
          <w:bCs/>
          <w:sz w:val="22"/>
          <w:szCs w:val="22"/>
        </w:rPr>
      </w:pPr>
    </w:p>
    <w:p w14:paraId="3D29FF4A" w14:textId="77777777" w:rsidR="00306A81" w:rsidRPr="00A81BAA" w:rsidRDefault="00306A81" w:rsidP="449377F1">
      <w:pPr>
        <w:jc w:val="center"/>
        <w:rPr>
          <w:rFonts w:ascii="Verdana Pro" w:eastAsia="Verdana Pro" w:hAnsi="Verdana Pro" w:cs="Verdana Pro"/>
          <w:b/>
          <w:bCs/>
          <w:sz w:val="22"/>
          <w:szCs w:val="22"/>
        </w:rPr>
      </w:pPr>
    </w:p>
    <w:sdt>
      <w:sdtPr>
        <w:rPr>
          <w:rFonts w:ascii="Verdana" w:eastAsia="Verdana Pro" w:hAnsi="Verdana" w:cs="Verdana Pro"/>
          <w:color w:val="auto"/>
          <w:sz w:val="22"/>
          <w:szCs w:val="22"/>
          <w:lang w:val="es-ES" w:eastAsia="es-MX"/>
        </w:rPr>
        <w:id w:val="-1004971902"/>
        <w:docPartObj>
          <w:docPartGallery w:val="Table of Contents"/>
          <w:docPartUnique/>
        </w:docPartObj>
      </w:sdtPr>
      <w:sdtEndPr>
        <w:rPr>
          <w:rFonts w:eastAsia="Times New Roman" w:cs="Arial"/>
          <w:b/>
          <w:bCs/>
        </w:rPr>
      </w:sdtEndPr>
      <w:sdtContent>
        <w:p w14:paraId="126E736A" w14:textId="0DC37DBD" w:rsidR="003B49F9" w:rsidRPr="00B00FCB" w:rsidRDefault="002A6241" w:rsidP="449377F1">
          <w:pPr>
            <w:pStyle w:val="TtuloTDC"/>
            <w:jc w:val="center"/>
            <w:rPr>
              <w:rFonts w:ascii="Verdana" w:eastAsia="Verdana Pro" w:hAnsi="Verdana" w:cs="Verdana Pro"/>
              <w:b/>
              <w:bCs/>
              <w:color w:val="auto"/>
              <w:sz w:val="22"/>
              <w:szCs w:val="22"/>
            </w:rPr>
          </w:pPr>
          <w:r w:rsidRPr="00D76E68">
            <w:rPr>
              <w:rFonts w:ascii="Verdana" w:eastAsia="Times New Roman" w:hAnsi="Verdana" w:cs="Arial"/>
              <w:b/>
              <w:bCs/>
              <w:color w:val="auto"/>
              <w:sz w:val="22"/>
              <w:szCs w:val="22"/>
              <w:lang w:val="es-ES" w:eastAsia="es-MX"/>
            </w:rPr>
            <w:t xml:space="preserve">TABLA DE </w:t>
          </w:r>
          <w:r w:rsidRPr="00D76E68">
            <w:rPr>
              <w:rFonts w:ascii="Verdana" w:hAnsi="Verdana" w:cs="Arial"/>
              <w:b/>
              <w:bCs/>
              <w:color w:val="auto"/>
              <w:sz w:val="22"/>
              <w:szCs w:val="22"/>
              <w:lang w:val="es-ES"/>
            </w:rPr>
            <w:t>CONTENIDO</w:t>
          </w:r>
        </w:p>
        <w:p w14:paraId="09576DDA" w14:textId="43B6A186" w:rsidR="00D74D4E" w:rsidRPr="00B00FCB" w:rsidRDefault="003B49F9">
          <w:pPr>
            <w:pStyle w:val="TDC1"/>
            <w:rPr>
              <w:rFonts w:ascii="Verdana" w:eastAsiaTheme="minorEastAsia" w:hAnsi="Verdana" w:cstheme="minorBidi"/>
              <w:noProof/>
              <w:kern w:val="2"/>
              <w:lang w:eastAsia="es-CO"/>
              <w14:ligatures w14:val="standardContextual"/>
            </w:rPr>
          </w:pPr>
          <w:r w:rsidRPr="00D76E68">
            <w:rPr>
              <w:rFonts w:ascii="Verdana" w:hAnsi="Verdana" w:cs="Arial"/>
              <w:sz w:val="22"/>
              <w:szCs w:val="22"/>
            </w:rPr>
            <w:fldChar w:fldCharType="begin"/>
          </w:r>
          <w:r w:rsidRPr="00D76E68">
            <w:rPr>
              <w:rFonts w:ascii="Verdana" w:hAnsi="Verdana" w:cs="Arial"/>
              <w:sz w:val="22"/>
              <w:szCs w:val="22"/>
            </w:rPr>
            <w:instrText xml:space="preserve"> TOC \o "1-3" \h \z \u </w:instrText>
          </w:r>
          <w:r w:rsidRPr="00D76E68">
            <w:rPr>
              <w:rFonts w:ascii="Verdana" w:hAnsi="Verdana" w:cs="Arial"/>
              <w:sz w:val="22"/>
              <w:szCs w:val="22"/>
            </w:rPr>
            <w:fldChar w:fldCharType="separate"/>
          </w:r>
          <w:hyperlink w:anchor="_Toc196716365" w:history="1">
            <w:r w:rsidR="00D74D4E" w:rsidRPr="00B00FCB">
              <w:rPr>
                <w:rStyle w:val="Hipervnculo"/>
                <w:rFonts w:ascii="Verdana" w:eastAsia="Verdana Pro" w:hAnsi="Verdana" w:cs="Verdana Pro"/>
                <w:noProof/>
              </w:rPr>
              <w:t>I.</w:t>
            </w:r>
            <w:r w:rsidR="00D74D4E" w:rsidRPr="00B00FCB">
              <w:rPr>
                <w:rFonts w:ascii="Verdana" w:eastAsiaTheme="minorEastAsia" w:hAnsi="Verdana" w:cstheme="minorBidi"/>
                <w:noProof/>
                <w:kern w:val="2"/>
                <w:lang w:eastAsia="es-CO"/>
                <w14:ligatures w14:val="standardContextual"/>
              </w:rPr>
              <w:tab/>
            </w:r>
            <w:r w:rsidR="00D74D4E" w:rsidRPr="00B00FCB">
              <w:rPr>
                <w:rStyle w:val="Hipervnculo"/>
                <w:rFonts w:ascii="Verdana" w:eastAsia="Verdana Pro" w:hAnsi="Verdana" w:cs="Verdana Pro"/>
                <w:noProof/>
              </w:rPr>
              <w:t>Aspectos generales del sector</w:t>
            </w:r>
            <w:r w:rsidR="00D74D4E" w:rsidRPr="00B00FCB">
              <w:rPr>
                <w:rFonts w:ascii="Verdana" w:hAnsi="Verdana"/>
                <w:noProof/>
                <w:webHidden/>
              </w:rPr>
              <w:tab/>
            </w:r>
            <w:r w:rsidR="00D74D4E" w:rsidRPr="00B00FCB">
              <w:rPr>
                <w:rFonts w:ascii="Verdana" w:hAnsi="Verdana"/>
                <w:noProof/>
                <w:webHidden/>
              </w:rPr>
              <w:fldChar w:fldCharType="begin"/>
            </w:r>
            <w:r w:rsidR="00D74D4E" w:rsidRPr="00B00FCB">
              <w:rPr>
                <w:rFonts w:ascii="Verdana" w:hAnsi="Verdana"/>
                <w:noProof/>
                <w:webHidden/>
              </w:rPr>
              <w:instrText xml:space="preserve"> PAGEREF _Toc196716365 \h </w:instrText>
            </w:r>
            <w:r w:rsidR="00D74D4E" w:rsidRPr="00B00FCB">
              <w:rPr>
                <w:rFonts w:ascii="Verdana" w:hAnsi="Verdana"/>
                <w:noProof/>
                <w:webHidden/>
              </w:rPr>
            </w:r>
            <w:r w:rsidR="00D74D4E" w:rsidRPr="00B00FCB">
              <w:rPr>
                <w:rFonts w:ascii="Verdana" w:hAnsi="Verdana"/>
                <w:noProof/>
                <w:webHidden/>
              </w:rPr>
              <w:fldChar w:fldCharType="separate"/>
            </w:r>
            <w:r w:rsidR="00A622B4">
              <w:rPr>
                <w:rFonts w:ascii="Verdana" w:hAnsi="Verdana"/>
                <w:noProof/>
                <w:webHidden/>
              </w:rPr>
              <w:t>3</w:t>
            </w:r>
            <w:r w:rsidR="00D74D4E" w:rsidRPr="00B00FCB">
              <w:rPr>
                <w:rFonts w:ascii="Verdana" w:hAnsi="Verdana"/>
                <w:noProof/>
                <w:webHidden/>
              </w:rPr>
              <w:fldChar w:fldCharType="end"/>
            </w:r>
          </w:hyperlink>
        </w:p>
        <w:p w14:paraId="7A1DF798" w14:textId="505F77CE" w:rsidR="00D74D4E" w:rsidRPr="00B00FCB" w:rsidRDefault="00D74D4E">
          <w:pPr>
            <w:pStyle w:val="TDC1"/>
            <w:rPr>
              <w:rFonts w:ascii="Verdana" w:eastAsiaTheme="minorEastAsia" w:hAnsi="Verdana" w:cstheme="minorBidi"/>
              <w:noProof/>
              <w:kern w:val="2"/>
              <w:lang w:eastAsia="es-CO"/>
              <w14:ligatures w14:val="standardContextual"/>
            </w:rPr>
          </w:pPr>
          <w:hyperlink w:anchor="_Toc196716366" w:history="1">
            <w:r w:rsidRPr="00D76E68">
              <w:rPr>
                <w:rStyle w:val="Hipervnculo"/>
                <w:rFonts w:ascii="Verdana" w:hAnsi="Verdana" w:cs="Arial"/>
                <w:noProof/>
              </w:rPr>
              <w:t>Análisis de los 870 procesos del sector Institucional por montos en millones de pesos</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_Toc196716366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65</w:t>
            </w:r>
            <w:r w:rsidRPr="00B00FCB">
              <w:rPr>
                <w:rFonts w:ascii="Verdana" w:hAnsi="Verdana"/>
                <w:noProof/>
                <w:webHidden/>
              </w:rPr>
              <w:fldChar w:fldCharType="end"/>
            </w:r>
          </w:hyperlink>
        </w:p>
        <w:p w14:paraId="6AB07EC9" w14:textId="798409C7" w:rsidR="00D74D4E" w:rsidRPr="00B00FCB" w:rsidRDefault="00D74D4E">
          <w:pPr>
            <w:pStyle w:val="TDC1"/>
            <w:rPr>
              <w:rFonts w:ascii="Verdana" w:eastAsiaTheme="minorEastAsia" w:hAnsi="Verdana" w:cstheme="minorBidi"/>
              <w:noProof/>
              <w:kern w:val="2"/>
              <w:lang w:eastAsia="es-CO"/>
              <w14:ligatures w14:val="standardContextual"/>
            </w:rPr>
          </w:pPr>
          <w:hyperlink w:anchor="_Toc196716367" w:history="1">
            <w:r w:rsidRPr="00D76E68">
              <w:rPr>
                <w:rStyle w:val="Hipervnculo"/>
                <w:rFonts w:ascii="Verdana" w:hAnsi="Verdana" w:cs="Arial"/>
                <w:noProof/>
              </w:rPr>
              <w:t>II.</w:t>
            </w:r>
            <w:r w:rsidRPr="00B00FCB">
              <w:rPr>
                <w:rFonts w:ascii="Verdana" w:eastAsiaTheme="minorEastAsia" w:hAnsi="Verdana" w:cstheme="minorBidi"/>
                <w:noProof/>
                <w:kern w:val="2"/>
                <w:lang w:eastAsia="es-CO"/>
                <w14:ligatures w14:val="standardContextual"/>
              </w:rPr>
              <w:tab/>
            </w:r>
            <w:r w:rsidRPr="00D76E68">
              <w:rPr>
                <w:rStyle w:val="Hipervnculo"/>
                <w:rFonts w:ascii="Verdana" w:eastAsia="Verdana" w:hAnsi="Verdana" w:cs="Verdana"/>
                <w:noProof/>
              </w:rPr>
              <w:t>Análisis de requisitos habi</w:t>
            </w:r>
            <w:r w:rsidRPr="00D76E68">
              <w:rPr>
                <w:rStyle w:val="Hipervnculo"/>
                <w:rFonts w:ascii="Verdana" w:hAnsi="Verdana" w:cs="Arial"/>
                <w:noProof/>
              </w:rPr>
              <w:t>litantes solicitados en</w:t>
            </w:r>
            <w:r w:rsidRPr="00D76E68">
              <w:rPr>
                <w:rStyle w:val="Hipervnculo"/>
                <w:rFonts w:ascii="Verdana" w:eastAsia="Calibri" w:hAnsi="Verdana" w:cs="Arial"/>
                <w:noProof/>
              </w:rPr>
              <w:t xml:space="preserve"> los </w:t>
            </w:r>
            <w:r w:rsidRPr="00D76E68">
              <w:rPr>
                <w:rStyle w:val="Hipervnculo"/>
                <w:rFonts w:ascii="Verdana" w:hAnsi="Verdana" w:cs="Arial"/>
                <w:noProof/>
              </w:rPr>
              <w:t>documentos tipo para proyectos de obra pública de infraestructura social</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_Toc196716367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69</w:t>
            </w:r>
            <w:r w:rsidRPr="00B00FCB">
              <w:rPr>
                <w:rFonts w:ascii="Verdana" w:hAnsi="Verdana"/>
                <w:noProof/>
                <w:webHidden/>
              </w:rPr>
              <w:fldChar w:fldCharType="end"/>
            </w:r>
          </w:hyperlink>
        </w:p>
        <w:p w14:paraId="0FFCD14B" w14:textId="4CD9EEF8"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68" w:history="1">
            <w:r w:rsidRPr="00D76E68">
              <w:rPr>
                <w:rStyle w:val="Hipervnculo"/>
                <w:rFonts w:ascii="Verdana" w:hAnsi="Verdana" w:cs="Arial"/>
                <w:noProof/>
              </w:rPr>
              <w:t>a.</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Capacidad jurídica</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_Toc196716368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72</w:t>
            </w:r>
            <w:r w:rsidRPr="00B00FCB">
              <w:rPr>
                <w:rFonts w:ascii="Verdana" w:hAnsi="Verdana"/>
                <w:noProof/>
                <w:webHidden/>
              </w:rPr>
              <w:fldChar w:fldCharType="end"/>
            </w:r>
          </w:hyperlink>
        </w:p>
        <w:p w14:paraId="70F5EFC7" w14:textId="3701531A"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69" w:history="1">
            <w:r w:rsidRPr="00D76E68">
              <w:rPr>
                <w:rStyle w:val="Hipervnculo"/>
                <w:rFonts w:ascii="Verdana" w:hAnsi="Verdana" w:cs="Arial"/>
                <w:noProof/>
              </w:rPr>
              <w:t>b.</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Capacidad técnica</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_Toc196716369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82</w:t>
            </w:r>
            <w:r w:rsidRPr="00B00FCB">
              <w:rPr>
                <w:rFonts w:ascii="Verdana" w:hAnsi="Verdana"/>
                <w:noProof/>
                <w:webHidden/>
              </w:rPr>
              <w:fldChar w:fldCharType="end"/>
            </w:r>
          </w:hyperlink>
        </w:p>
        <w:p w14:paraId="25FC94B7" w14:textId="5977FF5E"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70" w:history="1">
            <w:r w:rsidRPr="00D76E68">
              <w:rPr>
                <w:rStyle w:val="Hipervnculo"/>
                <w:rFonts w:ascii="Verdana" w:hAnsi="Verdana" w:cs="Arial"/>
                <w:noProof/>
              </w:rPr>
              <w:t>c.</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Capacidad financiera y organizacional</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_Toc196716370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105</w:t>
            </w:r>
            <w:r w:rsidRPr="00B00FCB">
              <w:rPr>
                <w:rFonts w:ascii="Verdana" w:hAnsi="Verdana"/>
                <w:noProof/>
                <w:webHidden/>
              </w:rPr>
              <w:fldChar w:fldCharType="end"/>
            </w:r>
          </w:hyperlink>
        </w:p>
        <w:p w14:paraId="65E1E7DA" w14:textId="6B8C9E86" w:rsidR="00D74D4E" w:rsidRPr="00B00FCB" w:rsidRDefault="00D74D4E">
          <w:pPr>
            <w:pStyle w:val="TDC1"/>
            <w:rPr>
              <w:rFonts w:ascii="Verdana" w:eastAsiaTheme="minorEastAsia" w:hAnsi="Verdana" w:cstheme="minorBidi"/>
              <w:noProof/>
              <w:kern w:val="2"/>
              <w:lang w:eastAsia="es-CO"/>
              <w14:ligatures w14:val="standardContextual"/>
            </w:rPr>
          </w:pPr>
          <w:hyperlink w:anchor="_Toc196716371" w:history="1">
            <w:r w:rsidRPr="00B00FCB">
              <w:rPr>
                <w:rStyle w:val="Hipervnculo"/>
                <w:rFonts w:ascii="Verdana" w:hAnsi="Verdana" w:cs="Arial"/>
                <w:noProof/>
              </w:rPr>
              <w:t>III.</w:t>
            </w:r>
            <w:r w:rsidRPr="00B00FCB">
              <w:rPr>
                <w:rFonts w:ascii="Verdana" w:eastAsiaTheme="minorEastAsia" w:hAnsi="Verdana" w:cstheme="minorBidi"/>
                <w:noProof/>
                <w:kern w:val="2"/>
                <w:lang w:eastAsia="es-CO"/>
                <w14:ligatures w14:val="standardContextual"/>
              </w:rPr>
              <w:tab/>
            </w:r>
            <w:r w:rsidRPr="00B00FCB">
              <w:rPr>
                <w:rStyle w:val="Hipervnculo"/>
                <w:rFonts w:ascii="Verdana" w:hAnsi="Verdana" w:cs="Arial"/>
                <w:noProof/>
              </w:rPr>
              <w:t>Análisis de criterios de evaluación ponderables solicitados en</w:t>
            </w:r>
            <w:r w:rsidRPr="00B00FCB">
              <w:rPr>
                <w:rStyle w:val="Hipervnculo"/>
                <w:rFonts w:ascii="Verdana" w:eastAsia="Calibri" w:hAnsi="Verdana" w:cs="Arial"/>
                <w:noProof/>
              </w:rPr>
              <w:t xml:space="preserve"> los </w:t>
            </w:r>
            <w:r w:rsidRPr="00B00FCB">
              <w:rPr>
                <w:rStyle w:val="Hipervnculo"/>
                <w:rFonts w:ascii="Verdana" w:hAnsi="Verdana" w:cs="Arial"/>
                <w:noProof/>
              </w:rPr>
              <w:t>documentos tipo de obra pública de infraestructura social</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_Toc196716371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127</w:t>
            </w:r>
            <w:r w:rsidRPr="00B00FCB">
              <w:rPr>
                <w:rFonts w:ascii="Verdana" w:hAnsi="Verdana"/>
                <w:noProof/>
                <w:webHidden/>
              </w:rPr>
              <w:fldChar w:fldCharType="end"/>
            </w:r>
          </w:hyperlink>
        </w:p>
        <w:p w14:paraId="268878F4" w14:textId="0CAA71AB" w:rsidR="00D74D4E" w:rsidRPr="00B00FCB" w:rsidRDefault="00D74D4E">
          <w:pPr>
            <w:pStyle w:val="TDC1"/>
            <w:rPr>
              <w:rFonts w:ascii="Verdana" w:eastAsiaTheme="minorEastAsia" w:hAnsi="Verdana" w:cstheme="minorBidi"/>
              <w:noProof/>
              <w:kern w:val="2"/>
              <w:lang w:eastAsia="es-CO"/>
              <w14:ligatures w14:val="standardContextual"/>
            </w:rPr>
          </w:pPr>
          <w:hyperlink w:anchor="_Toc196716372" w:history="1">
            <w:r w:rsidRPr="00D76E68">
              <w:rPr>
                <w:rStyle w:val="Hipervnculo"/>
                <w:rFonts w:ascii="Verdana" w:hAnsi="Verdana" w:cs="Arial"/>
                <w:noProof/>
              </w:rPr>
              <w:t>IV.</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Análisis de la adopción de criterios diferenciales en favor de las Mipyme, emprendimientos y empresas de mujeres y población vulnerable.</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_Toc196716372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139</w:t>
            </w:r>
            <w:r w:rsidRPr="00B00FCB">
              <w:rPr>
                <w:rFonts w:ascii="Verdana" w:hAnsi="Verdana"/>
                <w:noProof/>
                <w:webHidden/>
              </w:rPr>
              <w:fldChar w:fldCharType="end"/>
            </w:r>
          </w:hyperlink>
        </w:p>
        <w:p w14:paraId="5C94EB8D" w14:textId="01D771AF" w:rsidR="00D74D4E" w:rsidRPr="00B00FCB" w:rsidRDefault="00D74D4E">
          <w:pPr>
            <w:pStyle w:val="TDC1"/>
            <w:rPr>
              <w:rFonts w:ascii="Verdana" w:eastAsiaTheme="minorEastAsia" w:hAnsi="Verdana" w:cstheme="minorBidi"/>
              <w:noProof/>
              <w:kern w:val="2"/>
              <w:lang w:eastAsia="es-CO"/>
              <w14:ligatures w14:val="standardContextual"/>
            </w:rPr>
          </w:pPr>
          <w:hyperlink w:anchor="_Toc196716373" w:history="1">
            <w:r w:rsidRPr="00D76E68">
              <w:rPr>
                <w:rStyle w:val="Hipervnculo"/>
                <w:rFonts w:ascii="Verdana" w:hAnsi="Verdana" w:cs="Arial"/>
                <w:noProof/>
              </w:rPr>
              <w:t>V.</w:t>
            </w:r>
            <w:r w:rsidRPr="00B00FCB">
              <w:rPr>
                <w:rFonts w:ascii="Verdana" w:eastAsiaTheme="minorEastAsia" w:hAnsi="Verdana" w:cstheme="minorBidi"/>
                <w:noProof/>
                <w:kern w:val="2"/>
                <w:lang w:eastAsia="es-CO"/>
                <w14:ligatures w14:val="standardContextual"/>
              </w:rPr>
              <w:tab/>
            </w:r>
            <w:r w:rsidRPr="00D76E68">
              <w:rPr>
                <w:rStyle w:val="Hipervnculo"/>
                <w:rFonts w:ascii="Verdana" w:eastAsia="Calibri" w:hAnsi="Verdana" w:cs="Arial"/>
                <w:noProof/>
              </w:rPr>
              <w:t xml:space="preserve">Justificación y análisis de la escogencia de los criterios diferenciales incorporados en los </w:t>
            </w:r>
            <w:r w:rsidRPr="00D76E68">
              <w:rPr>
                <w:rStyle w:val="Hipervnculo"/>
                <w:rFonts w:ascii="Verdana" w:hAnsi="Verdana" w:cs="Arial"/>
                <w:noProof/>
              </w:rPr>
              <w:t>documentos tipo de obra pública de infraestructura social en favor de las Mipyme, emprendimientos y empresas de mujeres y población vulnerable.</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_Toc196716373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149</w:t>
            </w:r>
            <w:r w:rsidRPr="00B00FCB">
              <w:rPr>
                <w:rFonts w:ascii="Verdana" w:hAnsi="Verdana"/>
                <w:noProof/>
                <w:webHidden/>
              </w:rPr>
              <w:fldChar w:fldCharType="end"/>
            </w:r>
          </w:hyperlink>
        </w:p>
        <w:p w14:paraId="581D61EE" w14:textId="413101C5"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74" w:history="1">
            <w:r w:rsidRPr="00D76E68">
              <w:rPr>
                <w:rStyle w:val="Hipervnculo"/>
                <w:rFonts w:ascii="Verdana" w:hAnsi="Verdana" w:cs="Arial"/>
                <w:noProof/>
              </w:rPr>
              <w:t>a.</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Criterios escogidos como requisitos habilitantes diferenciales en favor de las MiPymes (Experiencia / Financieros / jurídicos)</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_Toc196716374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149</w:t>
            </w:r>
            <w:r w:rsidRPr="00B00FCB">
              <w:rPr>
                <w:rFonts w:ascii="Verdana" w:hAnsi="Verdana"/>
                <w:noProof/>
                <w:webHidden/>
              </w:rPr>
              <w:fldChar w:fldCharType="end"/>
            </w:r>
          </w:hyperlink>
        </w:p>
        <w:p w14:paraId="7A42BBE7" w14:textId="101DA914"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75" w:history="1">
            <w:r w:rsidRPr="00D76E68">
              <w:rPr>
                <w:rStyle w:val="Hipervnculo"/>
                <w:rFonts w:ascii="Verdana" w:hAnsi="Verdana" w:cs="Arial"/>
                <w:noProof/>
              </w:rPr>
              <w:t>b.</w:t>
            </w:r>
            <w:r w:rsidRPr="00B00FCB">
              <w:rPr>
                <w:rFonts w:ascii="Verdana" w:eastAsiaTheme="minorEastAsia" w:hAnsi="Verdana" w:cstheme="minorBidi"/>
                <w:noProof/>
                <w:kern w:val="2"/>
                <w:lang w:eastAsia="es-CO"/>
                <w14:ligatures w14:val="standardContextual"/>
              </w:rPr>
              <w:tab/>
            </w:r>
            <w:r w:rsidRPr="00D76E68">
              <w:rPr>
                <w:rStyle w:val="Hipervnculo"/>
                <w:rFonts w:ascii="Verdana" w:hAnsi="Verdana" w:cs="Arial"/>
                <w:noProof/>
              </w:rPr>
              <w:t>Criterios escogidos como requisitos habilitantes diferenciales en favor de los emprendimientos y empresas de mujeres (Experiencia / Financieros / jurídicos)</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_Toc196716375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155</w:t>
            </w:r>
            <w:r w:rsidRPr="00B00FCB">
              <w:rPr>
                <w:rFonts w:ascii="Verdana" w:hAnsi="Verdana"/>
                <w:noProof/>
                <w:webHidden/>
              </w:rPr>
              <w:fldChar w:fldCharType="end"/>
            </w:r>
          </w:hyperlink>
        </w:p>
        <w:p w14:paraId="6D2F81F4" w14:textId="5CEC2BD2" w:rsidR="00D74D4E" w:rsidRPr="00B00FCB" w:rsidRDefault="00D74D4E">
          <w:pPr>
            <w:pStyle w:val="TDC2"/>
            <w:tabs>
              <w:tab w:val="left" w:pos="720"/>
              <w:tab w:val="right" w:leader="dot" w:pos="9629"/>
            </w:tabs>
            <w:rPr>
              <w:rFonts w:ascii="Verdana" w:eastAsiaTheme="minorEastAsia" w:hAnsi="Verdana" w:cstheme="minorBidi"/>
              <w:noProof/>
              <w:kern w:val="2"/>
              <w:lang w:eastAsia="es-CO"/>
              <w14:ligatures w14:val="standardContextual"/>
            </w:rPr>
          </w:pPr>
          <w:hyperlink w:anchor="_Toc196716376" w:history="1">
            <w:r w:rsidRPr="00B00FCB">
              <w:rPr>
                <w:rStyle w:val="Hipervnculo"/>
                <w:rFonts w:ascii="Verdana" w:hAnsi="Verdana" w:cs="Arial"/>
                <w:noProof/>
              </w:rPr>
              <w:t>c.</w:t>
            </w:r>
            <w:r w:rsidRPr="00B00FCB">
              <w:rPr>
                <w:rFonts w:ascii="Verdana" w:eastAsiaTheme="minorEastAsia" w:hAnsi="Verdana" w:cstheme="minorBidi"/>
                <w:noProof/>
                <w:kern w:val="2"/>
                <w:lang w:eastAsia="es-CO"/>
                <w14:ligatures w14:val="standardContextual"/>
              </w:rPr>
              <w:tab/>
            </w:r>
            <w:r w:rsidRPr="00B00FCB">
              <w:rPr>
                <w:rStyle w:val="Hipervnculo"/>
                <w:rFonts w:ascii="Verdana" w:hAnsi="Verdana" w:cs="Arial"/>
                <w:noProof/>
              </w:rPr>
              <w:t>Justificación de la incorporación de puntajes adicionales en favor de las Mipyme, emprendimientos y</w:t>
            </w:r>
            <w:r w:rsidRPr="00B00FCB">
              <w:rPr>
                <w:rStyle w:val="Hipervnculo"/>
                <w:rFonts w:ascii="Verdana" w:eastAsia="Calibri" w:hAnsi="Verdana" w:cs="Arial"/>
                <w:noProof/>
              </w:rPr>
              <w:t xml:space="preserve"> empresas de mujeres</w:t>
            </w:r>
            <w:r w:rsidRPr="00B00FCB">
              <w:rPr>
                <w:rFonts w:ascii="Verdana" w:hAnsi="Verdana"/>
                <w:noProof/>
                <w:webHidden/>
              </w:rPr>
              <w:tab/>
            </w:r>
            <w:r w:rsidRPr="00B00FCB">
              <w:rPr>
                <w:rFonts w:ascii="Verdana" w:hAnsi="Verdana"/>
                <w:noProof/>
                <w:webHidden/>
              </w:rPr>
              <w:fldChar w:fldCharType="begin"/>
            </w:r>
            <w:r w:rsidRPr="00B00FCB">
              <w:rPr>
                <w:rFonts w:ascii="Verdana" w:hAnsi="Verdana"/>
                <w:noProof/>
                <w:webHidden/>
              </w:rPr>
              <w:instrText xml:space="preserve"> PAGEREF _Toc196716376 \h </w:instrText>
            </w:r>
            <w:r w:rsidRPr="00B00FCB">
              <w:rPr>
                <w:rFonts w:ascii="Verdana" w:hAnsi="Verdana"/>
                <w:noProof/>
                <w:webHidden/>
              </w:rPr>
            </w:r>
            <w:r w:rsidRPr="00B00FCB">
              <w:rPr>
                <w:rFonts w:ascii="Verdana" w:hAnsi="Verdana"/>
                <w:noProof/>
                <w:webHidden/>
              </w:rPr>
              <w:fldChar w:fldCharType="separate"/>
            </w:r>
            <w:r w:rsidR="00A622B4">
              <w:rPr>
                <w:rFonts w:ascii="Verdana" w:hAnsi="Verdana"/>
                <w:noProof/>
                <w:webHidden/>
              </w:rPr>
              <w:t>156</w:t>
            </w:r>
            <w:r w:rsidRPr="00B00FCB">
              <w:rPr>
                <w:rFonts w:ascii="Verdana" w:hAnsi="Verdana"/>
                <w:noProof/>
                <w:webHidden/>
              </w:rPr>
              <w:fldChar w:fldCharType="end"/>
            </w:r>
          </w:hyperlink>
        </w:p>
        <w:p w14:paraId="324E6A9F" w14:textId="1A72B0A9" w:rsidR="003B49F9" w:rsidRPr="00B00FCB" w:rsidRDefault="003B49F9" w:rsidP="449377F1">
          <w:pPr>
            <w:rPr>
              <w:rFonts w:ascii="Verdana" w:eastAsia="Verdana Pro" w:hAnsi="Verdana" w:cs="Verdana Pro"/>
              <w:sz w:val="22"/>
              <w:szCs w:val="22"/>
            </w:rPr>
          </w:pPr>
          <w:r w:rsidRPr="00D76E68">
            <w:rPr>
              <w:rFonts w:ascii="Verdana" w:hAnsi="Verdana" w:cs="Arial"/>
              <w:b/>
              <w:bCs/>
              <w:sz w:val="22"/>
              <w:szCs w:val="22"/>
              <w:lang w:val="es-ES"/>
            </w:rPr>
            <w:fldChar w:fldCharType="end"/>
          </w:r>
        </w:p>
      </w:sdtContent>
    </w:sdt>
    <w:p w14:paraId="3188EBDA" w14:textId="3CD2F7D8" w:rsidR="00DE3D95" w:rsidRPr="00A81BAA" w:rsidRDefault="5B7620AF" w:rsidP="449377F1">
      <w:pPr>
        <w:pStyle w:val="Ttulo1"/>
        <w:numPr>
          <w:ilvl w:val="0"/>
          <w:numId w:val="44"/>
        </w:numPr>
        <w:spacing w:after="0"/>
        <w:jc w:val="both"/>
        <w:rPr>
          <w:rFonts w:ascii="Verdana Pro" w:eastAsia="Verdana Pro" w:hAnsi="Verdana Pro" w:cs="Verdana Pro"/>
          <w:color w:val="auto"/>
        </w:rPr>
      </w:pPr>
      <w:bookmarkStart w:id="0" w:name="_Toc196716365"/>
      <w:r w:rsidRPr="449377F1">
        <w:rPr>
          <w:rFonts w:ascii="Verdana Pro" w:eastAsia="Verdana Pro" w:hAnsi="Verdana Pro" w:cs="Verdana Pro"/>
          <w:color w:val="auto"/>
        </w:rPr>
        <w:lastRenderedPageBreak/>
        <w:t>Aspectos generales</w:t>
      </w:r>
      <w:r w:rsidR="5E45A978" w:rsidRPr="449377F1">
        <w:rPr>
          <w:rFonts w:ascii="Verdana Pro" w:eastAsia="Verdana Pro" w:hAnsi="Verdana Pro" w:cs="Verdana Pro"/>
          <w:color w:val="auto"/>
        </w:rPr>
        <w:t xml:space="preserve"> del sector</w:t>
      </w:r>
      <w:bookmarkEnd w:id="0"/>
    </w:p>
    <w:p w14:paraId="49CF48DE" w14:textId="77777777" w:rsidR="007E259B" w:rsidRPr="00A81BAA" w:rsidRDefault="007E259B" w:rsidP="449377F1">
      <w:pPr>
        <w:rPr>
          <w:rFonts w:ascii="Verdana Pro" w:eastAsia="Verdana Pro" w:hAnsi="Verdana Pro" w:cs="Verdana Pro"/>
          <w:sz w:val="22"/>
          <w:szCs w:val="22"/>
        </w:rPr>
      </w:pPr>
    </w:p>
    <w:p w14:paraId="3E3EFE11" w14:textId="77777777" w:rsidR="008D7CE6" w:rsidRPr="008D7CE6" w:rsidRDefault="042483F0" w:rsidP="449377F1">
      <w:pPr>
        <w:pStyle w:val="Textoindependiente"/>
        <w:spacing w:line="259" w:lineRule="auto"/>
        <w:ind w:left="140" w:right="141"/>
        <w:jc w:val="both"/>
        <w:rPr>
          <w:rFonts w:ascii="Verdana Pro" w:eastAsia="Verdana Pro" w:hAnsi="Verdana Pro" w:cs="Verdana Pro"/>
          <w:spacing w:val="-2"/>
          <w:sz w:val="22"/>
          <w:szCs w:val="22"/>
        </w:rPr>
      </w:pPr>
      <w:r w:rsidRPr="449377F1">
        <w:rPr>
          <w:rFonts w:ascii="Verdana Pro" w:eastAsia="Verdana Pro" w:hAnsi="Verdana Pro" w:cs="Verdana Pro"/>
          <w:spacing w:val="-2"/>
          <w:sz w:val="22"/>
          <w:szCs w:val="22"/>
        </w:rPr>
        <w:t>El sector de la construcción está integrado por los subsectores de Edificaciones e Infraestructura, el primero hace referencia a las construcciones en altura que se categorizan de acuerdo con la destinación de su uso ocupacional, y el segundo, a todas aquellas construcciones de obras civiles, esta última desagregada también, de acuerdo con el uso</w:t>
      </w:r>
      <w:r w:rsidR="008D7CE6" w:rsidRPr="449377F1">
        <w:rPr>
          <w:rStyle w:val="Refdenotaalpie"/>
          <w:rFonts w:ascii="Verdana Pro" w:eastAsia="Verdana Pro" w:hAnsi="Verdana Pro" w:cs="Verdana Pro"/>
          <w:spacing w:val="-2"/>
          <w:sz w:val="22"/>
          <w:szCs w:val="22"/>
        </w:rPr>
        <w:footnoteReference w:id="2"/>
      </w:r>
      <w:r w:rsidRPr="449377F1">
        <w:rPr>
          <w:rFonts w:ascii="Verdana Pro" w:eastAsia="Verdana Pro" w:hAnsi="Verdana Pro" w:cs="Verdana Pro"/>
          <w:spacing w:val="-2"/>
          <w:sz w:val="22"/>
          <w:szCs w:val="22"/>
        </w:rPr>
        <w:t xml:space="preserve">. Teniendo en cuenta el subsector objeto de análisis en el presente documento, se describirán algunas de las principales características del subsector de Edificaciones. </w:t>
      </w:r>
    </w:p>
    <w:p w14:paraId="11A5AF64" w14:textId="77777777" w:rsidR="008D7CE6" w:rsidRPr="008D7CE6" w:rsidRDefault="042483F0" w:rsidP="449377F1">
      <w:pPr>
        <w:pStyle w:val="Textoindependiente"/>
        <w:spacing w:line="259" w:lineRule="auto"/>
        <w:ind w:left="140" w:right="141"/>
        <w:jc w:val="both"/>
        <w:rPr>
          <w:rFonts w:ascii="Verdana Pro" w:eastAsia="Verdana Pro" w:hAnsi="Verdana Pro" w:cs="Verdana Pro"/>
          <w:spacing w:val="-2"/>
          <w:sz w:val="22"/>
          <w:szCs w:val="22"/>
        </w:rPr>
      </w:pPr>
      <w:r w:rsidRPr="449377F1">
        <w:rPr>
          <w:rFonts w:ascii="Verdana Pro" w:eastAsia="Verdana Pro" w:hAnsi="Verdana Pro" w:cs="Verdana Pro"/>
          <w:spacing w:val="-2"/>
          <w:sz w:val="22"/>
          <w:szCs w:val="22"/>
        </w:rPr>
        <w:t>De acuerdo con la caracterización elaborada por CAMACOL y el Ministerio de Educación para el Sector de la Construcción</w:t>
      </w:r>
      <w:r w:rsidR="008D7CE6" w:rsidRPr="449377F1">
        <w:rPr>
          <w:rStyle w:val="Refdenotaalpie"/>
          <w:rFonts w:ascii="Verdana Pro" w:eastAsia="Verdana Pro" w:hAnsi="Verdana Pro" w:cs="Verdana Pro"/>
          <w:spacing w:val="-2"/>
          <w:sz w:val="22"/>
          <w:szCs w:val="22"/>
        </w:rPr>
        <w:footnoteReference w:id="3"/>
      </w:r>
      <w:r w:rsidRPr="449377F1">
        <w:rPr>
          <w:rFonts w:ascii="Verdana Pro" w:eastAsia="Verdana Pro" w:hAnsi="Verdana Pro" w:cs="Verdana Pro"/>
          <w:spacing w:val="-2"/>
          <w:sz w:val="22"/>
          <w:szCs w:val="22"/>
        </w:rPr>
        <w:t xml:space="preserve">, el subsector de edificaciones se desagrega en dos grandes categorías asociadas a la destinación del uso ocupacional: </w:t>
      </w:r>
      <w:r w:rsidRPr="449377F1">
        <w:rPr>
          <w:rFonts w:ascii="Verdana Pro" w:eastAsia="Verdana Pro" w:hAnsi="Verdana Pro" w:cs="Verdana Pro"/>
          <w:b/>
          <w:bCs/>
          <w:spacing w:val="-2"/>
          <w:sz w:val="22"/>
          <w:szCs w:val="22"/>
        </w:rPr>
        <w:t>residencial y no residencial</w:t>
      </w:r>
      <w:r w:rsidRPr="449377F1">
        <w:rPr>
          <w:rFonts w:ascii="Verdana Pro" w:eastAsia="Verdana Pro" w:hAnsi="Verdana Pro" w:cs="Verdana Pro"/>
          <w:spacing w:val="-2"/>
          <w:sz w:val="22"/>
          <w:szCs w:val="22"/>
        </w:rPr>
        <w:t>, tal y como se puede evidenciar en el siguiente gráfico:</w:t>
      </w:r>
    </w:p>
    <w:p w14:paraId="4E442D18" w14:textId="79005A72" w:rsidR="008D7CE6" w:rsidRPr="008D7CE6" w:rsidRDefault="042483F0" w:rsidP="449377F1">
      <w:pPr>
        <w:pStyle w:val="Descripcin"/>
        <w:spacing w:after="0"/>
        <w:jc w:val="center"/>
        <w:rPr>
          <w:rFonts w:ascii="Verdana Pro" w:eastAsia="Verdana Pro" w:hAnsi="Verdana Pro" w:cs="Verdana Pro"/>
          <w:spacing w:val="-2"/>
          <w:sz w:val="22"/>
          <w:szCs w:val="22"/>
        </w:rPr>
      </w:pPr>
      <w:bookmarkStart w:id="1" w:name="_Toc180136768"/>
      <w:r w:rsidRPr="449377F1">
        <w:rPr>
          <w:rFonts w:ascii="Verdana Pro" w:eastAsia="Verdana Pro" w:hAnsi="Verdana Pro" w:cs="Verdana Pro"/>
        </w:rPr>
        <w:t xml:space="preserve">Gráfica </w:t>
      </w:r>
      <w:r w:rsidR="008D7CE6" w:rsidRPr="449377F1">
        <w:rPr>
          <w:rFonts w:ascii="Verdana" w:hAnsi="Verdana"/>
        </w:rPr>
        <w:fldChar w:fldCharType="begin"/>
      </w:r>
      <w:r w:rsidR="008D7CE6" w:rsidRPr="449377F1">
        <w:rPr>
          <w:rFonts w:ascii="Verdana" w:hAnsi="Verdana"/>
        </w:rPr>
        <w:instrText xml:space="preserve"> SEQ Gráfica \* ARABIC </w:instrText>
      </w:r>
      <w:r w:rsidR="008D7CE6" w:rsidRPr="449377F1">
        <w:rPr>
          <w:rFonts w:ascii="Verdana" w:hAnsi="Verdana"/>
        </w:rPr>
        <w:fldChar w:fldCharType="separate"/>
      </w:r>
      <w:r w:rsidR="01938715" w:rsidRPr="449377F1">
        <w:rPr>
          <w:rFonts w:ascii="Verdana" w:hAnsi="Verdana"/>
          <w:noProof/>
        </w:rPr>
        <w:t>1</w:t>
      </w:r>
      <w:r w:rsidR="008D7CE6" w:rsidRPr="449377F1">
        <w:rPr>
          <w:rFonts w:ascii="Verdana" w:hAnsi="Verdana"/>
        </w:rPr>
        <w:fldChar w:fldCharType="end"/>
      </w:r>
      <w:r w:rsidRPr="449377F1">
        <w:rPr>
          <w:rFonts w:ascii="Verdana Pro" w:eastAsia="Verdana Pro" w:hAnsi="Verdana Pro" w:cs="Verdana Pro"/>
        </w:rPr>
        <w:t>. Subsector Edificaciones</w:t>
      </w:r>
      <w:bookmarkEnd w:id="1"/>
    </w:p>
    <w:p w14:paraId="2882D0CE" w14:textId="77777777" w:rsidR="008D7CE6" w:rsidRPr="008D7CE6" w:rsidRDefault="008D7CE6" w:rsidP="449377F1">
      <w:pPr>
        <w:pStyle w:val="Textoindependiente"/>
        <w:spacing w:line="259" w:lineRule="auto"/>
        <w:ind w:left="140" w:right="141"/>
        <w:jc w:val="center"/>
        <w:rPr>
          <w:rFonts w:ascii="Verdana Pro" w:eastAsia="Verdana Pro" w:hAnsi="Verdana Pro" w:cs="Verdana Pro"/>
          <w:spacing w:val="-2"/>
          <w:sz w:val="22"/>
          <w:szCs w:val="22"/>
        </w:rPr>
      </w:pPr>
      <w:r w:rsidRPr="008D7CE6">
        <w:rPr>
          <w:rFonts w:ascii="Verdana" w:hAnsi="Verdana"/>
          <w:noProof/>
        </w:rPr>
        <w:drawing>
          <wp:inline distT="0" distB="0" distL="0" distR="0" wp14:anchorId="2E578AC8" wp14:editId="1BF7B76C">
            <wp:extent cx="2759173" cy="2370667"/>
            <wp:effectExtent l="0" t="0" r="3175" b="0"/>
            <wp:docPr id="12249810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81057" name=""/>
                    <pic:cNvPicPr/>
                  </pic:nvPicPr>
                  <pic:blipFill rotWithShape="1">
                    <a:blip r:embed="rId13"/>
                    <a:srcRect l="35481" t="25466" r="35730" b="21665"/>
                    <a:stretch/>
                  </pic:blipFill>
                  <pic:spPr bwMode="auto">
                    <a:xfrm>
                      <a:off x="0" y="0"/>
                      <a:ext cx="2777782" cy="2386655"/>
                    </a:xfrm>
                    <a:prstGeom prst="rect">
                      <a:avLst/>
                    </a:prstGeom>
                    <a:ln>
                      <a:noFill/>
                    </a:ln>
                    <a:extLst>
                      <a:ext uri="{53640926-AAD7-44D8-BBD7-CCE9431645EC}">
                        <a14:shadowObscured xmlns:a14="http://schemas.microsoft.com/office/drawing/2010/main"/>
                      </a:ext>
                    </a:extLst>
                  </pic:spPr>
                </pic:pic>
              </a:graphicData>
            </a:graphic>
          </wp:inline>
        </w:drawing>
      </w:r>
    </w:p>
    <w:p w14:paraId="3D913592" w14:textId="77777777" w:rsidR="008D7CE6" w:rsidRPr="008D7CE6" w:rsidRDefault="042483F0"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Marco Nacional de Cualificaciones. Contextualización del sector de la Construcción</w:t>
      </w:r>
    </w:p>
    <w:p w14:paraId="06C0E780" w14:textId="77777777" w:rsidR="008D7CE6" w:rsidRPr="008D7CE6" w:rsidRDefault="008D7CE6" w:rsidP="449377F1">
      <w:pPr>
        <w:pStyle w:val="Textoindependiente"/>
        <w:spacing w:line="259" w:lineRule="auto"/>
        <w:ind w:left="140" w:right="141"/>
        <w:jc w:val="both"/>
        <w:rPr>
          <w:rFonts w:ascii="Verdana Pro" w:eastAsia="Verdana Pro" w:hAnsi="Verdana Pro" w:cs="Verdana Pro"/>
          <w:spacing w:val="-2"/>
          <w:sz w:val="22"/>
          <w:szCs w:val="22"/>
        </w:rPr>
      </w:pPr>
    </w:p>
    <w:p w14:paraId="317DDB97" w14:textId="77777777" w:rsidR="008D7CE6" w:rsidRPr="008D7CE6" w:rsidRDefault="042483F0" w:rsidP="449377F1">
      <w:pPr>
        <w:pStyle w:val="Textoindependiente"/>
        <w:spacing w:line="259" w:lineRule="auto"/>
        <w:ind w:left="140" w:right="141"/>
        <w:jc w:val="both"/>
        <w:rPr>
          <w:rFonts w:ascii="Verdana Pro" w:eastAsia="Verdana Pro" w:hAnsi="Verdana Pro" w:cs="Verdana Pro"/>
          <w:spacing w:val="-2"/>
          <w:sz w:val="22"/>
          <w:szCs w:val="22"/>
        </w:rPr>
      </w:pPr>
      <w:r w:rsidRPr="449377F1">
        <w:rPr>
          <w:rFonts w:ascii="Verdana Pro" w:eastAsia="Verdana Pro" w:hAnsi="Verdana Pro" w:cs="Verdana Pro"/>
          <w:spacing w:val="-2"/>
          <w:sz w:val="22"/>
          <w:szCs w:val="22"/>
        </w:rPr>
        <w:lastRenderedPageBreak/>
        <w:t>Así mismo, algunas de las categorías anteriormente ilustradas se dividen a su vez en subgrupos, por ejemplo, dentro de la categoría &lt;&lt;Ocupación no residencial&gt;&gt;, se pueden identificar los siguientes:</w:t>
      </w:r>
    </w:p>
    <w:p w14:paraId="445DEB46" w14:textId="42AFCF60" w:rsidR="008D7CE6" w:rsidRPr="008D7CE6" w:rsidRDefault="042483F0" w:rsidP="449377F1">
      <w:pPr>
        <w:pStyle w:val="Descripcin"/>
        <w:jc w:val="center"/>
        <w:rPr>
          <w:rFonts w:ascii="Verdana Pro" w:eastAsia="Verdana Pro" w:hAnsi="Verdana Pro" w:cs="Verdana Pro"/>
          <w:spacing w:val="-2"/>
          <w:sz w:val="22"/>
          <w:szCs w:val="22"/>
        </w:rPr>
      </w:pPr>
      <w:bookmarkStart w:id="2" w:name="_Toc180136769"/>
      <w:r w:rsidRPr="449377F1">
        <w:rPr>
          <w:rFonts w:ascii="Verdana Pro" w:eastAsia="Verdana Pro" w:hAnsi="Verdana Pro" w:cs="Verdana Pro"/>
        </w:rPr>
        <w:t xml:space="preserve">Gráfica </w:t>
      </w:r>
      <w:r w:rsidR="008D7CE6" w:rsidRPr="449377F1">
        <w:rPr>
          <w:rFonts w:ascii="Verdana" w:hAnsi="Verdana"/>
        </w:rPr>
        <w:fldChar w:fldCharType="begin"/>
      </w:r>
      <w:r w:rsidR="008D7CE6" w:rsidRPr="449377F1">
        <w:rPr>
          <w:rFonts w:ascii="Verdana" w:hAnsi="Verdana"/>
        </w:rPr>
        <w:instrText xml:space="preserve"> SEQ Gráfica \* ARABIC </w:instrText>
      </w:r>
      <w:r w:rsidR="008D7CE6" w:rsidRPr="449377F1">
        <w:rPr>
          <w:rFonts w:ascii="Verdana" w:hAnsi="Verdana"/>
        </w:rPr>
        <w:fldChar w:fldCharType="separate"/>
      </w:r>
      <w:r w:rsidR="01938715" w:rsidRPr="449377F1">
        <w:rPr>
          <w:rFonts w:ascii="Verdana" w:hAnsi="Verdana"/>
          <w:noProof/>
        </w:rPr>
        <w:t>2</w:t>
      </w:r>
      <w:r w:rsidR="008D7CE6" w:rsidRPr="449377F1">
        <w:rPr>
          <w:rFonts w:ascii="Verdana" w:hAnsi="Verdana"/>
        </w:rPr>
        <w:fldChar w:fldCharType="end"/>
      </w:r>
      <w:r w:rsidRPr="449377F1">
        <w:rPr>
          <w:rFonts w:ascii="Verdana Pro" w:eastAsia="Verdana Pro" w:hAnsi="Verdana Pro" w:cs="Verdana Pro"/>
        </w:rPr>
        <w:t>. Subgrupos de la categoría "Ocupación no residencial"</w:t>
      </w:r>
      <w:bookmarkEnd w:id="2"/>
    </w:p>
    <w:p w14:paraId="6217B7D7" w14:textId="77777777" w:rsidR="008D7CE6" w:rsidRPr="008D7CE6" w:rsidRDefault="008D7CE6" w:rsidP="449377F1">
      <w:pPr>
        <w:pStyle w:val="Textoindependiente"/>
        <w:spacing w:line="259" w:lineRule="auto"/>
        <w:ind w:left="140" w:right="141"/>
        <w:jc w:val="center"/>
        <w:rPr>
          <w:rFonts w:ascii="Verdana Pro" w:eastAsia="Verdana Pro" w:hAnsi="Verdana Pro" w:cs="Verdana Pro"/>
          <w:spacing w:val="-2"/>
          <w:sz w:val="22"/>
          <w:szCs w:val="22"/>
        </w:rPr>
      </w:pPr>
      <w:r w:rsidRPr="008D7CE6">
        <w:rPr>
          <w:rFonts w:ascii="Verdana" w:hAnsi="Verdana"/>
          <w:noProof/>
        </w:rPr>
        <w:drawing>
          <wp:inline distT="0" distB="0" distL="0" distR="0" wp14:anchorId="4AC8BF3B" wp14:editId="125D13D3">
            <wp:extent cx="3222603" cy="2533650"/>
            <wp:effectExtent l="0" t="0" r="0" b="0"/>
            <wp:docPr id="905585787" name="Imagen 1"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85787" name="Imagen 1" descr="Interfaz de usuario gráfica, Texto&#10;&#10;Descripción generada automáticamente"/>
                    <pic:cNvPicPr/>
                  </pic:nvPicPr>
                  <pic:blipFill rotWithShape="1">
                    <a:blip r:embed="rId14"/>
                    <a:srcRect l="33768" t="35330" r="35264" b="26436"/>
                    <a:stretch/>
                  </pic:blipFill>
                  <pic:spPr bwMode="auto">
                    <a:xfrm>
                      <a:off x="0" y="0"/>
                      <a:ext cx="3240789" cy="2547948"/>
                    </a:xfrm>
                    <a:prstGeom prst="rect">
                      <a:avLst/>
                    </a:prstGeom>
                    <a:ln>
                      <a:noFill/>
                    </a:ln>
                    <a:extLst>
                      <a:ext uri="{53640926-AAD7-44D8-BBD7-CCE9431645EC}">
                        <a14:shadowObscured xmlns:a14="http://schemas.microsoft.com/office/drawing/2010/main"/>
                      </a:ext>
                    </a:extLst>
                  </pic:spPr>
                </pic:pic>
              </a:graphicData>
            </a:graphic>
          </wp:inline>
        </w:drawing>
      </w:r>
    </w:p>
    <w:p w14:paraId="42F4A406" w14:textId="77777777" w:rsidR="008D7CE6" w:rsidRPr="008D7CE6" w:rsidRDefault="042483F0"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Marco Nacional de Cualificaciones. Contextualización del sector de la Construcción</w:t>
      </w:r>
    </w:p>
    <w:p w14:paraId="3E4549C1" w14:textId="77777777" w:rsidR="008D7CE6" w:rsidRPr="008D7CE6" w:rsidRDefault="008D7CE6" w:rsidP="449377F1">
      <w:pPr>
        <w:pStyle w:val="Textoindependiente"/>
        <w:spacing w:line="259" w:lineRule="auto"/>
        <w:ind w:left="140" w:right="141"/>
        <w:jc w:val="both"/>
        <w:rPr>
          <w:rFonts w:ascii="Verdana Pro" w:eastAsia="Verdana Pro" w:hAnsi="Verdana Pro" w:cs="Verdana Pro"/>
          <w:spacing w:val="-2"/>
          <w:sz w:val="22"/>
          <w:szCs w:val="22"/>
        </w:rPr>
      </w:pPr>
    </w:p>
    <w:p w14:paraId="032B4736" w14:textId="77777777" w:rsidR="008D7CE6" w:rsidRPr="008D38C8" w:rsidRDefault="042483F0" w:rsidP="00B00FCB">
      <w:pPr>
        <w:pStyle w:val="Textoindependiente"/>
        <w:spacing w:line="259" w:lineRule="auto"/>
        <w:ind w:right="141"/>
        <w:jc w:val="both"/>
        <w:rPr>
          <w:rFonts w:ascii="Verdana Pro" w:eastAsia="Verdana Pro" w:hAnsi="Verdana Pro" w:cs="Verdana Pro"/>
          <w:sz w:val="22"/>
          <w:szCs w:val="22"/>
        </w:rPr>
      </w:pPr>
      <w:r w:rsidRPr="449377F1">
        <w:rPr>
          <w:rFonts w:ascii="Verdana Pro" w:eastAsia="Verdana Pro" w:hAnsi="Verdana Pro" w:cs="Verdana Pro"/>
          <w:spacing w:val="-2"/>
          <w:sz w:val="22"/>
          <w:szCs w:val="22"/>
        </w:rPr>
        <w:t>Como se puede evidenciar en los cuadros anteriores, en el marco de la categoría &lt;&lt;Ocupacional no residencial&gt;&gt; se encuentra el nicho del sector para el cual tendrá aplicabilidad el documento tipo de infraestructura social que será actualizado, por lo anterior, a continuación, se describirá el comportamiento de las principales variables del sector de la construcción, acotado al subsector y categoría objeto de análisis.</w:t>
      </w:r>
    </w:p>
    <w:p w14:paraId="6143D6DA" w14:textId="444296D9" w:rsidR="003D3C5E" w:rsidRPr="00B00FCB" w:rsidRDefault="6B6287E3" w:rsidP="00B00FCB">
      <w:pPr>
        <w:pStyle w:val="Ttulo2"/>
        <w:numPr>
          <w:ilvl w:val="0"/>
          <w:numId w:val="46"/>
        </w:numPr>
        <w:rPr>
          <w:rFonts w:ascii="Verdana" w:hAnsi="Verdana" w:cs="Arial"/>
          <w:b w:val="0"/>
        </w:rPr>
      </w:pPr>
      <w:r w:rsidRPr="00B00FCB">
        <w:rPr>
          <w:rFonts w:ascii="Verdana" w:hAnsi="Verdana" w:cs="Arial"/>
          <w:color w:val="auto"/>
          <w:szCs w:val="22"/>
        </w:rPr>
        <w:t>Aspectos económicos</w:t>
      </w:r>
    </w:p>
    <w:p w14:paraId="3A021000" w14:textId="77777777" w:rsidR="007E259B" w:rsidRPr="008D38C8" w:rsidRDefault="007E259B" w:rsidP="449377F1">
      <w:pPr>
        <w:rPr>
          <w:rFonts w:ascii="Verdana Pro" w:eastAsia="Verdana Pro" w:hAnsi="Verdana Pro" w:cs="Verdana Pro"/>
          <w:sz w:val="22"/>
          <w:szCs w:val="22"/>
        </w:rPr>
      </w:pPr>
    </w:p>
    <w:p w14:paraId="46639592" w14:textId="77777777" w:rsidR="008D38C8" w:rsidRPr="008D38C8" w:rsidRDefault="0DDB44F9" w:rsidP="449377F1">
      <w:pPr>
        <w:pStyle w:val="Textoindependiente"/>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De acuerdo con datos del Boletín de crecimiento del PIB publicado por el Observatorio del Hábitat de la Secretaría del Hábitat del Distrito, en el primer trimestre de 2024, </w:t>
      </w:r>
      <w:r w:rsidRPr="449377F1">
        <w:rPr>
          <w:rFonts w:ascii="Verdana Pro" w:eastAsia="Verdana Pro" w:hAnsi="Verdana Pro" w:cs="Verdana Pro"/>
          <w:i/>
          <w:iCs/>
          <w:sz w:val="22"/>
          <w:szCs w:val="22"/>
        </w:rPr>
        <w:t xml:space="preserve">“durante el primer trimestre del año 2024, el PIB nacional registró un crecimiento del 0,8%. Se destacan los sectores de actividades artísticas, agricultura y administración pública con crecimientos superiores al 5%. Por otro lado, las ramas de las manufacturas (-5,7%) y actividades financieras (-3%) mostraron los peores desempeños durante el comienzo de año, en cuanto a construcción, esta rama </w:t>
      </w:r>
      <w:r w:rsidRPr="449377F1">
        <w:rPr>
          <w:rFonts w:ascii="Verdana Pro" w:eastAsia="Verdana Pro" w:hAnsi="Verdana Pro" w:cs="Verdana Pro"/>
          <w:i/>
          <w:iCs/>
          <w:sz w:val="22"/>
          <w:szCs w:val="22"/>
        </w:rPr>
        <w:lastRenderedPageBreak/>
        <w:t>presentó un crecimiento del 0,6% jalonado por obras civiles (7,6%) y actividades especializadas (0,6%), en cuando a edificaciones el subsector presentó una caída del 2,6%”</w:t>
      </w:r>
      <w:r w:rsidR="008D38C8" w:rsidRPr="449377F1">
        <w:rPr>
          <w:rStyle w:val="Refdenotaalpie"/>
          <w:rFonts w:ascii="Verdana Pro" w:eastAsia="Verdana Pro" w:hAnsi="Verdana Pro" w:cs="Verdana Pro"/>
          <w:i/>
          <w:iCs/>
          <w:sz w:val="22"/>
          <w:szCs w:val="22"/>
        </w:rPr>
        <w:footnoteReference w:id="4"/>
      </w:r>
      <w:r w:rsidRPr="449377F1">
        <w:rPr>
          <w:rFonts w:ascii="Verdana Pro" w:eastAsia="Verdana Pro" w:hAnsi="Verdana Pro" w:cs="Verdana Pro"/>
          <w:i/>
          <w:iCs/>
          <w:sz w:val="22"/>
          <w:szCs w:val="22"/>
        </w:rPr>
        <w:t>.</w:t>
      </w:r>
    </w:p>
    <w:p w14:paraId="1398ECE7" w14:textId="77777777" w:rsidR="008D38C8" w:rsidRPr="008D38C8" w:rsidRDefault="0DDB44F9" w:rsidP="449377F1">
      <w:pPr>
        <w:pStyle w:val="Textoindependiente"/>
        <w:spacing w:before="9"/>
        <w:ind w:right="141"/>
        <w:jc w:val="both"/>
        <w:rPr>
          <w:rFonts w:ascii="Verdana Pro" w:eastAsia="Verdana Pro" w:hAnsi="Verdana Pro" w:cs="Verdana Pro"/>
          <w:i/>
          <w:iCs/>
          <w:sz w:val="22"/>
          <w:szCs w:val="22"/>
        </w:rPr>
      </w:pPr>
      <w:r w:rsidRPr="449377F1">
        <w:rPr>
          <w:rFonts w:ascii="Verdana Pro" w:eastAsia="Verdana Pro" w:hAnsi="Verdana Pro" w:cs="Verdana Pro"/>
          <w:sz w:val="22"/>
          <w:szCs w:val="22"/>
        </w:rPr>
        <w:t>En la ciudad de Bogotá el sector de la construcción</w:t>
      </w:r>
      <w:r w:rsidRPr="449377F1">
        <w:rPr>
          <w:rFonts w:ascii="Verdana Pro" w:eastAsia="Verdana Pro" w:hAnsi="Verdana Pro" w:cs="Verdana Pro"/>
          <w:i/>
          <w:iCs/>
          <w:sz w:val="22"/>
          <w:szCs w:val="22"/>
        </w:rPr>
        <w:t xml:space="preserve"> “creció un 23,1%, siendo el segundo trimestre seguido con saldo positivo después de cuatro en tendencia negativa. Durante este período, el subsector de edificaciones tuvo una variación positiva del 10,2% respecto al mismo trimestre del año anterior. Mientras, el subsector de actividades especializadas creció un 20,8% y obras civiles lo hizo en un 62,7%. El crecimiento del sector edificador se explica en un 80% en el crecimiento del área causada residencial que creció 8,3%, el restante 20% se explica por el área registrada en los destinos no residenciales que crecieron 2,1%”</w:t>
      </w:r>
      <w:r w:rsidR="008D38C8" w:rsidRPr="449377F1">
        <w:rPr>
          <w:rStyle w:val="Refdenotaalpie"/>
          <w:rFonts w:ascii="Verdana Pro" w:eastAsia="Verdana Pro" w:hAnsi="Verdana Pro" w:cs="Verdana Pro"/>
          <w:i/>
          <w:iCs/>
          <w:sz w:val="22"/>
          <w:szCs w:val="22"/>
        </w:rPr>
        <w:footnoteReference w:id="5"/>
      </w:r>
      <w:r w:rsidRPr="449377F1">
        <w:rPr>
          <w:rFonts w:ascii="Verdana Pro" w:eastAsia="Verdana Pro" w:hAnsi="Verdana Pro" w:cs="Verdana Pro"/>
          <w:i/>
          <w:iCs/>
          <w:sz w:val="22"/>
          <w:szCs w:val="22"/>
        </w:rPr>
        <w:t>.</w:t>
      </w:r>
    </w:p>
    <w:p w14:paraId="6CC51DE0" w14:textId="77777777" w:rsidR="008D38C8" w:rsidRPr="008D38C8" w:rsidRDefault="0DDB44F9" w:rsidP="449377F1">
      <w:pPr>
        <w:pStyle w:val="Textoindependiente"/>
        <w:spacing w:before="9"/>
        <w:ind w:right="141"/>
        <w:rPr>
          <w:rFonts w:ascii="Verdana Pro" w:eastAsia="Verdana Pro" w:hAnsi="Verdana Pro" w:cs="Verdana Pro"/>
          <w:sz w:val="22"/>
          <w:szCs w:val="22"/>
        </w:rPr>
      </w:pPr>
      <w:r w:rsidRPr="449377F1">
        <w:rPr>
          <w:rFonts w:ascii="Verdana Pro" w:eastAsia="Verdana Pro" w:hAnsi="Verdana Pro" w:cs="Verdana Pro"/>
          <w:sz w:val="22"/>
          <w:szCs w:val="22"/>
        </w:rPr>
        <w:t>Este comportamiento descrito puede evidenciarse en la siguiente gráfica:</w:t>
      </w:r>
    </w:p>
    <w:p w14:paraId="611810E9" w14:textId="48138A1A" w:rsidR="008D38C8" w:rsidRPr="008D38C8" w:rsidRDefault="0DDB44F9" w:rsidP="449377F1">
      <w:pPr>
        <w:pStyle w:val="Descripcin"/>
        <w:jc w:val="center"/>
        <w:rPr>
          <w:rFonts w:ascii="Verdana Pro" w:eastAsia="Verdana Pro" w:hAnsi="Verdana Pro" w:cs="Verdana Pro"/>
          <w:sz w:val="22"/>
          <w:szCs w:val="22"/>
        </w:rPr>
      </w:pPr>
      <w:bookmarkStart w:id="3" w:name="_Toc180136770"/>
      <w:r w:rsidRPr="449377F1">
        <w:rPr>
          <w:rFonts w:ascii="Verdana Pro" w:eastAsia="Verdana Pro" w:hAnsi="Verdana Pro" w:cs="Verdana Pro"/>
        </w:rPr>
        <w:t xml:space="preserve">Gráfica </w:t>
      </w:r>
      <w:r w:rsidR="008D38C8" w:rsidRPr="449377F1">
        <w:rPr>
          <w:rFonts w:ascii="Verdana" w:hAnsi="Verdana"/>
        </w:rPr>
        <w:fldChar w:fldCharType="begin"/>
      </w:r>
      <w:r w:rsidR="008D38C8" w:rsidRPr="449377F1">
        <w:rPr>
          <w:rFonts w:ascii="Verdana" w:hAnsi="Verdana"/>
        </w:rPr>
        <w:instrText xml:space="preserve"> SEQ Gráfica \* ARABIC </w:instrText>
      </w:r>
      <w:r w:rsidR="008D38C8" w:rsidRPr="449377F1">
        <w:rPr>
          <w:rFonts w:ascii="Verdana" w:hAnsi="Verdana"/>
        </w:rPr>
        <w:fldChar w:fldCharType="separate"/>
      </w:r>
      <w:r w:rsidR="01938715" w:rsidRPr="449377F1">
        <w:rPr>
          <w:rFonts w:ascii="Verdana" w:hAnsi="Verdana"/>
          <w:noProof/>
        </w:rPr>
        <w:t>3</w:t>
      </w:r>
      <w:r w:rsidR="008D38C8" w:rsidRPr="449377F1">
        <w:rPr>
          <w:rFonts w:ascii="Verdana" w:hAnsi="Verdana"/>
        </w:rPr>
        <w:fldChar w:fldCharType="end"/>
      </w:r>
      <w:r w:rsidRPr="449377F1">
        <w:rPr>
          <w:rFonts w:ascii="Verdana Pro" w:eastAsia="Verdana Pro" w:hAnsi="Verdana Pro" w:cs="Verdana Pro"/>
        </w:rPr>
        <w:t>. Variación anual sector de la construcción - Bogotá</w:t>
      </w:r>
      <w:bookmarkEnd w:id="3"/>
    </w:p>
    <w:p w14:paraId="734DA244" w14:textId="77777777" w:rsidR="008D38C8" w:rsidRPr="008D38C8" w:rsidRDefault="008D38C8" w:rsidP="449377F1">
      <w:pPr>
        <w:pStyle w:val="Textoindependiente"/>
        <w:spacing w:before="9"/>
        <w:ind w:right="141"/>
        <w:jc w:val="center"/>
        <w:rPr>
          <w:rFonts w:ascii="Verdana Pro" w:eastAsia="Verdana Pro" w:hAnsi="Verdana Pro" w:cs="Verdana Pro"/>
          <w:sz w:val="22"/>
          <w:szCs w:val="22"/>
        </w:rPr>
      </w:pPr>
      <w:r w:rsidRPr="008D38C8">
        <w:rPr>
          <w:rFonts w:ascii="Verdana" w:hAnsi="Verdana"/>
          <w:noProof/>
        </w:rPr>
        <w:drawing>
          <wp:inline distT="0" distB="0" distL="0" distR="0" wp14:anchorId="3EC62572" wp14:editId="52976785">
            <wp:extent cx="4410075" cy="2990215"/>
            <wp:effectExtent l="0" t="0" r="9525" b="635"/>
            <wp:docPr id="445647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47481" name=""/>
                    <pic:cNvPicPr/>
                  </pic:nvPicPr>
                  <pic:blipFill rotWithShape="1">
                    <a:blip r:embed="rId15"/>
                    <a:srcRect l="27233" t="29618" r="28416" b="16405"/>
                    <a:stretch/>
                  </pic:blipFill>
                  <pic:spPr bwMode="auto">
                    <a:xfrm>
                      <a:off x="0" y="0"/>
                      <a:ext cx="4431863" cy="3004988"/>
                    </a:xfrm>
                    <a:prstGeom prst="rect">
                      <a:avLst/>
                    </a:prstGeom>
                    <a:ln>
                      <a:noFill/>
                    </a:ln>
                    <a:extLst>
                      <a:ext uri="{53640926-AAD7-44D8-BBD7-CCE9431645EC}">
                        <a14:shadowObscured xmlns:a14="http://schemas.microsoft.com/office/drawing/2010/main"/>
                      </a:ext>
                    </a:extLst>
                  </pic:spPr>
                </pic:pic>
              </a:graphicData>
            </a:graphic>
          </wp:inline>
        </w:drawing>
      </w:r>
    </w:p>
    <w:p w14:paraId="045712ED" w14:textId="77777777" w:rsidR="008D38C8" w:rsidRPr="008D38C8" w:rsidRDefault="0DDB44F9"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Boletín de Crecimiento del PIB. Secretaría Distrital del Hábitat. Agosto 2024</w:t>
      </w:r>
    </w:p>
    <w:p w14:paraId="1B7DCA45" w14:textId="77777777" w:rsidR="008D38C8" w:rsidRPr="008D38C8" w:rsidRDefault="008D38C8" w:rsidP="449377F1">
      <w:pPr>
        <w:pStyle w:val="Textoindependiente"/>
        <w:spacing w:before="9"/>
        <w:ind w:right="141"/>
        <w:jc w:val="both"/>
        <w:rPr>
          <w:rFonts w:ascii="Verdana Pro" w:eastAsia="Verdana Pro" w:hAnsi="Verdana Pro" w:cs="Verdana Pro"/>
          <w:sz w:val="22"/>
          <w:szCs w:val="22"/>
        </w:rPr>
      </w:pPr>
    </w:p>
    <w:p w14:paraId="43C56713" w14:textId="77777777" w:rsidR="008D38C8" w:rsidRPr="008D38C8" w:rsidRDefault="0DDB44F9" w:rsidP="449377F1">
      <w:pPr>
        <w:shd w:val="clear" w:color="auto" w:fill="FFFFFF" w:themeFill="background1"/>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lastRenderedPageBreak/>
        <w:t>Consultando el Boletín Técnico del DANE II trimestre 2024 preliminar, del 15 de agosto de 2024, se evidencia que en el segundo trimestre de 2024pr, el valor agregado de la construcción crece 2,4% en su serie original, respecto al mismo periodo de 2023pr, dinámica que se explica por los siguientes comportamientos</w:t>
      </w:r>
      <w:r w:rsidR="008D38C8" w:rsidRPr="449377F1">
        <w:rPr>
          <w:rStyle w:val="Refdenotaalpie"/>
          <w:rFonts w:ascii="Verdana Pro" w:eastAsia="Verdana Pro" w:hAnsi="Verdana Pro" w:cs="Verdana Pro"/>
          <w:sz w:val="22"/>
          <w:szCs w:val="22"/>
        </w:rPr>
        <w:footnoteReference w:id="6"/>
      </w:r>
      <w:r w:rsidRPr="449377F1">
        <w:rPr>
          <w:rFonts w:ascii="Verdana Pro" w:eastAsia="Verdana Pro" w:hAnsi="Verdana Pro" w:cs="Verdana Pro"/>
          <w:sz w:val="22"/>
          <w:szCs w:val="22"/>
        </w:rPr>
        <w:t>:</w:t>
      </w:r>
    </w:p>
    <w:p w14:paraId="07100B9D" w14:textId="77777777" w:rsidR="008D38C8" w:rsidRPr="008D38C8" w:rsidRDefault="008D38C8" w:rsidP="449377F1">
      <w:pPr>
        <w:shd w:val="clear" w:color="auto" w:fill="FFFFFF" w:themeFill="background1"/>
        <w:autoSpaceDE w:val="0"/>
        <w:autoSpaceDN w:val="0"/>
        <w:adjustRightInd w:val="0"/>
        <w:jc w:val="both"/>
        <w:rPr>
          <w:rFonts w:ascii="Verdana Pro" w:eastAsia="Verdana Pro" w:hAnsi="Verdana Pro" w:cs="Verdana Pro"/>
          <w:sz w:val="22"/>
          <w:szCs w:val="22"/>
        </w:rPr>
      </w:pPr>
    </w:p>
    <w:p w14:paraId="0D9A32FF" w14:textId="77777777" w:rsidR="008D38C8" w:rsidRPr="008D38C8" w:rsidRDefault="0DDB44F9" w:rsidP="449377F1">
      <w:pPr>
        <w:pStyle w:val="Prrafodelista"/>
        <w:numPr>
          <w:ilvl w:val="0"/>
          <w:numId w:val="64"/>
        </w:numPr>
        <w:shd w:val="clear" w:color="auto" w:fill="FFFFFF" w:themeFill="background1"/>
        <w:autoSpaceDE w:val="0"/>
        <w:autoSpaceDN w:val="0"/>
        <w:adjustRightInd w:val="0"/>
        <w:rPr>
          <w:rFonts w:ascii="Verdana Pro" w:eastAsia="Verdana Pro" w:hAnsi="Verdana Pro" w:cs="Verdana Pro"/>
        </w:rPr>
      </w:pPr>
      <w:r w:rsidRPr="449377F1">
        <w:rPr>
          <w:rFonts w:ascii="Verdana Pro" w:eastAsia="Verdana Pro" w:hAnsi="Verdana Pro" w:cs="Verdana Pro"/>
        </w:rPr>
        <w:t>Construcción de edificaciones residenciales y no residenciales decrece 2,8%.</w:t>
      </w:r>
    </w:p>
    <w:p w14:paraId="6FA31383" w14:textId="77777777" w:rsidR="008D38C8" w:rsidRPr="008D38C8" w:rsidRDefault="0DDB44F9" w:rsidP="449377F1">
      <w:pPr>
        <w:pStyle w:val="Prrafodelista"/>
        <w:numPr>
          <w:ilvl w:val="0"/>
          <w:numId w:val="64"/>
        </w:numPr>
        <w:shd w:val="clear" w:color="auto" w:fill="FFFFFF" w:themeFill="background1"/>
        <w:autoSpaceDE w:val="0"/>
        <w:autoSpaceDN w:val="0"/>
        <w:adjustRightInd w:val="0"/>
        <w:rPr>
          <w:rFonts w:ascii="Verdana Pro" w:eastAsia="Verdana Pro" w:hAnsi="Verdana Pro" w:cs="Verdana Pro"/>
        </w:rPr>
      </w:pPr>
      <w:r w:rsidRPr="449377F1">
        <w:rPr>
          <w:rFonts w:ascii="Verdana Pro" w:eastAsia="Verdana Pro" w:hAnsi="Verdana Pro" w:cs="Verdana Pro"/>
        </w:rPr>
        <w:t>Construcción de carreteras y vías de ferrocarril, de proyectos de servicio público y de otras obras de ingeniería civil crece 14,4%.</w:t>
      </w:r>
    </w:p>
    <w:p w14:paraId="5E306F3D" w14:textId="77777777" w:rsidR="008D38C8" w:rsidRPr="008D38C8" w:rsidRDefault="0DDB44F9" w:rsidP="449377F1">
      <w:pPr>
        <w:pStyle w:val="Prrafodelista"/>
        <w:numPr>
          <w:ilvl w:val="0"/>
          <w:numId w:val="64"/>
        </w:numPr>
        <w:shd w:val="clear" w:color="auto" w:fill="FFFFFF" w:themeFill="background1"/>
        <w:autoSpaceDE w:val="0"/>
        <w:autoSpaceDN w:val="0"/>
        <w:adjustRightInd w:val="0"/>
        <w:rPr>
          <w:rFonts w:ascii="Verdana Pro" w:eastAsia="Verdana Pro" w:hAnsi="Verdana Pro" w:cs="Verdana Pro"/>
        </w:rPr>
      </w:pPr>
      <w:r w:rsidRPr="449377F1">
        <w:rPr>
          <w:rFonts w:ascii="Verdana Pro" w:eastAsia="Verdana Pro" w:hAnsi="Verdana Pro" w:cs="Verdana Pro"/>
        </w:rPr>
        <w:t>Actividades especializadas para la construcción de edificaciones y obras de ingeniería civil (alquiler de maquinaria y equipo de construcción con operadores) crece 2,4%.</w:t>
      </w:r>
    </w:p>
    <w:p w14:paraId="419D8649" w14:textId="77777777" w:rsidR="008D38C8" w:rsidRPr="008D38C8" w:rsidRDefault="0DDB44F9" w:rsidP="449377F1">
      <w:pPr>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t>Respecto al trimestre inmediatamente el valor agregado de la construcción crece en 0,9%, teniendo en cuenta el comportamiento de la Construcción de edificaciones residenciales y no residenciales que crece 1,8%, la Construcción de carreteras y vías de ferrocarril, de proyectos de servicio público y de otras obras de ingeniería civil que crece 2,5% y finalmente las Actividades especializadas para la construcción de edificaciones y obras de ingeniería civil (alquiler de maquinaria y equipo de construcción con operadores) que crece 1,4%, como se puede ver en la siguiente gráfica:</w:t>
      </w:r>
    </w:p>
    <w:p w14:paraId="53357E34" w14:textId="77777777" w:rsidR="008D38C8" w:rsidRPr="008D38C8" w:rsidRDefault="008D38C8" w:rsidP="449377F1">
      <w:pPr>
        <w:autoSpaceDE w:val="0"/>
        <w:autoSpaceDN w:val="0"/>
        <w:adjustRightInd w:val="0"/>
        <w:rPr>
          <w:rFonts w:ascii="Verdana Pro" w:eastAsia="Verdana Pro" w:hAnsi="Verdana Pro" w:cs="Verdana Pro"/>
          <w:b/>
          <w:bCs/>
          <w:sz w:val="22"/>
          <w:szCs w:val="22"/>
          <w:lang w:eastAsia="es-CO"/>
        </w:rPr>
      </w:pPr>
    </w:p>
    <w:p w14:paraId="46378002" w14:textId="77777777" w:rsidR="008D38C8" w:rsidRPr="008D38C8" w:rsidRDefault="0DDB44F9" w:rsidP="449377F1">
      <w:pPr>
        <w:autoSpaceDE w:val="0"/>
        <w:autoSpaceDN w:val="0"/>
        <w:adjustRightInd w:val="0"/>
        <w:jc w:val="center"/>
        <w:rPr>
          <w:rFonts w:ascii="Verdana Pro" w:eastAsia="Verdana Pro" w:hAnsi="Verdana Pro" w:cs="Verdana Pro"/>
          <w:b/>
          <w:bCs/>
          <w:sz w:val="22"/>
          <w:szCs w:val="22"/>
          <w:lang w:eastAsia="es-CO"/>
        </w:rPr>
      </w:pPr>
      <w:r w:rsidRPr="449377F1">
        <w:rPr>
          <w:rFonts w:ascii="Verdana Pro" w:eastAsia="Verdana Pro" w:hAnsi="Verdana Pro" w:cs="Verdana Pro"/>
          <w:b/>
          <w:bCs/>
          <w:sz w:val="22"/>
          <w:szCs w:val="22"/>
          <w:lang w:eastAsia="es-CO"/>
        </w:rPr>
        <w:t xml:space="preserve">Gráfica 1. Construcción </w:t>
      </w:r>
    </w:p>
    <w:p w14:paraId="5A36B4E0" w14:textId="77777777" w:rsidR="008D38C8" w:rsidRPr="008D38C8" w:rsidRDefault="0DDB44F9" w:rsidP="449377F1">
      <w:pPr>
        <w:autoSpaceDE w:val="0"/>
        <w:autoSpaceDN w:val="0"/>
        <w:adjustRightInd w:val="0"/>
        <w:jc w:val="center"/>
        <w:rPr>
          <w:rFonts w:ascii="Verdana Pro" w:eastAsia="Verdana Pro" w:hAnsi="Verdana Pro" w:cs="Verdana Pro"/>
          <w:sz w:val="22"/>
          <w:szCs w:val="22"/>
        </w:rPr>
      </w:pPr>
      <w:r w:rsidRPr="449377F1">
        <w:rPr>
          <w:rFonts w:ascii="Verdana Pro" w:eastAsia="Verdana Pro" w:hAnsi="Verdana Pro" w:cs="Verdana Pro"/>
          <w:b/>
          <w:bCs/>
          <w:sz w:val="22"/>
          <w:szCs w:val="22"/>
          <w:lang w:eastAsia="es-CO"/>
        </w:rPr>
        <w:t>Tasa de crecimiento en volumen - segundo trimestre 2024</w:t>
      </w:r>
      <w:r w:rsidRPr="449377F1">
        <w:rPr>
          <w:rFonts w:ascii="Verdana Pro" w:eastAsia="Verdana Pro" w:hAnsi="Verdana Pro" w:cs="Verdana Pro"/>
          <w:b/>
          <w:bCs/>
          <w:sz w:val="22"/>
          <w:szCs w:val="22"/>
          <w:vertAlign w:val="superscript"/>
          <w:lang w:eastAsia="es-CO"/>
        </w:rPr>
        <w:t>pr</w:t>
      </w:r>
    </w:p>
    <w:p w14:paraId="7FC5E1A5" w14:textId="77777777" w:rsidR="008D38C8" w:rsidRPr="008D38C8" w:rsidRDefault="008D38C8" w:rsidP="449377F1">
      <w:pPr>
        <w:autoSpaceDE w:val="0"/>
        <w:autoSpaceDN w:val="0"/>
        <w:adjustRightInd w:val="0"/>
        <w:ind w:left="720"/>
        <w:jc w:val="center"/>
        <w:rPr>
          <w:rFonts w:ascii="Verdana Pro" w:eastAsia="Verdana Pro" w:hAnsi="Verdana Pro" w:cs="Verdana Pro"/>
          <w:sz w:val="22"/>
          <w:szCs w:val="22"/>
        </w:rPr>
      </w:pPr>
      <w:r w:rsidRPr="008D38C8">
        <w:rPr>
          <w:rFonts w:ascii="Verdana" w:hAnsi="Verdana"/>
          <w:noProof/>
        </w:rPr>
        <w:drawing>
          <wp:inline distT="0" distB="0" distL="0" distR="0" wp14:anchorId="156B42BE" wp14:editId="7626AE0E">
            <wp:extent cx="5402580" cy="1838325"/>
            <wp:effectExtent l="0" t="0" r="7620" b="9525"/>
            <wp:docPr id="16537661" name="Imagen 1"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661" name="Imagen 1" descr="Una captura de pantalla de una computadora&#10;&#10;Descripción generada automáticamente"/>
                    <pic:cNvPicPr/>
                  </pic:nvPicPr>
                  <pic:blipFill rotWithShape="1">
                    <a:blip r:embed="rId16"/>
                    <a:srcRect l="26143" t="40413" r="27171" b="26647"/>
                    <a:stretch/>
                  </pic:blipFill>
                  <pic:spPr bwMode="auto">
                    <a:xfrm>
                      <a:off x="0" y="0"/>
                      <a:ext cx="5416987" cy="1843227"/>
                    </a:xfrm>
                    <a:prstGeom prst="rect">
                      <a:avLst/>
                    </a:prstGeom>
                    <a:ln>
                      <a:noFill/>
                    </a:ln>
                    <a:extLst>
                      <a:ext uri="{53640926-AAD7-44D8-BBD7-CCE9431645EC}">
                        <a14:shadowObscured xmlns:a14="http://schemas.microsoft.com/office/drawing/2010/main"/>
                      </a:ext>
                    </a:extLst>
                  </pic:spPr>
                </pic:pic>
              </a:graphicData>
            </a:graphic>
          </wp:inline>
        </w:drawing>
      </w:r>
    </w:p>
    <w:p w14:paraId="656E62D6" w14:textId="77777777" w:rsidR="008D38C8" w:rsidRPr="008D38C8" w:rsidRDefault="0DDB44F9"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Departamento Administrativo Nacional de Estadística (DANE)</w:t>
      </w:r>
      <w:r w:rsidR="008D38C8" w:rsidRPr="449377F1">
        <w:rPr>
          <w:rStyle w:val="Refdenotaalpie"/>
          <w:rFonts w:ascii="Verdana Pro" w:eastAsia="Verdana Pro" w:hAnsi="Verdana Pro" w:cs="Verdana Pro"/>
          <w:sz w:val="16"/>
          <w:szCs w:val="16"/>
        </w:rPr>
        <w:footnoteReference w:id="7"/>
      </w:r>
    </w:p>
    <w:p w14:paraId="56D29B29" w14:textId="77777777" w:rsidR="008D38C8" w:rsidRPr="008D38C8" w:rsidRDefault="008D38C8" w:rsidP="449377F1">
      <w:pPr>
        <w:autoSpaceDE w:val="0"/>
        <w:autoSpaceDN w:val="0"/>
        <w:adjustRightInd w:val="0"/>
        <w:jc w:val="both"/>
        <w:rPr>
          <w:rFonts w:ascii="Verdana Pro" w:eastAsia="Verdana Pro" w:hAnsi="Verdana Pro" w:cs="Verdana Pro"/>
          <w:sz w:val="22"/>
          <w:szCs w:val="22"/>
        </w:rPr>
      </w:pPr>
    </w:p>
    <w:p w14:paraId="6897518E" w14:textId="77777777" w:rsidR="008D38C8" w:rsidRPr="008D38C8" w:rsidRDefault="0DDB44F9" w:rsidP="449377F1">
      <w:pPr>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lastRenderedPageBreak/>
        <w:t>Para ahondar el comportamiento que se ha presentado respecto al PIB respecto a la categoría Edificaciones residenciales o no residenciales, se puede evidenciar que el comportamiento negativo presentado en la actividad de forma general se presenta por una variación negativa de 2,9% presentado en la categoría Residencial y de 2,5% en la categoría No residencial:</w:t>
      </w:r>
    </w:p>
    <w:p w14:paraId="10209060" w14:textId="77777777" w:rsidR="008D38C8" w:rsidRPr="008D38C8" w:rsidRDefault="008D38C8" w:rsidP="449377F1">
      <w:pPr>
        <w:autoSpaceDE w:val="0"/>
        <w:autoSpaceDN w:val="0"/>
        <w:adjustRightInd w:val="0"/>
        <w:jc w:val="both"/>
        <w:rPr>
          <w:rFonts w:ascii="Verdana Pro" w:eastAsia="Verdana Pro" w:hAnsi="Verdana Pro" w:cs="Verdana Pro"/>
          <w:sz w:val="22"/>
          <w:szCs w:val="22"/>
        </w:rPr>
      </w:pPr>
    </w:p>
    <w:p w14:paraId="4C4F79E8" w14:textId="510D4ABE" w:rsidR="008D38C8" w:rsidRPr="008D38C8" w:rsidRDefault="0DDB44F9" w:rsidP="449377F1">
      <w:pPr>
        <w:pStyle w:val="Descripcin"/>
        <w:spacing w:after="0"/>
        <w:jc w:val="center"/>
        <w:rPr>
          <w:rFonts w:ascii="Verdana Pro" w:eastAsia="Verdana Pro" w:hAnsi="Verdana Pro" w:cs="Verdana Pro"/>
          <w:sz w:val="22"/>
          <w:szCs w:val="22"/>
        </w:rPr>
      </w:pPr>
      <w:bookmarkStart w:id="4" w:name="_Toc180136771"/>
      <w:r w:rsidRPr="449377F1">
        <w:rPr>
          <w:rFonts w:ascii="Verdana Pro" w:eastAsia="Verdana Pro" w:hAnsi="Verdana Pro" w:cs="Verdana Pro"/>
        </w:rPr>
        <w:t xml:space="preserve">Gráfica </w:t>
      </w:r>
      <w:r w:rsidR="008D38C8" w:rsidRPr="449377F1">
        <w:rPr>
          <w:rFonts w:ascii="Verdana" w:hAnsi="Verdana"/>
        </w:rPr>
        <w:fldChar w:fldCharType="begin"/>
      </w:r>
      <w:r w:rsidR="008D38C8" w:rsidRPr="449377F1">
        <w:rPr>
          <w:rFonts w:ascii="Verdana" w:hAnsi="Verdana"/>
        </w:rPr>
        <w:instrText xml:space="preserve"> SEQ Gráfica \* ARABIC </w:instrText>
      </w:r>
      <w:r w:rsidR="008D38C8" w:rsidRPr="449377F1">
        <w:rPr>
          <w:rFonts w:ascii="Verdana" w:hAnsi="Verdana"/>
        </w:rPr>
        <w:fldChar w:fldCharType="separate"/>
      </w:r>
      <w:r w:rsidR="01938715" w:rsidRPr="449377F1">
        <w:rPr>
          <w:rFonts w:ascii="Verdana" w:hAnsi="Verdana"/>
          <w:noProof/>
        </w:rPr>
        <w:t>4</w:t>
      </w:r>
      <w:r w:rsidR="008D38C8" w:rsidRPr="449377F1">
        <w:rPr>
          <w:rFonts w:ascii="Verdana" w:hAnsi="Verdana"/>
        </w:rPr>
        <w:fldChar w:fldCharType="end"/>
      </w:r>
      <w:r w:rsidRPr="449377F1">
        <w:rPr>
          <w:rFonts w:ascii="Verdana Pro" w:eastAsia="Verdana Pro" w:hAnsi="Verdana Pro" w:cs="Verdana Pro"/>
        </w:rPr>
        <w:t>. Evolución del PIB de edificaciones</w:t>
      </w:r>
      <w:bookmarkEnd w:id="4"/>
    </w:p>
    <w:p w14:paraId="20049A9E" w14:textId="77777777" w:rsidR="008D38C8" w:rsidRPr="008D38C8" w:rsidRDefault="008D38C8" w:rsidP="449377F1">
      <w:pPr>
        <w:autoSpaceDE w:val="0"/>
        <w:autoSpaceDN w:val="0"/>
        <w:adjustRightInd w:val="0"/>
        <w:jc w:val="center"/>
        <w:rPr>
          <w:rFonts w:ascii="Verdana Pro" w:eastAsia="Verdana Pro" w:hAnsi="Verdana Pro" w:cs="Verdana Pro"/>
          <w:sz w:val="22"/>
          <w:szCs w:val="22"/>
        </w:rPr>
      </w:pPr>
      <w:r w:rsidRPr="008D38C8">
        <w:rPr>
          <w:rFonts w:ascii="Verdana" w:hAnsi="Verdana"/>
          <w:noProof/>
        </w:rPr>
        <w:drawing>
          <wp:inline distT="0" distB="0" distL="0" distR="0" wp14:anchorId="57D24889" wp14:editId="2674DE36">
            <wp:extent cx="4772025" cy="3124200"/>
            <wp:effectExtent l="0" t="0" r="9525" b="0"/>
            <wp:docPr id="541697582"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97582" name="Imagen 1" descr="Interfaz de usuario gráfica, Texto, Aplicación&#10;&#10;Descripción generada automáticamente"/>
                    <pic:cNvPicPr/>
                  </pic:nvPicPr>
                  <pic:blipFill rotWithShape="1">
                    <a:blip r:embed="rId17"/>
                    <a:srcRect l="13072" t="29341" r="48335" b="22219"/>
                    <a:stretch/>
                  </pic:blipFill>
                  <pic:spPr bwMode="auto">
                    <a:xfrm>
                      <a:off x="0" y="0"/>
                      <a:ext cx="4772025" cy="3124200"/>
                    </a:xfrm>
                    <a:prstGeom prst="rect">
                      <a:avLst/>
                    </a:prstGeom>
                    <a:ln>
                      <a:noFill/>
                    </a:ln>
                    <a:extLst>
                      <a:ext uri="{53640926-AAD7-44D8-BBD7-CCE9431645EC}">
                        <a14:shadowObscured xmlns:a14="http://schemas.microsoft.com/office/drawing/2010/main"/>
                      </a:ext>
                    </a:extLst>
                  </pic:spPr>
                </pic:pic>
              </a:graphicData>
            </a:graphic>
          </wp:inline>
        </w:drawing>
      </w:r>
    </w:p>
    <w:p w14:paraId="6BAC5100" w14:textId="77777777" w:rsidR="008D38C8" w:rsidRPr="008D38C8" w:rsidRDefault="0DDB44F9"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Informe trimestral de dinámica Sectorial - Edificaciones</w:t>
      </w:r>
      <w:r w:rsidR="008D38C8" w:rsidRPr="449377F1">
        <w:rPr>
          <w:rStyle w:val="Refdenotaalpie"/>
          <w:rFonts w:ascii="Verdana Pro" w:eastAsia="Verdana Pro" w:hAnsi="Verdana Pro" w:cs="Verdana Pro"/>
          <w:sz w:val="16"/>
          <w:szCs w:val="16"/>
        </w:rPr>
        <w:footnoteReference w:id="8"/>
      </w:r>
    </w:p>
    <w:p w14:paraId="27312BCF" w14:textId="77777777" w:rsidR="008D38C8" w:rsidRDefault="008D38C8" w:rsidP="449377F1">
      <w:pPr>
        <w:autoSpaceDE w:val="0"/>
        <w:autoSpaceDN w:val="0"/>
        <w:adjustRightInd w:val="0"/>
        <w:jc w:val="both"/>
        <w:rPr>
          <w:rFonts w:ascii="Verdana Pro" w:eastAsia="Verdana Pro" w:hAnsi="Verdana Pro" w:cs="Verdana Pro"/>
          <w:sz w:val="22"/>
          <w:szCs w:val="22"/>
        </w:rPr>
      </w:pPr>
    </w:p>
    <w:p w14:paraId="4CAC5048" w14:textId="6C7D8A57" w:rsidR="008D38C8" w:rsidRPr="008D38C8" w:rsidRDefault="0DDB44F9" w:rsidP="449377F1">
      <w:pPr>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t>Respecto a los metros cuadrados efectivamente construidos durante el trimestre, la categoría residencial presentó una caída 3,8%, toda vez que ambos segmentos presentaron disminuciones (residencial 3,3% y no residencial 5,7%). Respecto al comportamiento de la categoría &lt;&lt;No residencial&gt;&gt;, este comportamiento se debió fundamentalmente a la caída en la construcción de edificaciones de educación y comercio, tal y como se puede evidenciar en la siguiente gráfica:</w:t>
      </w:r>
    </w:p>
    <w:p w14:paraId="0990A790" w14:textId="77777777" w:rsidR="008D38C8" w:rsidRDefault="008D38C8" w:rsidP="449377F1">
      <w:pPr>
        <w:autoSpaceDE w:val="0"/>
        <w:autoSpaceDN w:val="0"/>
        <w:adjustRightInd w:val="0"/>
        <w:jc w:val="both"/>
        <w:rPr>
          <w:rFonts w:ascii="Verdana Pro" w:eastAsia="Verdana Pro" w:hAnsi="Verdana Pro" w:cs="Verdana Pro"/>
          <w:sz w:val="22"/>
          <w:szCs w:val="22"/>
        </w:rPr>
      </w:pPr>
    </w:p>
    <w:p w14:paraId="233BA546" w14:textId="77777777" w:rsidR="008D38C8" w:rsidRDefault="008D38C8" w:rsidP="449377F1">
      <w:pPr>
        <w:autoSpaceDE w:val="0"/>
        <w:autoSpaceDN w:val="0"/>
        <w:adjustRightInd w:val="0"/>
        <w:jc w:val="both"/>
        <w:rPr>
          <w:rFonts w:ascii="Verdana Pro" w:eastAsia="Verdana Pro" w:hAnsi="Verdana Pro" w:cs="Verdana Pro"/>
          <w:sz w:val="22"/>
          <w:szCs w:val="22"/>
        </w:rPr>
      </w:pPr>
    </w:p>
    <w:p w14:paraId="34C5ABE6" w14:textId="77777777" w:rsidR="008D38C8" w:rsidRDefault="008D38C8" w:rsidP="449377F1">
      <w:pPr>
        <w:autoSpaceDE w:val="0"/>
        <w:autoSpaceDN w:val="0"/>
        <w:adjustRightInd w:val="0"/>
        <w:jc w:val="both"/>
        <w:rPr>
          <w:rFonts w:ascii="Verdana Pro" w:eastAsia="Verdana Pro" w:hAnsi="Verdana Pro" w:cs="Verdana Pro"/>
          <w:sz w:val="22"/>
          <w:szCs w:val="22"/>
        </w:rPr>
      </w:pPr>
    </w:p>
    <w:p w14:paraId="66BD5852" w14:textId="77777777" w:rsidR="00EC7063" w:rsidRDefault="00EC7063" w:rsidP="449377F1">
      <w:pPr>
        <w:autoSpaceDE w:val="0"/>
        <w:autoSpaceDN w:val="0"/>
        <w:adjustRightInd w:val="0"/>
        <w:jc w:val="both"/>
        <w:rPr>
          <w:rFonts w:ascii="Verdana Pro" w:eastAsia="Verdana Pro" w:hAnsi="Verdana Pro" w:cs="Verdana Pro"/>
          <w:sz w:val="22"/>
          <w:szCs w:val="22"/>
        </w:rPr>
      </w:pPr>
    </w:p>
    <w:p w14:paraId="7229C25D" w14:textId="77777777" w:rsidR="008D38C8" w:rsidRDefault="008D38C8" w:rsidP="449377F1">
      <w:pPr>
        <w:autoSpaceDE w:val="0"/>
        <w:autoSpaceDN w:val="0"/>
        <w:adjustRightInd w:val="0"/>
        <w:jc w:val="both"/>
        <w:rPr>
          <w:rFonts w:ascii="Verdana Pro" w:eastAsia="Verdana Pro" w:hAnsi="Verdana Pro" w:cs="Verdana Pro"/>
          <w:sz w:val="22"/>
          <w:szCs w:val="22"/>
        </w:rPr>
      </w:pPr>
    </w:p>
    <w:p w14:paraId="27F4A69C" w14:textId="77777777" w:rsidR="008D38C8" w:rsidRPr="008D38C8" w:rsidRDefault="008D38C8" w:rsidP="449377F1">
      <w:pPr>
        <w:autoSpaceDE w:val="0"/>
        <w:autoSpaceDN w:val="0"/>
        <w:adjustRightInd w:val="0"/>
        <w:jc w:val="both"/>
        <w:rPr>
          <w:rFonts w:ascii="Verdana Pro" w:eastAsia="Verdana Pro" w:hAnsi="Verdana Pro" w:cs="Verdana Pro"/>
          <w:sz w:val="22"/>
          <w:szCs w:val="22"/>
        </w:rPr>
      </w:pPr>
    </w:p>
    <w:p w14:paraId="0D78E4C8" w14:textId="48B8EE68" w:rsidR="008D38C8" w:rsidRPr="008D38C8" w:rsidRDefault="0DDB44F9" w:rsidP="449377F1">
      <w:pPr>
        <w:pStyle w:val="Descripcin"/>
        <w:jc w:val="center"/>
        <w:rPr>
          <w:rFonts w:ascii="Verdana Pro" w:eastAsia="Verdana Pro" w:hAnsi="Verdana Pro" w:cs="Verdana Pro"/>
          <w:sz w:val="22"/>
          <w:szCs w:val="22"/>
        </w:rPr>
      </w:pPr>
      <w:bookmarkStart w:id="5" w:name="_Toc180136772"/>
      <w:r w:rsidRPr="449377F1">
        <w:rPr>
          <w:rFonts w:ascii="Verdana Pro" w:eastAsia="Verdana Pro" w:hAnsi="Verdana Pro" w:cs="Verdana Pro"/>
        </w:rPr>
        <w:t xml:space="preserve">Gráfica </w:t>
      </w:r>
      <w:r w:rsidR="008D38C8" w:rsidRPr="449377F1">
        <w:rPr>
          <w:rFonts w:ascii="Verdana" w:hAnsi="Verdana"/>
        </w:rPr>
        <w:fldChar w:fldCharType="begin"/>
      </w:r>
      <w:r w:rsidR="008D38C8" w:rsidRPr="449377F1">
        <w:rPr>
          <w:rFonts w:ascii="Verdana" w:hAnsi="Verdana"/>
        </w:rPr>
        <w:instrText xml:space="preserve"> SEQ Gráfica \* ARABIC </w:instrText>
      </w:r>
      <w:r w:rsidR="008D38C8" w:rsidRPr="449377F1">
        <w:rPr>
          <w:rFonts w:ascii="Verdana" w:hAnsi="Verdana"/>
        </w:rPr>
        <w:fldChar w:fldCharType="separate"/>
      </w:r>
      <w:r w:rsidR="01938715" w:rsidRPr="449377F1">
        <w:rPr>
          <w:rFonts w:ascii="Verdana" w:hAnsi="Verdana"/>
          <w:noProof/>
        </w:rPr>
        <w:t>5</w:t>
      </w:r>
      <w:r w:rsidR="008D38C8" w:rsidRPr="449377F1">
        <w:rPr>
          <w:rFonts w:ascii="Verdana" w:hAnsi="Verdana"/>
        </w:rPr>
        <w:fldChar w:fldCharType="end"/>
      </w:r>
      <w:r w:rsidRPr="449377F1">
        <w:rPr>
          <w:rFonts w:ascii="Verdana Pro" w:eastAsia="Verdana Pro" w:hAnsi="Verdana Pro" w:cs="Verdana Pro"/>
        </w:rPr>
        <w:t>. Área causada de edificaciones no residenciales.</w:t>
      </w:r>
      <w:bookmarkEnd w:id="5"/>
    </w:p>
    <w:p w14:paraId="71ED793C" w14:textId="77777777" w:rsidR="008D38C8" w:rsidRPr="008D38C8" w:rsidRDefault="008D38C8" w:rsidP="449377F1">
      <w:pPr>
        <w:autoSpaceDE w:val="0"/>
        <w:autoSpaceDN w:val="0"/>
        <w:adjustRightInd w:val="0"/>
        <w:jc w:val="center"/>
        <w:rPr>
          <w:rFonts w:ascii="Verdana Pro" w:eastAsia="Verdana Pro" w:hAnsi="Verdana Pro" w:cs="Verdana Pro"/>
          <w:sz w:val="22"/>
          <w:szCs w:val="22"/>
        </w:rPr>
      </w:pPr>
      <w:r w:rsidRPr="008D38C8">
        <w:rPr>
          <w:rFonts w:ascii="Verdana" w:hAnsi="Verdana"/>
          <w:noProof/>
        </w:rPr>
        <w:drawing>
          <wp:inline distT="0" distB="0" distL="0" distR="0" wp14:anchorId="5A1D271B" wp14:editId="44F04699">
            <wp:extent cx="4819650" cy="3466829"/>
            <wp:effectExtent l="0" t="0" r="0" b="635"/>
            <wp:docPr id="152206053" name="Imagen 1"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6053" name="Imagen 1" descr="Captura de pantalla de computadora&#10;&#10;Descripción generada automáticamente"/>
                    <pic:cNvPicPr/>
                  </pic:nvPicPr>
                  <pic:blipFill rotWithShape="1">
                    <a:blip r:embed="rId18"/>
                    <a:srcRect l="51354" t="37409" r="9742" b="15851"/>
                    <a:stretch/>
                  </pic:blipFill>
                  <pic:spPr bwMode="auto">
                    <a:xfrm>
                      <a:off x="0" y="0"/>
                      <a:ext cx="4849109" cy="3488019"/>
                    </a:xfrm>
                    <a:prstGeom prst="rect">
                      <a:avLst/>
                    </a:prstGeom>
                    <a:ln>
                      <a:noFill/>
                    </a:ln>
                    <a:extLst>
                      <a:ext uri="{53640926-AAD7-44D8-BBD7-CCE9431645EC}">
                        <a14:shadowObscured xmlns:a14="http://schemas.microsoft.com/office/drawing/2010/main"/>
                      </a:ext>
                    </a:extLst>
                  </pic:spPr>
                </pic:pic>
              </a:graphicData>
            </a:graphic>
          </wp:inline>
        </w:drawing>
      </w:r>
    </w:p>
    <w:p w14:paraId="3E50F5EC" w14:textId="77777777" w:rsidR="008D38C8" w:rsidRPr="008D38C8" w:rsidRDefault="008D38C8" w:rsidP="449377F1">
      <w:pPr>
        <w:autoSpaceDE w:val="0"/>
        <w:autoSpaceDN w:val="0"/>
        <w:adjustRightInd w:val="0"/>
        <w:jc w:val="both"/>
        <w:rPr>
          <w:rFonts w:ascii="Verdana Pro" w:eastAsia="Verdana Pro" w:hAnsi="Verdana Pro" w:cs="Verdana Pro"/>
          <w:sz w:val="22"/>
          <w:szCs w:val="22"/>
        </w:rPr>
      </w:pPr>
    </w:p>
    <w:p w14:paraId="42F733C7" w14:textId="77777777" w:rsidR="008D38C8" w:rsidRPr="008D38C8" w:rsidRDefault="0DDB44F9"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Informe trimestral de dinámica Sectorial - Edificaciones</w:t>
      </w:r>
      <w:r w:rsidR="008D38C8" w:rsidRPr="449377F1">
        <w:rPr>
          <w:rStyle w:val="Refdenotaalpie"/>
          <w:rFonts w:ascii="Verdana Pro" w:eastAsia="Verdana Pro" w:hAnsi="Verdana Pro" w:cs="Verdana Pro"/>
          <w:sz w:val="16"/>
          <w:szCs w:val="16"/>
        </w:rPr>
        <w:footnoteReference w:id="9"/>
      </w:r>
    </w:p>
    <w:p w14:paraId="208A395A" w14:textId="77777777" w:rsidR="008D38C8" w:rsidRPr="008D38C8" w:rsidRDefault="008D38C8" w:rsidP="449377F1">
      <w:pPr>
        <w:autoSpaceDE w:val="0"/>
        <w:autoSpaceDN w:val="0"/>
        <w:adjustRightInd w:val="0"/>
        <w:jc w:val="both"/>
        <w:rPr>
          <w:rFonts w:ascii="Verdana Pro" w:eastAsia="Verdana Pro" w:hAnsi="Verdana Pro" w:cs="Verdana Pro"/>
          <w:sz w:val="22"/>
          <w:szCs w:val="22"/>
        </w:rPr>
      </w:pPr>
    </w:p>
    <w:p w14:paraId="71C70649" w14:textId="5F068234" w:rsidR="008D38C8" w:rsidRPr="008D38C8" w:rsidRDefault="0DDB44F9"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La importancia del sector de la construcción puede ser vista desde dos dimensiones fundamentales: el desarrollo económico y el desarrollo social. Con relación al desarrollo económico, es el sector con mayor impacto en la actividad económica nacional, tal como se refleja en la medición periódica que hace el DANE de 15 Indicadores Económicos Alrededor de la Construcción – IEAC, es por eso </w:t>
      </w:r>
      <w:proofErr w:type="gramStart"/>
      <w:r w:rsidRPr="449377F1">
        <w:rPr>
          <w:rFonts w:ascii="Verdana Pro" w:eastAsia="Verdana Pro" w:hAnsi="Verdana Pro" w:cs="Verdana Pro"/>
          <w:sz w:val="22"/>
          <w:szCs w:val="22"/>
        </w:rPr>
        <w:t>que</w:t>
      </w:r>
      <w:proofErr w:type="gramEnd"/>
      <w:r w:rsidRPr="449377F1">
        <w:rPr>
          <w:rFonts w:ascii="Verdana Pro" w:eastAsia="Verdana Pro" w:hAnsi="Verdana Pro" w:cs="Verdana Pro"/>
          <w:sz w:val="22"/>
          <w:szCs w:val="22"/>
        </w:rPr>
        <w:t xml:space="preserve"> el Boletín Técnico del DANE del 9 </w:t>
      </w:r>
      <w:r w:rsidRPr="449377F1">
        <w:rPr>
          <w:rFonts w:ascii="Verdana Pro" w:eastAsia="Verdana Pro" w:hAnsi="Verdana Pro" w:cs="Verdana Pro"/>
          <w:sz w:val="22"/>
          <w:szCs w:val="22"/>
        </w:rPr>
        <w:lastRenderedPageBreak/>
        <w:t>de septiembre de 2024</w:t>
      </w:r>
      <w:r w:rsidR="008D38C8" w:rsidRPr="449377F1">
        <w:rPr>
          <w:rStyle w:val="Refdenotaalpie"/>
          <w:rFonts w:ascii="Verdana Pro" w:eastAsia="Verdana Pro" w:hAnsi="Verdana Pro" w:cs="Verdana Pro"/>
          <w:sz w:val="22"/>
          <w:szCs w:val="22"/>
        </w:rPr>
        <w:footnoteReference w:id="10"/>
      </w:r>
      <w:r w:rsidRPr="449377F1">
        <w:rPr>
          <w:rFonts w:ascii="Verdana Pro" w:eastAsia="Verdana Pro" w:hAnsi="Verdana Pro" w:cs="Verdana Pro"/>
          <w:sz w:val="22"/>
          <w:szCs w:val="22"/>
        </w:rPr>
        <w:t>, analiza variables como el Índice de Costos de la Construcción de Edificaciones</w:t>
      </w:r>
      <w:r w:rsidR="073E2025" w:rsidRPr="449377F1">
        <w:rPr>
          <w:rFonts w:ascii="Verdana Pro" w:eastAsia="Verdana Pro" w:hAnsi="Verdana Pro" w:cs="Verdana Pro"/>
          <w:sz w:val="22"/>
          <w:szCs w:val="22"/>
        </w:rPr>
        <w:t xml:space="preserve"> y el número de empresas del sector de la construcción</w:t>
      </w:r>
      <w:r w:rsidR="68642CE8" w:rsidRPr="449377F1">
        <w:rPr>
          <w:rFonts w:ascii="Verdana Pro" w:eastAsia="Verdana Pro" w:hAnsi="Verdana Pro" w:cs="Verdana Pro"/>
          <w:sz w:val="22"/>
          <w:szCs w:val="22"/>
        </w:rPr>
        <w:t>.</w:t>
      </w:r>
    </w:p>
    <w:p w14:paraId="4C1A95A6" w14:textId="77777777" w:rsidR="00EC7063" w:rsidRPr="008D38C8" w:rsidRDefault="00EC7063" w:rsidP="449377F1">
      <w:pPr>
        <w:jc w:val="both"/>
        <w:rPr>
          <w:rFonts w:ascii="Verdana Pro" w:eastAsia="Verdana Pro" w:hAnsi="Verdana Pro" w:cs="Verdana Pro"/>
          <w:sz w:val="22"/>
          <w:szCs w:val="22"/>
        </w:rPr>
      </w:pPr>
    </w:p>
    <w:p w14:paraId="3F96CC18" w14:textId="77777777" w:rsidR="008D38C8" w:rsidRPr="0036117E" w:rsidRDefault="0DDB44F9" w:rsidP="449377F1">
      <w:pPr>
        <w:pStyle w:val="Textoindependiente"/>
        <w:numPr>
          <w:ilvl w:val="0"/>
          <w:numId w:val="49"/>
        </w:numPr>
        <w:spacing w:before="9"/>
        <w:ind w:right="141"/>
        <w:jc w:val="both"/>
        <w:rPr>
          <w:rFonts w:ascii="Verdana Pro" w:eastAsia="Verdana Pro" w:hAnsi="Verdana Pro" w:cs="Verdana Pro"/>
          <w:b/>
          <w:bCs/>
          <w:sz w:val="22"/>
          <w:szCs w:val="22"/>
        </w:rPr>
      </w:pPr>
      <w:r w:rsidRPr="449377F1">
        <w:rPr>
          <w:rFonts w:ascii="Verdana Pro" w:eastAsia="Verdana Pro" w:hAnsi="Verdana Pro" w:cs="Verdana Pro"/>
          <w:b/>
          <w:bCs/>
          <w:sz w:val="22"/>
          <w:szCs w:val="22"/>
        </w:rPr>
        <w:t>Índice de Costos de la Construcción de Edificaciones</w:t>
      </w:r>
    </w:p>
    <w:p w14:paraId="5720D496" w14:textId="77777777" w:rsidR="008D38C8" w:rsidRPr="008D38C8" w:rsidRDefault="0DDB44F9" w:rsidP="00B00FCB">
      <w:pPr>
        <w:pStyle w:val="Textoindependiente"/>
        <w:spacing w:before="9"/>
        <w:jc w:val="both"/>
        <w:rPr>
          <w:rFonts w:ascii="Verdana Pro" w:eastAsia="Verdana Pro" w:hAnsi="Verdana Pro" w:cs="Verdana Pro"/>
          <w:sz w:val="22"/>
          <w:szCs w:val="22"/>
        </w:rPr>
      </w:pPr>
      <w:r w:rsidRPr="449377F1">
        <w:rPr>
          <w:rFonts w:ascii="Verdana Pro" w:eastAsia="Verdana Pro" w:hAnsi="Verdana Pro" w:cs="Verdana Pro"/>
          <w:sz w:val="22"/>
          <w:szCs w:val="22"/>
        </w:rPr>
        <w:t>Frente a esta categoría el Boletín Técnico muestra que, en julio de 2024, el índice de Costos de la Construcción de Edificaciones – (ICOCED)</w:t>
      </w:r>
      <w:r w:rsidR="008D38C8" w:rsidRPr="449377F1">
        <w:rPr>
          <w:rStyle w:val="Refdenotaalpie"/>
          <w:rFonts w:ascii="Verdana Pro" w:eastAsia="Verdana Pro" w:hAnsi="Verdana Pro" w:cs="Verdana Pro"/>
          <w:sz w:val="22"/>
          <w:szCs w:val="22"/>
        </w:rPr>
        <w:footnoteReference w:id="11"/>
      </w:r>
      <w:r w:rsidRPr="449377F1">
        <w:rPr>
          <w:rFonts w:ascii="Verdana Pro" w:eastAsia="Verdana Pro" w:hAnsi="Verdana Pro" w:cs="Verdana Pro"/>
          <w:sz w:val="22"/>
          <w:szCs w:val="22"/>
        </w:rPr>
        <w:t xml:space="preserve"> presentó “</w:t>
      </w:r>
      <w:r w:rsidRPr="449377F1">
        <w:rPr>
          <w:rFonts w:ascii="Verdana Pro" w:eastAsia="Verdana Pro" w:hAnsi="Verdana Pro" w:cs="Verdana Pro"/>
          <w:i/>
          <w:iCs/>
          <w:sz w:val="22"/>
          <w:szCs w:val="22"/>
        </w:rPr>
        <w:t>una variación mensual de -0,16%, en comparación con junio de 2024. Para edificaciones no residenciales se ubicó por debajo del promedio nacional (-0,18%) y contribuyó negativamente con 0,06 puntos porcentuales, mientras que edificaciones residenciales se ubicó por encima del promedio nacional (-0,15%) y contribuyó negativamente con 0,10 puntos porcentuales”</w:t>
      </w:r>
      <w:r w:rsidR="008D38C8" w:rsidRPr="449377F1">
        <w:rPr>
          <w:rStyle w:val="Refdenotaalpie"/>
          <w:rFonts w:ascii="Verdana Pro" w:eastAsia="Verdana Pro" w:hAnsi="Verdana Pro" w:cs="Verdana Pro"/>
          <w:i/>
          <w:iCs/>
          <w:sz w:val="22"/>
          <w:szCs w:val="22"/>
        </w:rPr>
        <w:footnoteReference w:id="12"/>
      </w:r>
      <w:r w:rsidRPr="449377F1">
        <w:rPr>
          <w:rFonts w:ascii="Verdana Pro" w:eastAsia="Verdana Pro" w:hAnsi="Verdana Pro" w:cs="Verdana Pro"/>
          <w:sz w:val="22"/>
          <w:szCs w:val="22"/>
        </w:rPr>
        <w:t>.</w:t>
      </w:r>
    </w:p>
    <w:p w14:paraId="4BFCEC2B" w14:textId="1473C843" w:rsidR="00A329ED" w:rsidRPr="004C5988" w:rsidRDefault="6E9CE341" w:rsidP="449377F1">
      <w:pPr>
        <w:pStyle w:val="Descripcin"/>
        <w:jc w:val="center"/>
        <w:rPr>
          <w:rFonts w:ascii="Verdana Pro" w:eastAsia="Verdana Pro" w:hAnsi="Verdana Pro" w:cs="Verdana Pro"/>
          <w:sz w:val="22"/>
          <w:szCs w:val="22"/>
        </w:rPr>
      </w:pPr>
      <w:bookmarkStart w:id="6" w:name="_Toc180136773"/>
      <w:r w:rsidRPr="449377F1">
        <w:rPr>
          <w:rFonts w:ascii="Verdana Pro" w:eastAsia="Verdana Pro" w:hAnsi="Verdana Pro" w:cs="Verdana Pro"/>
        </w:rPr>
        <w:t xml:space="preserve">Gráfica </w:t>
      </w:r>
      <w:r w:rsidR="004C5988" w:rsidRPr="449377F1">
        <w:rPr>
          <w:rFonts w:ascii="Verdana" w:hAnsi="Verdana"/>
        </w:rPr>
        <w:fldChar w:fldCharType="begin"/>
      </w:r>
      <w:r w:rsidR="004C5988" w:rsidRPr="449377F1">
        <w:rPr>
          <w:rFonts w:ascii="Verdana" w:hAnsi="Verdana"/>
        </w:rPr>
        <w:instrText xml:space="preserve"> SEQ Gráfica \* ARABIC </w:instrText>
      </w:r>
      <w:r w:rsidR="004C5988" w:rsidRPr="449377F1">
        <w:rPr>
          <w:rFonts w:ascii="Verdana" w:hAnsi="Verdana"/>
        </w:rPr>
        <w:fldChar w:fldCharType="separate"/>
      </w:r>
      <w:r w:rsidR="01938715" w:rsidRPr="449377F1">
        <w:rPr>
          <w:rFonts w:ascii="Verdana" w:hAnsi="Verdana"/>
          <w:noProof/>
        </w:rPr>
        <w:t>6</w:t>
      </w:r>
      <w:r w:rsidR="004C5988" w:rsidRPr="449377F1">
        <w:rPr>
          <w:rFonts w:ascii="Verdana" w:hAnsi="Verdana"/>
        </w:rPr>
        <w:fldChar w:fldCharType="end"/>
      </w:r>
      <w:r w:rsidRPr="449377F1">
        <w:rPr>
          <w:rFonts w:ascii="Verdana Pro" w:eastAsia="Verdana Pro" w:hAnsi="Verdana Pro" w:cs="Verdana Pro"/>
        </w:rPr>
        <w:t>. Variación mensual del ICOCED, por destino Total nacional Julio 2024pr</w:t>
      </w:r>
      <w:bookmarkEnd w:id="6"/>
    </w:p>
    <w:p w14:paraId="51AAF565" w14:textId="77777777" w:rsidR="008D38C8" w:rsidRDefault="008D38C8" w:rsidP="449377F1">
      <w:pPr>
        <w:pStyle w:val="Textoindependiente"/>
        <w:spacing w:before="9"/>
        <w:ind w:right="141"/>
        <w:jc w:val="both"/>
        <w:rPr>
          <w:rFonts w:ascii="Verdana Pro" w:eastAsia="Verdana Pro" w:hAnsi="Verdana Pro" w:cs="Verdana Pro"/>
          <w:sz w:val="22"/>
          <w:szCs w:val="22"/>
        </w:rPr>
      </w:pPr>
      <w:r>
        <w:rPr>
          <w:noProof/>
        </w:rPr>
        <w:drawing>
          <wp:inline distT="0" distB="0" distL="0" distR="0" wp14:anchorId="517FA747" wp14:editId="5B2AC61F">
            <wp:extent cx="5981700" cy="2352675"/>
            <wp:effectExtent l="0" t="0" r="0" b="9525"/>
            <wp:docPr id="1275444599" name="Imagen 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44599" name="Imagen 1" descr="Interfaz de usuario gráfica&#10;&#10;Descripción generada automáticamente con confianza media"/>
                    <pic:cNvPicPr/>
                  </pic:nvPicPr>
                  <pic:blipFill rotWithShape="1">
                    <a:blip r:embed="rId19"/>
                    <a:srcRect l="19919" t="43092" r="25148" b="16958"/>
                    <a:stretch/>
                  </pic:blipFill>
                  <pic:spPr bwMode="auto">
                    <a:xfrm>
                      <a:off x="0" y="0"/>
                      <a:ext cx="5981700" cy="2352675"/>
                    </a:xfrm>
                    <a:prstGeom prst="rect">
                      <a:avLst/>
                    </a:prstGeom>
                    <a:ln>
                      <a:noFill/>
                    </a:ln>
                    <a:extLst>
                      <a:ext uri="{53640926-AAD7-44D8-BBD7-CCE9431645EC}">
                        <a14:shadowObscured xmlns:a14="http://schemas.microsoft.com/office/drawing/2010/main"/>
                      </a:ext>
                    </a:extLst>
                  </pic:spPr>
                </pic:pic>
              </a:graphicData>
            </a:graphic>
          </wp:inline>
        </w:drawing>
      </w:r>
    </w:p>
    <w:p w14:paraId="26950AA5" w14:textId="68734D04" w:rsidR="008D38C8" w:rsidRDefault="320C27E8" w:rsidP="449377F1">
      <w:pPr>
        <w:pStyle w:val="Textoindependiente"/>
        <w:spacing w:before="9"/>
        <w:ind w:right="141"/>
        <w:jc w:val="center"/>
        <w:rPr>
          <w:rFonts w:ascii="Verdana Pro" w:eastAsia="Verdana Pro" w:hAnsi="Verdana Pro" w:cs="Verdana Pro"/>
          <w:sz w:val="16"/>
          <w:szCs w:val="16"/>
        </w:rPr>
      </w:pPr>
      <w:r w:rsidRPr="449377F1">
        <w:rPr>
          <w:rFonts w:ascii="Verdana Pro" w:eastAsia="Verdana Pro" w:hAnsi="Verdana Pro" w:cs="Verdana Pro"/>
          <w:b/>
          <w:bCs/>
          <w:sz w:val="16"/>
          <w:szCs w:val="16"/>
        </w:rPr>
        <w:t>Fuente</w:t>
      </w:r>
      <w:r w:rsidRPr="449377F1">
        <w:rPr>
          <w:rFonts w:ascii="Verdana Pro" w:eastAsia="Verdana Pro" w:hAnsi="Verdana Pro" w:cs="Verdana Pro"/>
          <w:sz w:val="16"/>
          <w:szCs w:val="16"/>
        </w:rPr>
        <w:t>: Departamento Administrativo Nacional de Estadística (DANE).</w:t>
      </w:r>
    </w:p>
    <w:p w14:paraId="7995B68D" w14:textId="77777777" w:rsidR="002353D3" w:rsidRDefault="002353D3" w:rsidP="449377F1">
      <w:pPr>
        <w:pStyle w:val="Textoindependiente"/>
        <w:spacing w:before="9"/>
        <w:ind w:right="141"/>
        <w:rPr>
          <w:rFonts w:ascii="Verdana Pro" w:eastAsia="Verdana Pro" w:hAnsi="Verdana Pro" w:cs="Verdana Pro"/>
          <w:sz w:val="22"/>
          <w:szCs w:val="22"/>
        </w:rPr>
      </w:pPr>
    </w:p>
    <w:p w14:paraId="3F24B481" w14:textId="4588A7F5" w:rsidR="007C3CBB" w:rsidRDefault="6E1612BC" w:rsidP="449377F1">
      <w:pPr>
        <w:pStyle w:val="Textoindependiente"/>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lastRenderedPageBreak/>
        <w:t>L</w:t>
      </w:r>
      <w:r w:rsidR="0E23D3E5" w:rsidRPr="449377F1">
        <w:rPr>
          <w:rFonts w:ascii="Verdana Pro" w:eastAsia="Verdana Pro" w:hAnsi="Verdana Pro" w:cs="Verdana Pro"/>
          <w:sz w:val="22"/>
          <w:szCs w:val="22"/>
        </w:rPr>
        <w:t xml:space="preserve">a construcción de edificaciones </w:t>
      </w:r>
      <w:r w:rsidRPr="449377F1">
        <w:rPr>
          <w:rFonts w:ascii="Verdana Pro" w:eastAsia="Verdana Pro" w:hAnsi="Verdana Pro" w:cs="Verdana Pro"/>
          <w:sz w:val="22"/>
          <w:szCs w:val="22"/>
        </w:rPr>
        <w:t xml:space="preserve">destinada al Comercio </w:t>
      </w:r>
      <w:r w:rsidR="0E23D3E5" w:rsidRPr="449377F1">
        <w:rPr>
          <w:rFonts w:ascii="Verdana Pro" w:eastAsia="Verdana Pro" w:hAnsi="Verdana Pro" w:cs="Verdana Pro"/>
          <w:sz w:val="22"/>
          <w:szCs w:val="22"/>
        </w:rPr>
        <w:t>se ubicó por debajo del</w:t>
      </w:r>
      <w:r w:rsidR="6C685F1C" w:rsidRPr="449377F1">
        <w:rPr>
          <w:rFonts w:ascii="Verdana Pro" w:eastAsia="Verdana Pro" w:hAnsi="Verdana Pro" w:cs="Verdana Pro"/>
          <w:sz w:val="22"/>
          <w:szCs w:val="22"/>
        </w:rPr>
        <w:t xml:space="preserve"> </w:t>
      </w:r>
      <w:r w:rsidR="0E23D3E5" w:rsidRPr="449377F1">
        <w:rPr>
          <w:rFonts w:ascii="Verdana Pro" w:eastAsia="Verdana Pro" w:hAnsi="Verdana Pro" w:cs="Verdana Pro"/>
          <w:sz w:val="22"/>
          <w:szCs w:val="22"/>
        </w:rPr>
        <w:t>promedio nacional (-0,16%)</w:t>
      </w:r>
      <w:r w:rsidRPr="449377F1">
        <w:rPr>
          <w:rFonts w:ascii="Verdana Pro" w:eastAsia="Verdana Pro" w:hAnsi="Verdana Pro" w:cs="Verdana Pro"/>
          <w:sz w:val="22"/>
          <w:szCs w:val="22"/>
        </w:rPr>
        <w:t xml:space="preserve">, llegando al </w:t>
      </w:r>
      <w:r w:rsidR="0E23D3E5" w:rsidRPr="449377F1">
        <w:rPr>
          <w:rFonts w:ascii="Verdana Pro" w:eastAsia="Verdana Pro" w:hAnsi="Verdana Pro" w:cs="Verdana Pro"/>
          <w:sz w:val="22"/>
          <w:szCs w:val="22"/>
        </w:rPr>
        <w:t>-0,36%</w:t>
      </w:r>
      <w:r w:rsidRPr="449377F1">
        <w:rPr>
          <w:rFonts w:ascii="Verdana Pro" w:eastAsia="Verdana Pro" w:hAnsi="Verdana Pro" w:cs="Verdana Pro"/>
          <w:sz w:val="22"/>
          <w:szCs w:val="22"/>
        </w:rPr>
        <w:t xml:space="preserve">. </w:t>
      </w:r>
      <w:r w:rsidR="6C685F1C" w:rsidRPr="449377F1">
        <w:rPr>
          <w:rFonts w:ascii="Verdana Pro" w:eastAsia="Verdana Pro" w:hAnsi="Verdana Pro" w:cs="Verdana Pro"/>
          <w:sz w:val="22"/>
          <w:szCs w:val="22"/>
        </w:rPr>
        <w:t xml:space="preserve">Los demás destinos de construcciones de edificaciones tuvieron </w:t>
      </w:r>
      <w:r w:rsidR="0B7F0BE2" w:rsidRPr="449377F1">
        <w:rPr>
          <w:rFonts w:ascii="Verdana Pro" w:eastAsia="Verdana Pro" w:hAnsi="Verdana Pro" w:cs="Verdana Pro"/>
          <w:sz w:val="22"/>
          <w:szCs w:val="22"/>
        </w:rPr>
        <w:t>los siguientes comportamientos</w:t>
      </w:r>
      <w:r w:rsidR="009D5291" w:rsidRPr="449377F1">
        <w:rPr>
          <w:rStyle w:val="Refdenotaalpie"/>
          <w:rFonts w:ascii="Verdana Pro" w:eastAsia="Verdana Pro" w:hAnsi="Verdana Pro" w:cs="Verdana Pro"/>
          <w:sz w:val="22"/>
          <w:szCs w:val="22"/>
        </w:rPr>
        <w:footnoteReference w:id="13"/>
      </w:r>
      <w:r w:rsidR="0B7F0BE2" w:rsidRPr="449377F1">
        <w:rPr>
          <w:rFonts w:ascii="Verdana Pro" w:eastAsia="Verdana Pro" w:hAnsi="Verdana Pro" w:cs="Verdana Pro"/>
          <w:sz w:val="22"/>
          <w:szCs w:val="22"/>
        </w:rPr>
        <w:t xml:space="preserve">: </w:t>
      </w:r>
    </w:p>
    <w:p w14:paraId="01A11643" w14:textId="75532009" w:rsidR="007C3CBB"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Hospitales y centros asistenciales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-0,14%</w:t>
      </w:r>
    </w:p>
    <w:p w14:paraId="69B77D99" w14:textId="77CD17BA" w:rsidR="007C3CBB"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Oficinas</w:t>
      </w:r>
      <w:r w:rsidR="5B202EF4" w:rsidRPr="449377F1">
        <w:rPr>
          <w:rFonts w:ascii="Verdana Pro" w:eastAsia="Verdana Pro" w:hAnsi="Verdana Pro" w:cs="Verdana Pro"/>
          <w:sz w:val="22"/>
          <w:szCs w:val="22"/>
        </w:rPr>
        <w:t>:</w:t>
      </w:r>
      <w:r w:rsidRPr="449377F1">
        <w:rPr>
          <w:rFonts w:ascii="Verdana Pro" w:eastAsia="Verdana Pro" w:hAnsi="Verdana Pro" w:cs="Verdana Pro"/>
          <w:sz w:val="22"/>
          <w:szCs w:val="22"/>
        </w:rPr>
        <w:t xml:space="preserve"> -0,13%</w:t>
      </w:r>
    </w:p>
    <w:p w14:paraId="2D048517" w14:textId="6528CDA8" w:rsidR="007C3CBB"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Educación</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-0,12%</w:t>
      </w:r>
    </w:p>
    <w:p w14:paraId="731DDADC" w14:textId="44296DBE" w:rsid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Hoteles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-0,12%</w:t>
      </w:r>
    </w:p>
    <w:p w14:paraId="5AEDFA77" w14:textId="5A49745D" w:rsid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Otros destinos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-0,12%</w:t>
      </w:r>
    </w:p>
    <w:p w14:paraId="33703FBC" w14:textId="7B69219E" w:rsid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Casas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-0,08%</w:t>
      </w:r>
    </w:p>
    <w:p w14:paraId="15F659D6" w14:textId="12ED106A" w:rsid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Bodegas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-0,07%</w:t>
      </w:r>
    </w:p>
    <w:p w14:paraId="0FCEE0D5" w14:textId="25A3F4D8" w:rsid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Administración pública</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0,01%</w:t>
      </w:r>
    </w:p>
    <w:p w14:paraId="17F3B1D0" w14:textId="147899B9" w:rsidR="002353D3" w:rsidRPr="00CF5642" w:rsidRDefault="0E23D3E5" w:rsidP="449377F1">
      <w:pPr>
        <w:pStyle w:val="Textoindependiente"/>
        <w:numPr>
          <w:ilvl w:val="0"/>
          <w:numId w:val="65"/>
        </w:numPr>
        <w:spacing w:before="9"/>
        <w:ind w:right="141"/>
        <w:jc w:val="both"/>
        <w:rPr>
          <w:rFonts w:ascii="Verdana Pro" w:eastAsia="Verdana Pro" w:hAnsi="Verdana Pro" w:cs="Verdana Pro"/>
          <w:sz w:val="22"/>
          <w:szCs w:val="22"/>
        </w:rPr>
      </w:pPr>
      <w:r w:rsidRPr="449377F1">
        <w:rPr>
          <w:rFonts w:ascii="Verdana Pro" w:eastAsia="Verdana Pro" w:hAnsi="Verdana Pro" w:cs="Verdana Pro"/>
          <w:sz w:val="22"/>
          <w:szCs w:val="22"/>
        </w:rPr>
        <w:t>Apartamentos</w:t>
      </w:r>
      <w:r w:rsidR="5B202EF4"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 xml:space="preserve">-0,16% </w:t>
      </w:r>
    </w:p>
    <w:p w14:paraId="4537E080" w14:textId="77777777" w:rsidR="002353D3" w:rsidRDefault="002353D3" w:rsidP="449377F1">
      <w:pPr>
        <w:pStyle w:val="Textoindependiente"/>
        <w:spacing w:before="9"/>
        <w:ind w:right="141"/>
        <w:jc w:val="both"/>
        <w:rPr>
          <w:rFonts w:ascii="Verdana Pro" w:eastAsia="Verdana Pro" w:hAnsi="Verdana Pro" w:cs="Verdana Pro"/>
          <w:sz w:val="22"/>
          <w:szCs w:val="22"/>
        </w:rPr>
      </w:pPr>
    </w:p>
    <w:p w14:paraId="70FDA4B6" w14:textId="77777777" w:rsidR="00536047" w:rsidRPr="00A81BAA" w:rsidRDefault="33D2FCCC" w:rsidP="449377F1">
      <w:pPr>
        <w:pStyle w:val="Textoindependiente"/>
        <w:numPr>
          <w:ilvl w:val="0"/>
          <w:numId w:val="49"/>
        </w:numPr>
        <w:spacing w:line="259" w:lineRule="auto"/>
        <w:jc w:val="both"/>
        <w:rPr>
          <w:rFonts w:ascii="Verdana Pro" w:eastAsia="Verdana Pro" w:hAnsi="Verdana Pro" w:cs="Verdana Pro"/>
          <w:b/>
          <w:bCs/>
          <w:sz w:val="22"/>
          <w:szCs w:val="22"/>
        </w:rPr>
      </w:pPr>
      <w:r w:rsidRPr="449377F1">
        <w:rPr>
          <w:rFonts w:ascii="Verdana Pro" w:eastAsia="Verdana Pro" w:hAnsi="Verdana Pro" w:cs="Verdana Pro"/>
          <w:b/>
          <w:bCs/>
          <w:sz w:val="22"/>
          <w:szCs w:val="22"/>
        </w:rPr>
        <w:t>Número de empresas por sector económico (construcción)</w:t>
      </w:r>
    </w:p>
    <w:p w14:paraId="4DA4BF0C" w14:textId="77777777" w:rsidR="00536047" w:rsidRPr="00A81BAA" w:rsidRDefault="00536047" w:rsidP="449377F1">
      <w:pPr>
        <w:pStyle w:val="Textoindependiente"/>
        <w:spacing w:line="259" w:lineRule="auto"/>
        <w:ind w:left="140"/>
        <w:jc w:val="both"/>
        <w:rPr>
          <w:rFonts w:ascii="Verdana Pro" w:eastAsia="Verdana Pro" w:hAnsi="Verdana Pro" w:cs="Verdana Pro"/>
          <w:sz w:val="22"/>
          <w:szCs w:val="22"/>
        </w:rPr>
      </w:pPr>
    </w:p>
    <w:p w14:paraId="4441FC9C" w14:textId="39619CBA" w:rsidR="00536047" w:rsidRPr="00A81BAA" w:rsidRDefault="33D2FCCC" w:rsidP="00B00FCB">
      <w:pPr>
        <w:pStyle w:val="Textoindependiente"/>
        <w:spacing w:line="259" w:lineRule="auto"/>
        <w:jc w:val="both"/>
        <w:rPr>
          <w:rFonts w:ascii="Verdana Pro" w:eastAsia="Verdana Pro" w:hAnsi="Verdana Pro" w:cs="Verdana Pro"/>
          <w:sz w:val="22"/>
          <w:szCs w:val="22"/>
        </w:rPr>
      </w:pPr>
      <w:r w:rsidRPr="449377F1">
        <w:rPr>
          <w:rFonts w:ascii="Verdana Pro" w:eastAsia="Verdana Pro" w:hAnsi="Verdana Pro" w:cs="Verdana Pro"/>
          <w:sz w:val="22"/>
          <w:szCs w:val="22"/>
        </w:rPr>
        <w:t>Finalmente, el Boletín Técnico IEAC hace referencia al número de empresas por sector económico (construcción), evidenciando que</w:t>
      </w:r>
      <w:r w:rsidR="4183C02F" w:rsidRPr="449377F1">
        <w:rPr>
          <w:rFonts w:ascii="Verdana Pro" w:eastAsia="Verdana Pro" w:hAnsi="Verdana Pro" w:cs="Verdana Pro"/>
          <w:sz w:val="22"/>
          <w:szCs w:val="22"/>
        </w:rPr>
        <w:t>,</w:t>
      </w:r>
      <w:r w:rsidRPr="449377F1">
        <w:rPr>
          <w:rFonts w:ascii="Verdana Pro" w:eastAsia="Verdana Pro" w:hAnsi="Verdana Pro" w:cs="Verdana Pro"/>
          <w:sz w:val="22"/>
          <w:szCs w:val="22"/>
        </w:rPr>
        <w:t xml:space="preserve"> en el año 2019 de las 5.001.955 empresas, con tipo de organización natural y jurídica, se dedicaron a la actividad de construcción, con tipo persona natural con 123.147 organizaciones y tipo de organización jurídica con 89.205 con una participación de 4.2% del total</w:t>
      </w:r>
      <w:r w:rsidR="0036117E" w:rsidRPr="449377F1">
        <w:rPr>
          <w:rStyle w:val="Refdenotaalpie"/>
          <w:rFonts w:ascii="Verdana Pro" w:eastAsia="Verdana Pro" w:hAnsi="Verdana Pro" w:cs="Verdana Pro"/>
          <w:sz w:val="22"/>
          <w:szCs w:val="22"/>
        </w:rPr>
        <w:footnoteReference w:id="14"/>
      </w:r>
      <w:r w:rsidRPr="449377F1">
        <w:rPr>
          <w:rFonts w:ascii="Verdana Pro" w:eastAsia="Verdana Pro" w:hAnsi="Verdana Pro" w:cs="Verdana Pro"/>
          <w:sz w:val="22"/>
          <w:szCs w:val="22"/>
        </w:rPr>
        <w:t>.</w:t>
      </w:r>
    </w:p>
    <w:p w14:paraId="1A3DEA3A" w14:textId="77777777" w:rsidR="00A622B4" w:rsidRPr="00B00FCB" w:rsidRDefault="00A622B4" w:rsidP="00B00FCB">
      <w:pPr>
        <w:rPr>
          <w:rFonts w:eastAsia="Verdana Pro"/>
          <w:lang w:val="es-ES" w:eastAsia="en-US"/>
        </w:rPr>
      </w:pPr>
    </w:p>
    <w:p w14:paraId="5EE68A12" w14:textId="33B0A933" w:rsidR="29E23CA7" w:rsidRPr="005C7E10" w:rsidRDefault="7841E1D6" w:rsidP="449377F1">
      <w:pPr>
        <w:pStyle w:val="Descripcin"/>
        <w:rPr>
          <w:rFonts w:ascii="Verdana Pro" w:eastAsia="Verdana Pro" w:hAnsi="Verdana Pro" w:cs="Verdana Pro"/>
          <w:sz w:val="24"/>
          <w:szCs w:val="24"/>
        </w:rPr>
      </w:pPr>
      <w:bookmarkStart w:id="7" w:name="_Toc180136774"/>
      <w:r w:rsidRPr="449377F1">
        <w:rPr>
          <w:rFonts w:ascii="Verdana Pro" w:eastAsia="Verdana Pro" w:hAnsi="Verdana Pro" w:cs="Verdana Pro"/>
          <w:sz w:val="22"/>
          <w:szCs w:val="22"/>
        </w:rPr>
        <w:t xml:space="preserve">Gráfica </w:t>
      </w:r>
      <w:r w:rsidR="00CE0815" w:rsidRPr="449377F1">
        <w:rPr>
          <w:rFonts w:ascii="Verdana" w:hAnsi="Verdana"/>
          <w:sz w:val="22"/>
          <w:szCs w:val="22"/>
        </w:rPr>
        <w:fldChar w:fldCharType="begin"/>
      </w:r>
      <w:r w:rsidR="00CE0815" w:rsidRPr="449377F1">
        <w:rPr>
          <w:rFonts w:ascii="Verdana" w:hAnsi="Verdana"/>
          <w:sz w:val="22"/>
          <w:szCs w:val="22"/>
        </w:rPr>
        <w:instrText xml:space="preserve"> SEQ Gráfica \* ARABIC </w:instrText>
      </w:r>
      <w:r w:rsidR="00CE0815" w:rsidRPr="449377F1">
        <w:rPr>
          <w:rFonts w:ascii="Verdana" w:hAnsi="Verdana"/>
          <w:sz w:val="22"/>
          <w:szCs w:val="22"/>
        </w:rPr>
        <w:fldChar w:fldCharType="separate"/>
      </w:r>
      <w:r w:rsidR="01938715" w:rsidRPr="449377F1">
        <w:rPr>
          <w:rFonts w:ascii="Verdana" w:hAnsi="Verdana"/>
          <w:noProof/>
          <w:sz w:val="22"/>
          <w:szCs w:val="22"/>
        </w:rPr>
        <w:t>7</w:t>
      </w:r>
      <w:r w:rsidR="00CE0815" w:rsidRPr="449377F1">
        <w:rPr>
          <w:rFonts w:ascii="Verdana" w:hAnsi="Verdana"/>
          <w:sz w:val="22"/>
          <w:szCs w:val="22"/>
        </w:rPr>
        <w:fldChar w:fldCharType="end"/>
      </w:r>
      <w:r w:rsidRPr="449377F1">
        <w:rPr>
          <w:rFonts w:ascii="Verdana Pro" w:eastAsia="Verdana Pro" w:hAnsi="Verdana Pro" w:cs="Verdana Pro"/>
          <w:sz w:val="22"/>
          <w:szCs w:val="22"/>
        </w:rPr>
        <w:t>. Número de empresas por sector construcción 2019- 2021</w:t>
      </w:r>
      <w:bookmarkEnd w:id="7"/>
    </w:p>
    <w:p w14:paraId="2C4FEF49" w14:textId="77777777" w:rsidR="00536047" w:rsidRPr="00A81BAA" w:rsidRDefault="33D2FCCC" w:rsidP="449377F1">
      <w:pPr>
        <w:pStyle w:val="Textoindependiente"/>
        <w:spacing w:line="259" w:lineRule="auto"/>
        <w:ind w:left="140" w:right="1326"/>
        <w:jc w:val="both"/>
        <w:rPr>
          <w:rFonts w:ascii="Verdana Pro" w:eastAsia="Verdana Pro" w:hAnsi="Verdana Pro" w:cs="Verdana Pro"/>
          <w:sz w:val="22"/>
          <w:szCs w:val="22"/>
        </w:rPr>
      </w:pPr>
      <w:r>
        <w:rPr>
          <w:noProof/>
        </w:rPr>
        <w:lastRenderedPageBreak/>
        <w:drawing>
          <wp:inline distT="0" distB="0" distL="0" distR="0" wp14:anchorId="5BF99B7B" wp14:editId="6101A260">
            <wp:extent cx="6120765" cy="2147777"/>
            <wp:effectExtent l="0" t="0" r="0" b="5080"/>
            <wp:docPr id="10967297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0">
                      <a:extLst>
                        <a:ext uri="{28A0092B-C50C-407E-A947-70E740481C1C}">
                          <a14:useLocalDpi xmlns:a14="http://schemas.microsoft.com/office/drawing/2010/main" val="0"/>
                        </a:ext>
                      </a:extLst>
                    </a:blip>
                    <a:stretch>
                      <a:fillRect/>
                    </a:stretch>
                  </pic:blipFill>
                  <pic:spPr>
                    <a:xfrm>
                      <a:off x="0" y="0"/>
                      <a:ext cx="6120765" cy="2147777"/>
                    </a:xfrm>
                    <a:prstGeom prst="rect">
                      <a:avLst/>
                    </a:prstGeom>
                  </pic:spPr>
                </pic:pic>
              </a:graphicData>
            </a:graphic>
          </wp:inline>
        </w:drawing>
      </w:r>
    </w:p>
    <w:p w14:paraId="119B9F89" w14:textId="77777777" w:rsidR="00536047" w:rsidRPr="005C7E10" w:rsidRDefault="33D2FCCC"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Departamento Administrativo Nacional de Estadística (DANE)</w:t>
      </w:r>
      <w:r w:rsidR="00536047" w:rsidRPr="449377F1">
        <w:rPr>
          <w:rStyle w:val="Refdenotaalpie"/>
          <w:rFonts w:ascii="Verdana Pro" w:eastAsia="Verdana Pro" w:hAnsi="Verdana Pro" w:cs="Verdana Pro"/>
          <w:sz w:val="16"/>
          <w:szCs w:val="16"/>
        </w:rPr>
        <w:footnoteReference w:id="15"/>
      </w:r>
    </w:p>
    <w:p w14:paraId="1A440059" w14:textId="77777777" w:rsidR="00536047" w:rsidRPr="00A81BAA" w:rsidRDefault="00536047" w:rsidP="449377F1">
      <w:pPr>
        <w:pStyle w:val="Textoindependiente"/>
        <w:spacing w:line="259" w:lineRule="auto"/>
        <w:ind w:left="140" w:right="1326"/>
        <w:jc w:val="both"/>
        <w:rPr>
          <w:rFonts w:ascii="Verdana Pro" w:eastAsia="Verdana Pro" w:hAnsi="Verdana Pro" w:cs="Verdana Pro"/>
          <w:sz w:val="22"/>
          <w:szCs w:val="22"/>
        </w:rPr>
      </w:pPr>
    </w:p>
    <w:p w14:paraId="3DCE04F0" w14:textId="77777777" w:rsidR="00536047" w:rsidRPr="00A81BAA" w:rsidRDefault="33D2FCCC" w:rsidP="449377F1">
      <w:pPr>
        <w:pStyle w:val="Textoindependiente"/>
        <w:tabs>
          <w:tab w:val="left" w:pos="9356"/>
        </w:tabs>
        <w:spacing w:line="259" w:lineRule="auto"/>
        <w:ind w:left="140" w:right="283"/>
        <w:jc w:val="both"/>
        <w:rPr>
          <w:rFonts w:ascii="Verdana Pro" w:eastAsia="Verdana Pro" w:hAnsi="Verdana Pro" w:cs="Verdana Pro"/>
          <w:sz w:val="22"/>
          <w:szCs w:val="22"/>
        </w:rPr>
      </w:pPr>
      <w:r w:rsidRPr="449377F1">
        <w:rPr>
          <w:rFonts w:ascii="Verdana Pro" w:eastAsia="Verdana Pro" w:hAnsi="Verdana Pro" w:cs="Verdana Pro"/>
          <w:sz w:val="22"/>
          <w:szCs w:val="22"/>
        </w:rPr>
        <w:t>En el año 2020 de las 5.004.633 empresas, con tipo de organización persona natural se dedicaron 112.863 y tipo de organización jurídica con 86.969 con una participación de 4.0% del total y para el año 2021 de las 5.704.308 empresas, con tipo de organización persona natural se dedicaron 128.693 y tipo de organización jurídica con 94.904 con una participación de 4.0%del total.</w:t>
      </w:r>
    </w:p>
    <w:p w14:paraId="7D5DC387" w14:textId="796E30F3" w:rsidR="00536047" w:rsidRPr="00A81BAA" w:rsidRDefault="00536047" w:rsidP="449377F1">
      <w:pPr>
        <w:pStyle w:val="Textoindependiente"/>
        <w:tabs>
          <w:tab w:val="left" w:pos="9356"/>
        </w:tabs>
        <w:spacing w:line="259" w:lineRule="auto"/>
        <w:ind w:left="140" w:right="283"/>
        <w:jc w:val="both"/>
        <w:rPr>
          <w:rFonts w:ascii="Verdana Pro" w:eastAsia="Verdana Pro" w:hAnsi="Verdana Pro" w:cs="Verdana Pro"/>
          <w:b/>
          <w:bCs/>
          <w:sz w:val="22"/>
          <w:szCs w:val="22"/>
        </w:rPr>
      </w:pPr>
    </w:p>
    <w:p w14:paraId="56683082" w14:textId="77777777" w:rsidR="00536047" w:rsidRPr="00A81BAA" w:rsidRDefault="33D2FCCC" w:rsidP="449377F1">
      <w:pPr>
        <w:pStyle w:val="Textoindependiente"/>
        <w:spacing w:before="9"/>
        <w:ind w:right="141"/>
        <w:jc w:val="both"/>
        <w:rPr>
          <w:rFonts w:ascii="Verdana Pro" w:eastAsia="Verdana Pro" w:hAnsi="Verdana Pro" w:cs="Verdana Pro"/>
          <w:b/>
          <w:bCs/>
          <w:sz w:val="22"/>
          <w:szCs w:val="22"/>
        </w:rPr>
      </w:pPr>
      <w:r w:rsidRPr="449377F1">
        <w:rPr>
          <w:rFonts w:ascii="Verdana Pro" w:eastAsia="Verdana Pro" w:hAnsi="Verdana Pro" w:cs="Verdana Pro"/>
          <w:b/>
          <w:bCs/>
          <w:sz w:val="22"/>
          <w:szCs w:val="22"/>
        </w:rPr>
        <w:t>• Indicadores del Mercado Laboral</w:t>
      </w:r>
    </w:p>
    <w:p w14:paraId="69362329" w14:textId="2444CB70" w:rsidR="00536047" w:rsidRPr="00A81BAA" w:rsidRDefault="33D2FCCC" w:rsidP="449377F1">
      <w:pPr>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t>El DANE en su Boletín Técnico de los principales indicadores del mercado laboral para mayo de 2024</w:t>
      </w:r>
      <w:r w:rsidR="00536047" w:rsidRPr="449377F1">
        <w:rPr>
          <w:rStyle w:val="Refdenotaalpie"/>
          <w:rFonts w:ascii="Verdana Pro" w:eastAsia="Verdana Pro" w:hAnsi="Verdana Pro" w:cs="Verdana Pro"/>
          <w:sz w:val="22"/>
          <w:szCs w:val="22"/>
        </w:rPr>
        <w:footnoteReference w:id="16"/>
      </w:r>
      <w:r w:rsidRPr="449377F1">
        <w:rPr>
          <w:rFonts w:ascii="Verdana Pro" w:eastAsia="Verdana Pro" w:hAnsi="Verdana Pro" w:cs="Verdana Pro"/>
          <w:sz w:val="22"/>
          <w:szCs w:val="22"/>
        </w:rPr>
        <w:t xml:space="preserve"> publicado el 28 de junio de 2024, indica que</w:t>
      </w:r>
      <w:r w:rsidR="675603E4" w:rsidRPr="449377F1">
        <w:rPr>
          <w:rFonts w:ascii="Verdana Pro" w:eastAsia="Verdana Pro" w:hAnsi="Verdana Pro" w:cs="Verdana Pro"/>
          <w:sz w:val="22"/>
          <w:szCs w:val="22"/>
        </w:rPr>
        <w:t>,</w:t>
      </w:r>
      <w:r w:rsidRPr="449377F1">
        <w:rPr>
          <w:rFonts w:ascii="Verdana Pro" w:eastAsia="Verdana Pro" w:hAnsi="Verdana Pro" w:cs="Verdana Pro"/>
          <w:sz w:val="22"/>
          <w:szCs w:val="22"/>
        </w:rPr>
        <w:t xml:space="preserve"> para el mes de mayo de 2024, la tasa de desocupación del total nacional fue 10,3%, mientras que en el mismo mes de 2023 fue 10,5%. La tasa global de participación se ubicó en 64,1% y la tasa de ocupación en 57,5%, estas tasas en mayo de 2023 fueron 63,9% y 57,2%, respectivamente.</w:t>
      </w:r>
      <w:r w:rsidR="303FF523" w:rsidRPr="449377F1">
        <w:rPr>
          <w:rFonts w:ascii="Verdana Pro" w:eastAsia="Verdana Pro" w:hAnsi="Verdana Pro" w:cs="Verdana Pro"/>
          <w:sz w:val="22"/>
          <w:szCs w:val="22"/>
        </w:rPr>
        <w:t xml:space="preserve">  </w:t>
      </w:r>
      <w:r w:rsidRPr="449377F1">
        <w:rPr>
          <w:rFonts w:ascii="Verdana Pro" w:eastAsia="Verdana Pro" w:hAnsi="Verdana Pro" w:cs="Verdana Pro"/>
          <w:sz w:val="22"/>
          <w:szCs w:val="22"/>
        </w:rPr>
        <w:t xml:space="preserve">De igual manera se evidencia en el Boletín que en el mes de mayo de 2024, el número de personas ocupadas en el total nacional fue 23.030 miles de personas y las ramas que más aportaron positivamente a la variación de la población ocupada fueron: Actividades artísticas, entretenimiento, recreación y otras actividades de servicios con 1,0 puntos porcentuales; Construcción con 0,7 puntos porcentuales y </w:t>
      </w:r>
      <w:r w:rsidRPr="449377F1">
        <w:rPr>
          <w:rFonts w:ascii="Verdana Pro" w:eastAsia="Verdana Pro" w:hAnsi="Verdana Pro" w:cs="Verdana Pro"/>
          <w:sz w:val="22"/>
          <w:szCs w:val="22"/>
        </w:rPr>
        <w:lastRenderedPageBreak/>
        <w:t>Alojamiento y servicios de comida con 0,6 puntos porcentuales, como se ve a continuación:</w:t>
      </w:r>
    </w:p>
    <w:p w14:paraId="5CEFC82A" w14:textId="77777777" w:rsidR="00536047" w:rsidRDefault="00536047" w:rsidP="449377F1">
      <w:pPr>
        <w:autoSpaceDE w:val="0"/>
        <w:autoSpaceDN w:val="0"/>
        <w:adjustRightInd w:val="0"/>
        <w:jc w:val="both"/>
        <w:rPr>
          <w:rFonts w:ascii="Verdana Pro" w:eastAsia="Verdana Pro" w:hAnsi="Verdana Pro" w:cs="Verdana Pro"/>
          <w:sz w:val="22"/>
          <w:szCs w:val="22"/>
        </w:rPr>
      </w:pPr>
    </w:p>
    <w:p w14:paraId="33100FEE" w14:textId="5F046552" w:rsidR="00536047" w:rsidRPr="00A81BAA" w:rsidRDefault="7B38D4A5" w:rsidP="449377F1">
      <w:pPr>
        <w:pStyle w:val="Descripcin"/>
        <w:jc w:val="both"/>
        <w:rPr>
          <w:rFonts w:ascii="Verdana Pro" w:eastAsia="Verdana Pro" w:hAnsi="Verdana Pro" w:cs="Verdana Pro"/>
          <w:sz w:val="22"/>
          <w:szCs w:val="22"/>
        </w:rPr>
      </w:pPr>
      <w:bookmarkStart w:id="8" w:name="_Toc180136775"/>
      <w:r w:rsidRPr="449377F1">
        <w:rPr>
          <w:rFonts w:ascii="Verdana Pro" w:eastAsia="Verdana Pro" w:hAnsi="Verdana Pro" w:cs="Verdana Pro"/>
          <w:sz w:val="22"/>
          <w:szCs w:val="22"/>
          <w:lang w:val="es-CO" w:eastAsia="es-CO"/>
        </w:rPr>
        <w:t xml:space="preserve">Gráfica </w:t>
      </w:r>
      <w:r w:rsidR="00FA4A87" w:rsidRPr="005C7E10">
        <w:rPr>
          <w:rFonts w:ascii="Verdana" w:eastAsia="Times New Roman" w:hAnsi="Verdana" w:cs="Arial"/>
          <w:sz w:val="22"/>
          <w:szCs w:val="22"/>
          <w:lang w:val="es-CO" w:eastAsia="es-CO"/>
        </w:rPr>
        <w:fldChar w:fldCharType="begin"/>
      </w:r>
      <w:r w:rsidR="00FA4A87" w:rsidRPr="005C7E10">
        <w:rPr>
          <w:rFonts w:ascii="Verdana" w:eastAsia="Times New Roman" w:hAnsi="Verdana" w:cs="Arial"/>
          <w:sz w:val="22"/>
          <w:szCs w:val="22"/>
          <w:lang w:val="es-CO" w:eastAsia="es-CO"/>
        </w:rPr>
        <w:instrText xml:space="preserve"> SEQ Gráfica \* ARABIC </w:instrText>
      </w:r>
      <w:r w:rsidR="00FA4A87" w:rsidRPr="005C7E10">
        <w:rPr>
          <w:rFonts w:ascii="Verdana" w:eastAsia="Times New Roman" w:hAnsi="Verdana" w:cs="Arial"/>
          <w:sz w:val="22"/>
          <w:szCs w:val="22"/>
          <w:lang w:val="es-CO" w:eastAsia="es-CO"/>
        </w:rPr>
        <w:fldChar w:fldCharType="separate"/>
      </w:r>
      <w:r w:rsidR="01938715">
        <w:rPr>
          <w:rFonts w:ascii="Verdana" w:eastAsia="Times New Roman" w:hAnsi="Verdana" w:cs="Arial"/>
          <w:noProof/>
          <w:sz w:val="22"/>
          <w:szCs w:val="22"/>
          <w:lang w:val="es-CO" w:eastAsia="es-CO"/>
        </w:rPr>
        <w:t>8</w:t>
      </w:r>
      <w:r w:rsidR="00FA4A87" w:rsidRPr="005C7E10">
        <w:rPr>
          <w:rFonts w:ascii="Verdana" w:eastAsia="Times New Roman" w:hAnsi="Verdana" w:cs="Arial"/>
          <w:sz w:val="22"/>
          <w:szCs w:val="22"/>
          <w:lang w:val="es-CO" w:eastAsia="es-CO"/>
        </w:rPr>
        <w:fldChar w:fldCharType="end"/>
      </w:r>
      <w:r w:rsidRPr="449377F1">
        <w:rPr>
          <w:rFonts w:ascii="Verdana Pro" w:eastAsia="Verdana Pro" w:hAnsi="Verdana Pro" w:cs="Verdana Pro"/>
          <w:sz w:val="22"/>
          <w:szCs w:val="22"/>
          <w:lang w:val="es-CO" w:eastAsia="es-CO"/>
        </w:rPr>
        <w:t xml:space="preserve">. Distribución porcentual, variación absoluta y contribución a la variación de la población ocupada según rama de actividad. </w:t>
      </w:r>
      <w:proofErr w:type="gramStart"/>
      <w:r w:rsidR="33D2FCCC" w:rsidRPr="449377F1">
        <w:rPr>
          <w:rFonts w:ascii="Verdana Pro" w:eastAsia="Verdana Pro" w:hAnsi="Verdana Pro" w:cs="Verdana Pro"/>
          <w:sz w:val="22"/>
          <w:szCs w:val="22"/>
          <w:lang w:eastAsia="es-CO"/>
        </w:rPr>
        <w:t>Total</w:t>
      </w:r>
      <w:proofErr w:type="gramEnd"/>
      <w:r w:rsidR="33D2FCCC" w:rsidRPr="449377F1">
        <w:rPr>
          <w:rFonts w:ascii="Verdana Pro" w:eastAsia="Verdana Pro" w:hAnsi="Verdana Pro" w:cs="Verdana Pro"/>
          <w:sz w:val="22"/>
          <w:szCs w:val="22"/>
          <w:lang w:eastAsia="es-CO"/>
        </w:rPr>
        <w:t xml:space="preserve"> nacional Mayo (2023 - 2024) </w:t>
      </w:r>
      <w:r w:rsidR="00536047" w:rsidRPr="00A81BAA">
        <w:rPr>
          <w:rFonts w:ascii="Verdana" w:hAnsi="Verdana" w:cs="Arial"/>
          <w:sz w:val="22"/>
          <w:szCs w:val="22"/>
          <w:lang w:eastAsia="es-CO"/>
        </w:rPr>
        <w:cr/>
      </w:r>
      <w:r w:rsidR="00536047" w:rsidRPr="00A81BAA">
        <w:rPr>
          <w:rFonts w:ascii="Verdana" w:hAnsi="Verdana" w:cs="Arial"/>
          <w:noProof/>
          <w:sz w:val="22"/>
          <w:szCs w:val="22"/>
        </w:rPr>
        <w:drawing>
          <wp:inline distT="0" distB="0" distL="0" distR="0" wp14:anchorId="3FB1492B" wp14:editId="02951975">
            <wp:extent cx="6120372" cy="2676469"/>
            <wp:effectExtent l="0" t="0" r="0" b="0"/>
            <wp:docPr id="18359512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51229" name=""/>
                    <pic:cNvPicPr/>
                  </pic:nvPicPr>
                  <pic:blipFill>
                    <a:blip r:embed="rId21"/>
                    <a:stretch>
                      <a:fillRect/>
                    </a:stretch>
                  </pic:blipFill>
                  <pic:spPr>
                    <a:xfrm>
                      <a:off x="0" y="0"/>
                      <a:ext cx="6120372" cy="2676469"/>
                    </a:xfrm>
                    <a:prstGeom prst="rect">
                      <a:avLst/>
                    </a:prstGeom>
                  </pic:spPr>
                </pic:pic>
              </a:graphicData>
            </a:graphic>
          </wp:inline>
        </w:drawing>
      </w:r>
      <w:bookmarkEnd w:id="8"/>
    </w:p>
    <w:p w14:paraId="0A3FF61B" w14:textId="77777777" w:rsidR="00536047" w:rsidRPr="005C7E10" w:rsidRDefault="33D2FCCC"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Departamento Administrativo Nacional de Estadística (DANE)</w:t>
      </w:r>
      <w:r w:rsidR="00536047" w:rsidRPr="449377F1">
        <w:rPr>
          <w:rStyle w:val="Refdenotaalpie"/>
          <w:rFonts w:ascii="Verdana Pro" w:eastAsia="Verdana Pro" w:hAnsi="Verdana Pro" w:cs="Verdana Pro"/>
          <w:sz w:val="16"/>
          <w:szCs w:val="16"/>
        </w:rPr>
        <w:footnoteReference w:id="17"/>
      </w:r>
    </w:p>
    <w:p w14:paraId="52D118B6" w14:textId="77777777" w:rsidR="00536047" w:rsidRPr="00A81BAA" w:rsidRDefault="00536047" w:rsidP="449377F1">
      <w:pPr>
        <w:autoSpaceDE w:val="0"/>
        <w:autoSpaceDN w:val="0"/>
        <w:adjustRightInd w:val="0"/>
        <w:jc w:val="both"/>
        <w:rPr>
          <w:rFonts w:ascii="Verdana Pro" w:eastAsia="Verdana Pro" w:hAnsi="Verdana Pro" w:cs="Verdana Pro"/>
          <w:sz w:val="22"/>
          <w:szCs w:val="22"/>
        </w:rPr>
      </w:pPr>
    </w:p>
    <w:p w14:paraId="4BCDFE27" w14:textId="74BFC3D1" w:rsidR="0053422A" w:rsidRPr="00A81BAA" w:rsidRDefault="33D2FCCC" w:rsidP="449377F1">
      <w:pPr>
        <w:autoSpaceDE w:val="0"/>
        <w:autoSpaceDN w:val="0"/>
        <w:adjustRightInd w:val="0"/>
        <w:jc w:val="both"/>
        <w:rPr>
          <w:rFonts w:ascii="Verdana Pro" w:eastAsia="Verdana Pro" w:hAnsi="Verdana Pro" w:cs="Verdana Pro"/>
          <w:sz w:val="22"/>
          <w:szCs w:val="22"/>
        </w:rPr>
      </w:pPr>
      <w:r w:rsidRPr="449377F1">
        <w:rPr>
          <w:rFonts w:ascii="Verdana Pro" w:eastAsia="Verdana Pro" w:hAnsi="Verdana Pro" w:cs="Verdana Pro"/>
          <w:sz w:val="22"/>
          <w:szCs w:val="22"/>
        </w:rPr>
        <w:t>El Boletín presenta también el Ranking de ciudades según tasa de desocupación, trimestre móvil marzo - mayo 2024, reflejando que para el trimestre en cuestión de las 23 ciudades y áreas metropolitanas (AM), las que presentaron mayores tasas de desocupación fueron: Quibdó (28,6%), Riohacha (19,5%) y Florencia (16,4%) y las ciudades con menor tasa de desocupación fueron: Medellín A.M. (9,4%), Santa Marta (9,3%) y Bucaramanga A.M. (8,8%), como se presenta a continuación:</w:t>
      </w:r>
    </w:p>
    <w:p w14:paraId="4E61B5BE" w14:textId="77777777" w:rsidR="004F2B1B" w:rsidRDefault="004F2B1B" w:rsidP="449377F1">
      <w:pPr>
        <w:autoSpaceDE w:val="0"/>
        <w:autoSpaceDN w:val="0"/>
        <w:adjustRightInd w:val="0"/>
        <w:jc w:val="both"/>
        <w:rPr>
          <w:rFonts w:ascii="Verdana Pro" w:eastAsia="Verdana Pro" w:hAnsi="Verdana Pro" w:cs="Verdana Pro"/>
          <w:b/>
          <w:bCs/>
          <w:sz w:val="22"/>
          <w:szCs w:val="22"/>
          <w:lang w:eastAsia="es-CO"/>
        </w:rPr>
      </w:pPr>
    </w:p>
    <w:p w14:paraId="304A3537" w14:textId="45AF6EE2" w:rsidR="00536047" w:rsidRPr="005C7E10" w:rsidRDefault="1C13EDA2" w:rsidP="449377F1">
      <w:pPr>
        <w:pStyle w:val="Descripcin"/>
        <w:jc w:val="both"/>
        <w:rPr>
          <w:rFonts w:ascii="Verdana Pro" w:eastAsia="Verdana Pro" w:hAnsi="Verdana Pro" w:cs="Verdana Pro"/>
          <w:sz w:val="22"/>
          <w:szCs w:val="22"/>
          <w:lang w:eastAsia="es-CO"/>
        </w:rPr>
      </w:pPr>
      <w:bookmarkStart w:id="9" w:name="_Toc180136776"/>
      <w:r w:rsidRPr="449377F1">
        <w:rPr>
          <w:rFonts w:ascii="Verdana Pro" w:eastAsia="Verdana Pro" w:hAnsi="Verdana Pro" w:cs="Verdana Pro"/>
          <w:sz w:val="22"/>
          <w:szCs w:val="22"/>
          <w:lang w:val="es-CO" w:eastAsia="es-CO"/>
        </w:rPr>
        <w:t xml:space="preserve">Gráfica </w:t>
      </w:r>
      <w:r w:rsidR="004F2B1B" w:rsidRPr="449377F1">
        <w:rPr>
          <w:rFonts w:ascii="Verdana" w:eastAsia="Times New Roman" w:hAnsi="Verdana" w:cs="Arial"/>
          <w:sz w:val="22"/>
          <w:szCs w:val="22"/>
          <w:lang w:val="es-CO" w:eastAsia="es-CO"/>
        </w:rPr>
        <w:fldChar w:fldCharType="begin"/>
      </w:r>
      <w:r w:rsidR="004F2B1B" w:rsidRPr="449377F1">
        <w:rPr>
          <w:rFonts w:ascii="Verdana" w:eastAsia="Times New Roman" w:hAnsi="Verdana" w:cs="Arial"/>
          <w:sz w:val="22"/>
          <w:szCs w:val="22"/>
          <w:lang w:val="es-CO" w:eastAsia="es-CO"/>
        </w:rPr>
        <w:instrText xml:space="preserve"> SEQ Gráfica \* ARABIC </w:instrText>
      </w:r>
      <w:r w:rsidR="004F2B1B" w:rsidRPr="449377F1">
        <w:rPr>
          <w:rFonts w:ascii="Verdana" w:eastAsia="Times New Roman" w:hAnsi="Verdana" w:cs="Arial"/>
          <w:sz w:val="22"/>
          <w:szCs w:val="22"/>
          <w:lang w:val="es-CO" w:eastAsia="es-CO"/>
        </w:rPr>
        <w:fldChar w:fldCharType="separate"/>
      </w:r>
      <w:r w:rsidR="01938715" w:rsidRPr="449377F1">
        <w:rPr>
          <w:rFonts w:ascii="Verdana" w:eastAsia="Times New Roman" w:hAnsi="Verdana" w:cs="Arial"/>
          <w:noProof/>
          <w:sz w:val="22"/>
          <w:szCs w:val="22"/>
          <w:lang w:val="es-CO" w:eastAsia="es-CO"/>
        </w:rPr>
        <w:t>9</w:t>
      </w:r>
      <w:r w:rsidR="004F2B1B" w:rsidRPr="449377F1">
        <w:rPr>
          <w:rFonts w:ascii="Verdana" w:eastAsia="Times New Roman" w:hAnsi="Verdana" w:cs="Arial"/>
          <w:sz w:val="22"/>
          <w:szCs w:val="22"/>
          <w:lang w:val="es-CO" w:eastAsia="es-CO"/>
        </w:rPr>
        <w:fldChar w:fldCharType="end"/>
      </w:r>
      <w:r w:rsidRPr="449377F1">
        <w:rPr>
          <w:rFonts w:ascii="Verdana Pro" w:eastAsia="Verdana Pro" w:hAnsi="Verdana Pro" w:cs="Verdana Pro"/>
          <w:sz w:val="22"/>
          <w:szCs w:val="22"/>
          <w:lang w:val="es-CO" w:eastAsia="es-CO"/>
        </w:rPr>
        <w:t xml:space="preserve">. Tasa de desocupación según ciudades. </w:t>
      </w:r>
      <w:proofErr w:type="gramStart"/>
      <w:r w:rsidRPr="449377F1">
        <w:rPr>
          <w:rFonts w:ascii="Verdana Pro" w:eastAsia="Verdana Pro" w:hAnsi="Verdana Pro" w:cs="Verdana Pro"/>
          <w:sz w:val="22"/>
          <w:szCs w:val="22"/>
          <w:lang w:val="es-CO" w:eastAsia="es-CO"/>
        </w:rPr>
        <w:t>Total</w:t>
      </w:r>
      <w:proofErr w:type="gramEnd"/>
      <w:r w:rsidRPr="449377F1">
        <w:rPr>
          <w:rFonts w:ascii="Verdana Pro" w:eastAsia="Verdana Pro" w:hAnsi="Verdana Pro" w:cs="Verdana Pro"/>
          <w:sz w:val="22"/>
          <w:szCs w:val="22"/>
          <w:lang w:val="es-CO" w:eastAsia="es-CO"/>
        </w:rPr>
        <w:t xml:space="preserve"> nacional y 23 ciudades y áreas metropolitanas</w:t>
      </w:r>
      <w:r w:rsidR="43A0D27D" w:rsidRPr="449377F1">
        <w:rPr>
          <w:rFonts w:ascii="Verdana Pro" w:eastAsia="Verdana Pro" w:hAnsi="Verdana Pro" w:cs="Verdana Pro"/>
          <w:sz w:val="22"/>
          <w:szCs w:val="22"/>
          <w:lang w:val="es-CO" w:eastAsia="es-CO"/>
        </w:rPr>
        <w:t xml:space="preserve"> </w:t>
      </w:r>
      <w:proofErr w:type="gramStart"/>
      <w:r w:rsidR="33D2FCCC" w:rsidRPr="449377F1">
        <w:rPr>
          <w:rFonts w:ascii="Verdana Pro" w:eastAsia="Verdana Pro" w:hAnsi="Verdana Pro" w:cs="Verdana Pro"/>
          <w:sz w:val="22"/>
          <w:szCs w:val="22"/>
          <w:lang w:eastAsia="es-CO"/>
        </w:rPr>
        <w:t>Marzo</w:t>
      </w:r>
      <w:proofErr w:type="gramEnd"/>
      <w:r w:rsidR="33D2FCCC" w:rsidRPr="449377F1">
        <w:rPr>
          <w:rFonts w:ascii="Verdana Pro" w:eastAsia="Verdana Pro" w:hAnsi="Verdana Pro" w:cs="Verdana Pro"/>
          <w:sz w:val="22"/>
          <w:szCs w:val="22"/>
          <w:lang w:eastAsia="es-CO"/>
        </w:rPr>
        <w:t xml:space="preserve"> - mayo 2024</w:t>
      </w:r>
    </w:p>
    <w:p w14:paraId="3B9B6C2E" w14:textId="0754D4E3" w:rsidR="00536047" w:rsidRPr="005C7E10" w:rsidRDefault="00536047" w:rsidP="449377F1">
      <w:pPr>
        <w:pStyle w:val="Descripcin"/>
        <w:jc w:val="both"/>
        <w:rPr>
          <w:rFonts w:ascii="Verdana Pro" w:eastAsia="Verdana Pro" w:hAnsi="Verdana Pro" w:cs="Verdana Pro"/>
          <w:sz w:val="22"/>
          <w:szCs w:val="22"/>
          <w:lang w:eastAsia="es-CO"/>
        </w:rPr>
      </w:pPr>
      <w:r w:rsidRPr="00A81BAA">
        <w:rPr>
          <w:rFonts w:ascii="Verdana" w:hAnsi="Verdana" w:cs="Arial"/>
          <w:sz w:val="22"/>
          <w:szCs w:val="22"/>
          <w:lang w:eastAsia="es-CO"/>
        </w:rPr>
        <w:lastRenderedPageBreak/>
        <w:cr/>
      </w:r>
      <w:r w:rsidRPr="00A81BAA">
        <w:rPr>
          <w:rFonts w:ascii="Verdana" w:hAnsi="Verdana" w:cs="Arial"/>
          <w:noProof/>
          <w:sz w:val="22"/>
          <w:szCs w:val="22"/>
        </w:rPr>
        <w:drawing>
          <wp:inline distT="0" distB="0" distL="0" distR="0" wp14:anchorId="29C77723" wp14:editId="64323F19">
            <wp:extent cx="5925788" cy="2322481"/>
            <wp:effectExtent l="0" t="0" r="0" b="0"/>
            <wp:docPr id="447351597" name="Imagen 1" descr="Gráfico, Gráfico de barras, Histo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351597" name="Imagen 1" descr="Gráfico, Gráfico de barras, Histograma&#10;&#10;Descripción generada automáticamente"/>
                    <pic:cNvPicPr/>
                  </pic:nvPicPr>
                  <pic:blipFill rotWithShape="1">
                    <a:blip r:embed="rId22"/>
                    <a:srcRect l="1358" t="2616" r="1817"/>
                    <a:stretch/>
                  </pic:blipFill>
                  <pic:spPr bwMode="auto">
                    <a:xfrm>
                      <a:off x="0" y="0"/>
                      <a:ext cx="5925788" cy="2322481"/>
                    </a:xfrm>
                    <a:prstGeom prst="rect">
                      <a:avLst/>
                    </a:prstGeom>
                    <a:ln>
                      <a:noFill/>
                    </a:ln>
                    <a:extLst>
                      <a:ext uri="{53640926-AAD7-44D8-BBD7-CCE9431645EC}">
                        <a14:shadowObscured xmlns:a14="http://schemas.microsoft.com/office/drawing/2010/main"/>
                      </a:ext>
                    </a:extLst>
                  </pic:spPr>
                </pic:pic>
              </a:graphicData>
            </a:graphic>
          </wp:inline>
        </w:drawing>
      </w:r>
      <w:bookmarkEnd w:id="9"/>
    </w:p>
    <w:p w14:paraId="5491E3D9" w14:textId="77777777" w:rsidR="00536047" w:rsidRPr="005C7E10" w:rsidRDefault="33D2FCCC" w:rsidP="449377F1">
      <w:pPr>
        <w:pBdr>
          <w:top w:val="nil"/>
          <w:left w:val="nil"/>
          <w:bottom w:val="nil"/>
          <w:right w:val="nil"/>
          <w:between w:val="nil"/>
        </w:pBdr>
        <w:jc w:val="center"/>
        <w:rPr>
          <w:rFonts w:ascii="Verdana Pro" w:eastAsia="Verdana Pro" w:hAnsi="Verdana Pro" w:cs="Verdana Pro"/>
          <w:sz w:val="16"/>
          <w:szCs w:val="16"/>
        </w:rPr>
      </w:pPr>
      <w:r w:rsidRPr="449377F1">
        <w:rPr>
          <w:rFonts w:ascii="Verdana Pro" w:eastAsia="Verdana Pro" w:hAnsi="Verdana Pro" w:cs="Verdana Pro"/>
          <w:b/>
          <w:bCs/>
          <w:sz w:val="16"/>
          <w:szCs w:val="16"/>
        </w:rPr>
        <w:t xml:space="preserve">Fuente: </w:t>
      </w:r>
      <w:r w:rsidRPr="449377F1">
        <w:rPr>
          <w:rFonts w:ascii="Verdana Pro" w:eastAsia="Verdana Pro" w:hAnsi="Verdana Pro" w:cs="Verdana Pro"/>
          <w:sz w:val="16"/>
          <w:szCs w:val="16"/>
        </w:rPr>
        <w:t>Departamento Administrativo Nacional de Estadística (DANE)</w:t>
      </w:r>
      <w:r w:rsidR="00536047" w:rsidRPr="449377F1">
        <w:rPr>
          <w:rStyle w:val="Refdenotaalpie"/>
          <w:rFonts w:ascii="Verdana Pro" w:eastAsia="Verdana Pro" w:hAnsi="Verdana Pro" w:cs="Verdana Pro"/>
          <w:sz w:val="16"/>
          <w:szCs w:val="16"/>
        </w:rPr>
        <w:footnoteReference w:id="18"/>
      </w:r>
    </w:p>
    <w:p w14:paraId="274F6CAD" w14:textId="77777777" w:rsidR="001C43E7" w:rsidRDefault="001C43E7" w:rsidP="449377F1">
      <w:pPr>
        <w:jc w:val="both"/>
        <w:rPr>
          <w:rFonts w:ascii="Verdana Pro" w:eastAsia="Verdana Pro" w:hAnsi="Verdana Pro" w:cs="Verdana Pro"/>
          <w:sz w:val="22"/>
          <w:szCs w:val="22"/>
        </w:rPr>
      </w:pPr>
    </w:p>
    <w:p w14:paraId="2D6727BA" w14:textId="6575458A" w:rsidR="00C661DA" w:rsidRDefault="1CECBF1C"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Sumado a lo anterior, vale la pena analizar el comportamiento </w:t>
      </w:r>
      <w:r w:rsidR="48FBB6D5" w:rsidRPr="449377F1">
        <w:rPr>
          <w:rFonts w:ascii="Verdana Pro" w:eastAsia="Verdana Pro" w:hAnsi="Verdana Pro" w:cs="Verdana Pro"/>
          <w:sz w:val="22"/>
          <w:szCs w:val="22"/>
        </w:rPr>
        <w:t xml:space="preserve">del sector de la construcción acotado al subsector de las edificaciones. </w:t>
      </w:r>
      <w:proofErr w:type="gramStart"/>
      <w:r w:rsidR="48FBB6D5" w:rsidRPr="449377F1">
        <w:rPr>
          <w:rFonts w:ascii="Verdana Pro" w:eastAsia="Verdana Pro" w:hAnsi="Verdana Pro" w:cs="Verdana Pro"/>
          <w:sz w:val="22"/>
          <w:szCs w:val="22"/>
        </w:rPr>
        <w:t>De acuerdo a</w:t>
      </w:r>
      <w:proofErr w:type="gramEnd"/>
      <w:r w:rsidR="48FBB6D5" w:rsidRPr="449377F1">
        <w:rPr>
          <w:rFonts w:ascii="Verdana Pro" w:eastAsia="Verdana Pro" w:hAnsi="Verdana Pro" w:cs="Verdana Pro"/>
          <w:sz w:val="22"/>
          <w:szCs w:val="22"/>
        </w:rPr>
        <w:t xml:space="preserve"> lo indicado por CAMACOL en el </w:t>
      </w:r>
      <w:r w:rsidR="5E9C175D" w:rsidRPr="449377F1">
        <w:rPr>
          <w:rFonts w:ascii="Verdana Pro" w:eastAsia="Verdana Pro" w:hAnsi="Verdana Pro" w:cs="Verdana Pro"/>
          <w:sz w:val="22"/>
          <w:szCs w:val="22"/>
        </w:rPr>
        <w:t>Informe Económico</w:t>
      </w:r>
      <w:r w:rsidR="6D5E2EB7" w:rsidRPr="449377F1">
        <w:rPr>
          <w:rFonts w:ascii="Verdana Pro" w:eastAsia="Verdana Pro" w:hAnsi="Verdana Pro" w:cs="Verdana Pro"/>
          <w:sz w:val="22"/>
          <w:szCs w:val="22"/>
        </w:rPr>
        <w:t xml:space="preserve"> No.</w:t>
      </w:r>
      <w:r w:rsidR="5E9C175D" w:rsidRPr="449377F1">
        <w:rPr>
          <w:rFonts w:ascii="Verdana Pro" w:eastAsia="Verdana Pro" w:hAnsi="Verdana Pro" w:cs="Verdana Pro"/>
          <w:sz w:val="22"/>
          <w:szCs w:val="22"/>
        </w:rPr>
        <w:t xml:space="preserve"> 119</w:t>
      </w:r>
      <w:r w:rsidR="6D5E2EB7" w:rsidRPr="449377F1">
        <w:rPr>
          <w:rFonts w:ascii="Verdana Pro" w:eastAsia="Verdana Pro" w:hAnsi="Verdana Pro" w:cs="Verdana Pro"/>
          <w:sz w:val="22"/>
          <w:szCs w:val="22"/>
        </w:rPr>
        <w:t xml:space="preserve"> - Coyuntura y retos para el sector de la construcción en 2024, el s</w:t>
      </w:r>
      <w:r w:rsidR="5E9C175D" w:rsidRPr="449377F1">
        <w:rPr>
          <w:rFonts w:ascii="Verdana Pro" w:eastAsia="Verdana Pro" w:hAnsi="Verdana Pro" w:cs="Verdana Pro"/>
          <w:sz w:val="22"/>
          <w:szCs w:val="22"/>
        </w:rPr>
        <w:t>ubsector</w:t>
      </w:r>
      <w:r w:rsidR="6D5E2EB7" w:rsidRPr="449377F1">
        <w:rPr>
          <w:rFonts w:ascii="Verdana Pro" w:eastAsia="Verdana Pro" w:hAnsi="Verdana Pro" w:cs="Verdana Pro"/>
          <w:sz w:val="22"/>
          <w:szCs w:val="22"/>
        </w:rPr>
        <w:t xml:space="preserve"> de Edificaciones</w:t>
      </w:r>
      <w:r w:rsidR="5E9C175D" w:rsidRPr="449377F1">
        <w:rPr>
          <w:rFonts w:ascii="Verdana Pro" w:eastAsia="Verdana Pro" w:hAnsi="Verdana Pro" w:cs="Verdana Pro"/>
          <w:sz w:val="22"/>
          <w:szCs w:val="22"/>
        </w:rPr>
        <w:t xml:space="preserve"> </w:t>
      </w:r>
      <w:r w:rsidR="6D5E2EB7" w:rsidRPr="449377F1">
        <w:rPr>
          <w:rFonts w:ascii="Verdana Pro" w:eastAsia="Verdana Pro" w:hAnsi="Verdana Pro" w:cs="Verdana Pro"/>
          <w:i/>
          <w:iCs/>
          <w:sz w:val="22"/>
          <w:szCs w:val="22"/>
        </w:rPr>
        <w:t>“</w:t>
      </w:r>
      <w:r w:rsidR="5E9C175D" w:rsidRPr="449377F1">
        <w:rPr>
          <w:rFonts w:ascii="Verdana Pro" w:eastAsia="Verdana Pro" w:hAnsi="Verdana Pro" w:cs="Verdana Pro"/>
          <w:i/>
          <w:iCs/>
          <w:sz w:val="22"/>
          <w:szCs w:val="22"/>
        </w:rPr>
        <w:t xml:space="preserve">ha mantenido una participación cercana al 60% en el total de ocupados en la construcción2 en los últimos dos años, registrando crecimientos importantes producto del volumen de metros cuadrados en proceso. A lo largo del 2023 el área residencial en proceso de construcción se mantuvo por encima de 22,4 millones de metros cuadrados, lo cual se explica por los volúmenes de proyectos lanzados y comercializados entre 2020 y 2022. El nivel de obra permitió que el empleo de las edificaciones alcanzara un máximo de 983.925 ocupados en el segundo trimestre del año pasado. Sin embargo, los metros cuadrados residenciales en proceso de construcción experimentaron variaciones anuales de -0,5% en el último trimestre de 2023 y de -2,8% en el primer trimestre de 2024. Con este contexto y considerando la variación negativa prevista en las iniciaciones de vivienda durante el año en curso, sumada a un incremento en el área culminada, es previsible una disminución en el número de metros cuadrados en proceso para destinos residenciales, </w:t>
      </w:r>
      <w:r w:rsidR="5E9C175D" w:rsidRPr="449377F1">
        <w:rPr>
          <w:rFonts w:ascii="Verdana Pro" w:eastAsia="Verdana Pro" w:hAnsi="Verdana Pro" w:cs="Verdana Pro"/>
          <w:i/>
          <w:iCs/>
          <w:sz w:val="22"/>
          <w:szCs w:val="22"/>
        </w:rPr>
        <w:lastRenderedPageBreak/>
        <w:t>lo que afectará la demanda de trabajo en el subsector. Para el primer trimestre de 2024, el número de ocupados en el subsector de las edificaciones se contrajo un -1,1%</w:t>
      </w:r>
      <w:r w:rsidR="6D5E2EB7" w:rsidRPr="449377F1">
        <w:rPr>
          <w:rFonts w:ascii="Verdana Pro" w:eastAsia="Verdana Pro" w:hAnsi="Verdana Pro" w:cs="Verdana Pro"/>
          <w:i/>
          <w:iCs/>
          <w:sz w:val="22"/>
          <w:szCs w:val="22"/>
        </w:rPr>
        <w:t>”</w:t>
      </w:r>
      <w:r w:rsidR="00322C9B" w:rsidRPr="449377F1">
        <w:rPr>
          <w:rStyle w:val="Refdenotaalpie"/>
          <w:rFonts w:ascii="Verdana Pro" w:eastAsia="Verdana Pro" w:hAnsi="Verdana Pro" w:cs="Verdana Pro"/>
          <w:i/>
          <w:iCs/>
          <w:sz w:val="22"/>
          <w:szCs w:val="22"/>
        </w:rPr>
        <w:footnoteReference w:id="19"/>
      </w:r>
      <w:r w:rsidR="5E9C175D" w:rsidRPr="449377F1">
        <w:rPr>
          <w:rFonts w:ascii="Verdana Pro" w:eastAsia="Verdana Pro" w:hAnsi="Verdana Pro" w:cs="Verdana Pro"/>
          <w:i/>
          <w:iCs/>
          <w:sz w:val="22"/>
          <w:szCs w:val="22"/>
        </w:rPr>
        <w:t>.</w:t>
      </w:r>
    </w:p>
    <w:p w14:paraId="3C93D0A1" w14:textId="77777777" w:rsidR="00EC7063" w:rsidRDefault="00EC7063" w:rsidP="449377F1">
      <w:pPr>
        <w:jc w:val="both"/>
        <w:rPr>
          <w:rFonts w:ascii="Verdana Pro" w:eastAsia="Verdana Pro" w:hAnsi="Verdana Pro" w:cs="Verdana Pro"/>
          <w:sz w:val="22"/>
          <w:szCs w:val="22"/>
        </w:rPr>
      </w:pPr>
    </w:p>
    <w:p w14:paraId="7D9B1E53" w14:textId="0C448F05" w:rsidR="00534854" w:rsidRPr="00A81BAA" w:rsidRDefault="71071948" w:rsidP="449377F1">
      <w:pPr>
        <w:pStyle w:val="Prrafodelista"/>
        <w:numPr>
          <w:ilvl w:val="0"/>
          <w:numId w:val="45"/>
        </w:numPr>
        <w:rPr>
          <w:rFonts w:ascii="Verdana Pro" w:eastAsia="Verdana Pro" w:hAnsi="Verdana Pro" w:cs="Verdana Pro"/>
          <w:b/>
          <w:bCs/>
          <w:lang w:eastAsia="es-MX"/>
        </w:rPr>
      </w:pPr>
      <w:r w:rsidRPr="449377F1">
        <w:rPr>
          <w:rFonts w:ascii="Verdana Pro" w:eastAsia="Verdana Pro" w:hAnsi="Verdana Pro" w:cs="Verdana Pro"/>
          <w:b/>
          <w:bCs/>
          <w:lang w:eastAsia="es-MX"/>
        </w:rPr>
        <w:t>Dinámicas de compra</w:t>
      </w:r>
    </w:p>
    <w:p w14:paraId="6C2C8679" w14:textId="77777777" w:rsidR="0019345B" w:rsidRDefault="0019345B" w:rsidP="449377F1">
      <w:pPr>
        <w:jc w:val="both"/>
        <w:rPr>
          <w:rFonts w:ascii="Verdana Pro" w:eastAsia="Verdana Pro" w:hAnsi="Verdana Pro" w:cs="Verdana Pro"/>
          <w:sz w:val="22"/>
          <w:szCs w:val="22"/>
        </w:rPr>
      </w:pPr>
    </w:p>
    <w:p w14:paraId="6E114E1B" w14:textId="026D378A" w:rsidR="00E740D4" w:rsidRDefault="0F356B2D"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De acuerdo con </w:t>
      </w:r>
      <w:r w:rsidR="15940C7F" w:rsidRPr="449377F1">
        <w:rPr>
          <w:rFonts w:ascii="Verdana Pro" w:eastAsia="Verdana Pro" w:hAnsi="Verdana Pro" w:cs="Verdana Pro"/>
          <w:sz w:val="22"/>
          <w:szCs w:val="22"/>
        </w:rPr>
        <w:t>los</w:t>
      </w:r>
      <w:r w:rsidRPr="449377F1">
        <w:rPr>
          <w:rFonts w:ascii="Verdana Pro" w:eastAsia="Verdana Pro" w:hAnsi="Verdana Pro" w:cs="Verdana Pro"/>
          <w:sz w:val="22"/>
          <w:szCs w:val="22"/>
        </w:rPr>
        <w:t xml:space="preserve"> Informe</w:t>
      </w:r>
      <w:r w:rsidR="60DA9781" w:rsidRPr="449377F1">
        <w:rPr>
          <w:rFonts w:ascii="Verdana Pro" w:eastAsia="Verdana Pro" w:hAnsi="Verdana Pro" w:cs="Verdana Pro"/>
          <w:sz w:val="22"/>
          <w:szCs w:val="22"/>
        </w:rPr>
        <w:t>s</w:t>
      </w:r>
      <w:r w:rsidRPr="449377F1">
        <w:rPr>
          <w:rFonts w:ascii="Verdana Pro" w:eastAsia="Verdana Pro" w:hAnsi="Verdana Pro" w:cs="Verdana Pro"/>
          <w:sz w:val="22"/>
          <w:szCs w:val="22"/>
        </w:rPr>
        <w:t xml:space="preserve"> de </w:t>
      </w:r>
      <w:r w:rsidR="42E9FCC8" w:rsidRPr="449377F1">
        <w:rPr>
          <w:rFonts w:ascii="Verdana Pro" w:eastAsia="Verdana Pro" w:hAnsi="Verdana Pro" w:cs="Verdana Pro"/>
          <w:sz w:val="22"/>
          <w:szCs w:val="22"/>
        </w:rPr>
        <w:t>Cubo del Gasto elaborado</w:t>
      </w:r>
      <w:r w:rsidR="6036FA46" w:rsidRPr="449377F1">
        <w:rPr>
          <w:rFonts w:ascii="Verdana Pro" w:eastAsia="Verdana Pro" w:hAnsi="Verdana Pro" w:cs="Verdana Pro"/>
          <w:sz w:val="22"/>
          <w:szCs w:val="22"/>
        </w:rPr>
        <w:t>s</w:t>
      </w:r>
      <w:r w:rsidR="42E9FCC8" w:rsidRPr="449377F1">
        <w:rPr>
          <w:rFonts w:ascii="Verdana Pro" w:eastAsia="Verdana Pro" w:hAnsi="Verdana Pro" w:cs="Verdana Pro"/>
          <w:sz w:val="22"/>
          <w:szCs w:val="22"/>
        </w:rPr>
        <w:t xml:space="preserve"> por la</w:t>
      </w:r>
      <w:r w:rsidRPr="449377F1">
        <w:rPr>
          <w:rFonts w:ascii="Verdana Pro" w:eastAsia="Verdana Pro" w:hAnsi="Verdana Pro" w:cs="Verdana Pro"/>
          <w:sz w:val="22"/>
          <w:szCs w:val="22"/>
        </w:rPr>
        <w:t xml:space="preserve"> Subdirección de Estudios de Mercado y Abastecimiento Estratégico, </w:t>
      </w:r>
      <w:r w:rsidR="3B442586" w:rsidRPr="449377F1">
        <w:rPr>
          <w:rFonts w:ascii="Verdana Pro" w:eastAsia="Verdana Pro" w:hAnsi="Verdana Pro" w:cs="Verdana Pro"/>
          <w:sz w:val="22"/>
          <w:szCs w:val="22"/>
        </w:rPr>
        <w:t xml:space="preserve">en el cual se analizaron </w:t>
      </w:r>
      <w:r w:rsidR="470B88D3" w:rsidRPr="449377F1">
        <w:rPr>
          <w:rFonts w:ascii="Verdana Pro" w:eastAsia="Verdana Pro" w:hAnsi="Verdana Pro" w:cs="Verdana Pro"/>
          <w:sz w:val="22"/>
          <w:szCs w:val="22"/>
        </w:rPr>
        <w:t xml:space="preserve">22169 </w:t>
      </w:r>
      <w:r w:rsidR="624F6EF0" w:rsidRPr="449377F1">
        <w:rPr>
          <w:rFonts w:ascii="Verdana Pro" w:eastAsia="Verdana Pro" w:hAnsi="Verdana Pro" w:cs="Verdana Pro"/>
          <w:sz w:val="22"/>
          <w:szCs w:val="22"/>
        </w:rPr>
        <w:t xml:space="preserve">procesos </w:t>
      </w:r>
      <w:r w:rsidR="6BD14CFA" w:rsidRPr="449377F1">
        <w:rPr>
          <w:rFonts w:ascii="Verdana Pro" w:eastAsia="Verdana Pro" w:hAnsi="Verdana Pro" w:cs="Verdana Pro"/>
          <w:sz w:val="22"/>
          <w:szCs w:val="22"/>
        </w:rPr>
        <w:t xml:space="preserve">por $24 billones </w:t>
      </w:r>
      <w:r w:rsidR="3B442586" w:rsidRPr="449377F1">
        <w:rPr>
          <w:rFonts w:ascii="Verdana Pro" w:eastAsia="Verdana Pro" w:hAnsi="Verdana Pro" w:cs="Verdana Pro"/>
          <w:sz w:val="22"/>
          <w:szCs w:val="22"/>
        </w:rPr>
        <w:t>mediante las plataformas SECOP I y II para las vigencias 2021, 2022</w:t>
      </w:r>
      <w:r w:rsidR="691CAA3B" w:rsidRPr="449377F1">
        <w:rPr>
          <w:rFonts w:ascii="Verdana Pro" w:eastAsia="Verdana Pro" w:hAnsi="Verdana Pro" w:cs="Verdana Pro"/>
          <w:sz w:val="22"/>
          <w:szCs w:val="22"/>
        </w:rPr>
        <w:t>,</w:t>
      </w:r>
      <w:r w:rsidR="49DB8CEE" w:rsidRPr="449377F1">
        <w:rPr>
          <w:rFonts w:ascii="Verdana Pro" w:eastAsia="Verdana Pro" w:hAnsi="Verdana Pro" w:cs="Verdana Pro"/>
          <w:sz w:val="22"/>
          <w:szCs w:val="22"/>
        </w:rPr>
        <w:t xml:space="preserve"> </w:t>
      </w:r>
      <w:r w:rsidR="3B442586" w:rsidRPr="449377F1">
        <w:rPr>
          <w:rFonts w:ascii="Verdana Pro" w:eastAsia="Verdana Pro" w:hAnsi="Verdana Pro" w:cs="Verdana Pro"/>
          <w:sz w:val="22"/>
          <w:szCs w:val="22"/>
        </w:rPr>
        <w:t>2023</w:t>
      </w:r>
      <w:r w:rsidR="053FECCA" w:rsidRPr="449377F1">
        <w:rPr>
          <w:rFonts w:ascii="Verdana Pro" w:eastAsia="Verdana Pro" w:hAnsi="Verdana Pro" w:cs="Verdana Pro"/>
          <w:sz w:val="22"/>
          <w:szCs w:val="22"/>
        </w:rPr>
        <w:t xml:space="preserve"> y parte del 2024</w:t>
      </w:r>
      <w:r w:rsidRPr="449377F1">
        <w:rPr>
          <w:rFonts w:ascii="Verdana Pro" w:eastAsia="Verdana Pro" w:hAnsi="Verdana Pro" w:cs="Verdana Pro"/>
          <w:sz w:val="22"/>
          <w:szCs w:val="22"/>
        </w:rPr>
        <w:t xml:space="preserve">, </w:t>
      </w:r>
      <w:r w:rsidR="2FA9C1E6" w:rsidRPr="449377F1">
        <w:rPr>
          <w:rFonts w:ascii="Verdana Pro" w:eastAsia="Verdana Pro" w:hAnsi="Verdana Pro" w:cs="Verdana Pro"/>
          <w:sz w:val="22"/>
          <w:szCs w:val="22"/>
        </w:rPr>
        <w:t>se puede evidenciar las dinámicas de compra de los Sectores Educación, Salud, cultura Recreación y Deporte, Edificios Institucionales e Infraestructura de Seguridad</w:t>
      </w:r>
      <w:r w:rsidR="3C125883" w:rsidRPr="449377F1">
        <w:rPr>
          <w:rFonts w:ascii="Verdana Pro" w:eastAsia="Verdana Pro" w:hAnsi="Verdana Pro" w:cs="Verdana Pro"/>
          <w:sz w:val="22"/>
          <w:szCs w:val="22"/>
        </w:rPr>
        <w:t xml:space="preserve"> durante las vigencias analizadas. </w:t>
      </w:r>
    </w:p>
    <w:p w14:paraId="6326F5D8" w14:textId="77777777" w:rsidR="00C765BE" w:rsidRDefault="00C765BE" w:rsidP="449377F1">
      <w:pPr>
        <w:jc w:val="both"/>
        <w:rPr>
          <w:rFonts w:ascii="Verdana Pro" w:eastAsia="Verdana Pro" w:hAnsi="Verdana Pro" w:cs="Verdana Pro"/>
          <w:sz w:val="22"/>
          <w:szCs w:val="22"/>
        </w:rPr>
      </w:pPr>
    </w:p>
    <w:tbl>
      <w:tblPr>
        <w:tblW w:w="0" w:type="auto"/>
        <w:tblLayout w:type="fixed"/>
        <w:tblLook w:val="06A0" w:firstRow="1" w:lastRow="0" w:firstColumn="1" w:lastColumn="0" w:noHBand="1" w:noVBand="1"/>
      </w:tblPr>
      <w:tblGrid>
        <w:gridCol w:w="3360"/>
        <w:gridCol w:w="4498"/>
        <w:gridCol w:w="1926"/>
      </w:tblGrid>
      <w:tr w:rsidR="1C76665A" w14:paraId="0888D78F" w14:textId="77777777" w:rsidTr="449377F1">
        <w:trPr>
          <w:trHeight w:val="300"/>
        </w:trPr>
        <w:tc>
          <w:tcPr>
            <w:tcW w:w="3360" w:type="dxa"/>
            <w:tcBorders>
              <w:top w:val="nil"/>
              <w:left w:val="nil"/>
              <w:bottom w:val="nil"/>
              <w:right w:val="nil"/>
            </w:tcBorders>
            <w:shd w:val="clear" w:color="auto" w:fill="D9E1F2"/>
            <w:tcMar>
              <w:top w:w="15" w:type="dxa"/>
              <w:left w:w="15" w:type="dxa"/>
              <w:right w:w="15" w:type="dxa"/>
            </w:tcMar>
            <w:vAlign w:val="bottom"/>
          </w:tcPr>
          <w:p w14:paraId="780FD5A7" w14:textId="06C3C3C1" w:rsidR="2BD277F3" w:rsidRDefault="21C02D4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Vigencia y plataforma</w:t>
            </w:r>
          </w:p>
        </w:tc>
        <w:tc>
          <w:tcPr>
            <w:tcW w:w="4498" w:type="dxa"/>
            <w:tcBorders>
              <w:top w:val="nil"/>
              <w:left w:val="nil"/>
              <w:bottom w:val="nil"/>
              <w:right w:val="nil"/>
            </w:tcBorders>
            <w:shd w:val="clear" w:color="auto" w:fill="D9E1F2"/>
            <w:tcMar>
              <w:top w:w="15" w:type="dxa"/>
              <w:left w:w="15" w:type="dxa"/>
              <w:right w:w="15" w:type="dxa"/>
            </w:tcMar>
            <w:vAlign w:val="bottom"/>
          </w:tcPr>
          <w:p w14:paraId="597AB107" w14:textId="380A3456" w:rsidR="1C76665A" w:rsidRDefault="26270A34"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w:t>
            </w:r>
          </w:p>
        </w:tc>
        <w:tc>
          <w:tcPr>
            <w:tcW w:w="1926" w:type="dxa"/>
            <w:tcBorders>
              <w:top w:val="nil"/>
              <w:left w:val="nil"/>
              <w:bottom w:val="nil"/>
              <w:right w:val="nil"/>
            </w:tcBorders>
            <w:shd w:val="clear" w:color="auto" w:fill="D9E1F2"/>
            <w:tcMar>
              <w:top w:w="15" w:type="dxa"/>
              <w:left w:w="15" w:type="dxa"/>
              <w:right w:w="15" w:type="dxa"/>
            </w:tcMar>
            <w:vAlign w:val="bottom"/>
          </w:tcPr>
          <w:p w14:paraId="00BD4EEA" w14:textId="2B6D52AC" w:rsidR="1C76665A" w:rsidRDefault="26270A34"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Contrato</w:t>
            </w:r>
            <w:r w:rsidR="22A9F365" w:rsidRPr="449377F1">
              <w:rPr>
                <w:rFonts w:ascii="Verdana Pro" w:eastAsia="Verdana Pro" w:hAnsi="Verdana Pro" w:cs="Verdana Pro"/>
                <w:b/>
                <w:bCs/>
                <w:color w:val="000000" w:themeColor="text1"/>
                <w:sz w:val="22"/>
                <w:szCs w:val="22"/>
              </w:rPr>
              <w:t>s</w:t>
            </w:r>
          </w:p>
        </w:tc>
      </w:tr>
      <w:tr w:rsidR="1C76665A" w14:paraId="765825F1" w14:textId="77777777" w:rsidTr="449377F1">
        <w:trPr>
          <w:trHeight w:val="300"/>
        </w:trPr>
        <w:tc>
          <w:tcPr>
            <w:tcW w:w="3360" w:type="dxa"/>
            <w:tcBorders>
              <w:top w:val="nil"/>
              <w:left w:val="nil"/>
              <w:bottom w:val="nil"/>
              <w:right w:val="nil"/>
            </w:tcBorders>
            <w:tcMar>
              <w:top w:w="15" w:type="dxa"/>
              <w:left w:w="15" w:type="dxa"/>
              <w:right w:w="15" w:type="dxa"/>
            </w:tcMar>
            <w:vAlign w:val="bottom"/>
          </w:tcPr>
          <w:p w14:paraId="0DEF1D8A" w14:textId="3DD146AE" w:rsidR="1C76665A" w:rsidRDefault="26270A34"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SECOP_I</w:t>
            </w:r>
          </w:p>
        </w:tc>
        <w:tc>
          <w:tcPr>
            <w:tcW w:w="4498" w:type="dxa"/>
            <w:tcBorders>
              <w:top w:val="nil"/>
              <w:left w:val="nil"/>
              <w:bottom w:val="nil"/>
              <w:right w:val="nil"/>
            </w:tcBorders>
            <w:tcMar>
              <w:top w:w="15" w:type="dxa"/>
              <w:left w:w="15" w:type="dxa"/>
              <w:right w:w="15" w:type="dxa"/>
            </w:tcMar>
            <w:vAlign w:val="bottom"/>
          </w:tcPr>
          <w:p w14:paraId="00F0693F" w14:textId="3F73A2B4"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$7.876.692.349.703 </w:t>
            </w:r>
          </w:p>
        </w:tc>
        <w:tc>
          <w:tcPr>
            <w:tcW w:w="1926" w:type="dxa"/>
            <w:tcBorders>
              <w:top w:val="nil"/>
              <w:left w:val="nil"/>
              <w:bottom w:val="nil"/>
              <w:right w:val="nil"/>
            </w:tcBorders>
            <w:tcMar>
              <w:top w:w="15" w:type="dxa"/>
              <w:left w:w="15" w:type="dxa"/>
              <w:right w:w="15" w:type="dxa"/>
            </w:tcMar>
            <w:vAlign w:val="bottom"/>
          </w:tcPr>
          <w:p w14:paraId="39EEF14F" w14:textId="7D9C76B9"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14833</w:t>
            </w:r>
          </w:p>
        </w:tc>
      </w:tr>
      <w:tr w:rsidR="1C76665A" w14:paraId="5AAFFB49"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2561C030" w14:textId="1C5543A4"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2021</w:t>
            </w:r>
          </w:p>
        </w:tc>
        <w:tc>
          <w:tcPr>
            <w:tcW w:w="4498" w:type="dxa"/>
            <w:tcBorders>
              <w:top w:val="nil"/>
              <w:left w:val="nil"/>
              <w:bottom w:val="nil"/>
              <w:right w:val="nil"/>
            </w:tcBorders>
            <w:tcMar>
              <w:top w:w="15" w:type="dxa"/>
              <w:left w:w="15" w:type="dxa"/>
              <w:right w:w="15" w:type="dxa"/>
            </w:tcMar>
            <w:vAlign w:val="bottom"/>
          </w:tcPr>
          <w:p w14:paraId="6BF8DD57" w14:textId="6D25B063"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$2.928.651.369.946 </w:t>
            </w:r>
          </w:p>
        </w:tc>
        <w:tc>
          <w:tcPr>
            <w:tcW w:w="1926" w:type="dxa"/>
            <w:tcBorders>
              <w:top w:val="nil"/>
              <w:left w:val="nil"/>
              <w:bottom w:val="nil"/>
              <w:right w:val="nil"/>
            </w:tcBorders>
            <w:tcMar>
              <w:top w:w="15" w:type="dxa"/>
              <w:left w:w="15" w:type="dxa"/>
              <w:right w:w="15" w:type="dxa"/>
            </w:tcMar>
            <w:vAlign w:val="bottom"/>
          </w:tcPr>
          <w:p w14:paraId="4EFE278B" w14:textId="45180756"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5339</w:t>
            </w:r>
          </w:p>
        </w:tc>
      </w:tr>
      <w:tr w:rsidR="1C76665A" w14:paraId="0C239642"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5C18D962" w14:textId="3780D1C3"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4498" w:type="dxa"/>
            <w:tcBorders>
              <w:top w:val="nil"/>
              <w:left w:val="nil"/>
              <w:bottom w:val="nil"/>
              <w:right w:val="nil"/>
            </w:tcBorders>
            <w:tcMar>
              <w:top w:w="15" w:type="dxa"/>
              <w:left w:w="15" w:type="dxa"/>
              <w:right w:w="15" w:type="dxa"/>
            </w:tcMar>
            <w:vAlign w:val="bottom"/>
          </w:tcPr>
          <w:p w14:paraId="7B0CC460" w14:textId="3FA2ED81"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$2.196.303.640.753 </w:t>
            </w:r>
          </w:p>
        </w:tc>
        <w:tc>
          <w:tcPr>
            <w:tcW w:w="1926" w:type="dxa"/>
            <w:tcBorders>
              <w:top w:val="nil"/>
              <w:left w:val="nil"/>
              <w:bottom w:val="nil"/>
              <w:right w:val="nil"/>
            </w:tcBorders>
            <w:tcMar>
              <w:top w:w="15" w:type="dxa"/>
              <w:left w:w="15" w:type="dxa"/>
              <w:right w:w="15" w:type="dxa"/>
            </w:tcMar>
            <w:vAlign w:val="bottom"/>
          </w:tcPr>
          <w:p w14:paraId="7F980485" w14:textId="047252FB"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4948</w:t>
            </w:r>
          </w:p>
        </w:tc>
      </w:tr>
      <w:tr w:rsidR="1C76665A" w14:paraId="708F0F4C"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0437AC56" w14:textId="49E45DAD"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4498" w:type="dxa"/>
            <w:tcBorders>
              <w:top w:val="nil"/>
              <w:left w:val="nil"/>
              <w:bottom w:val="nil"/>
              <w:right w:val="nil"/>
            </w:tcBorders>
            <w:tcMar>
              <w:top w:w="15" w:type="dxa"/>
              <w:left w:w="15" w:type="dxa"/>
              <w:right w:w="15" w:type="dxa"/>
            </w:tcMar>
            <w:vAlign w:val="bottom"/>
          </w:tcPr>
          <w:p w14:paraId="4C4AF027" w14:textId="40F8A635"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$2.702.484.027.232 </w:t>
            </w:r>
          </w:p>
        </w:tc>
        <w:tc>
          <w:tcPr>
            <w:tcW w:w="1926" w:type="dxa"/>
            <w:tcBorders>
              <w:top w:val="nil"/>
              <w:left w:val="nil"/>
              <w:bottom w:val="nil"/>
              <w:right w:val="nil"/>
            </w:tcBorders>
            <w:tcMar>
              <w:top w:w="15" w:type="dxa"/>
              <w:left w:w="15" w:type="dxa"/>
              <w:right w:w="15" w:type="dxa"/>
            </w:tcMar>
            <w:vAlign w:val="bottom"/>
          </w:tcPr>
          <w:p w14:paraId="2F9E6A3C" w14:textId="0D12D020"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4212</w:t>
            </w:r>
          </w:p>
        </w:tc>
      </w:tr>
      <w:tr w:rsidR="1C76665A" w14:paraId="1AB5E0CC"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6B755D6A" w14:textId="638F5814"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4498" w:type="dxa"/>
            <w:tcBorders>
              <w:top w:val="nil"/>
              <w:left w:val="nil"/>
              <w:bottom w:val="nil"/>
              <w:right w:val="nil"/>
            </w:tcBorders>
            <w:tcMar>
              <w:top w:w="15" w:type="dxa"/>
              <w:left w:w="15" w:type="dxa"/>
              <w:right w:w="15" w:type="dxa"/>
            </w:tcMar>
            <w:vAlign w:val="bottom"/>
          </w:tcPr>
          <w:p w14:paraId="7BA6DCAA" w14:textId="1BAD819E"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$49.253.311.772 </w:t>
            </w:r>
          </w:p>
        </w:tc>
        <w:tc>
          <w:tcPr>
            <w:tcW w:w="1926" w:type="dxa"/>
            <w:tcBorders>
              <w:top w:val="nil"/>
              <w:left w:val="nil"/>
              <w:bottom w:val="nil"/>
              <w:right w:val="nil"/>
            </w:tcBorders>
            <w:tcMar>
              <w:top w:w="15" w:type="dxa"/>
              <w:left w:w="15" w:type="dxa"/>
              <w:right w:w="15" w:type="dxa"/>
            </w:tcMar>
            <w:vAlign w:val="bottom"/>
          </w:tcPr>
          <w:p w14:paraId="01C76E46" w14:textId="1CC06E96"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334</w:t>
            </w:r>
          </w:p>
        </w:tc>
      </w:tr>
      <w:tr w:rsidR="1C76665A" w14:paraId="104D4EF5" w14:textId="77777777" w:rsidTr="449377F1">
        <w:trPr>
          <w:trHeight w:val="300"/>
        </w:trPr>
        <w:tc>
          <w:tcPr>
            <w:tcW w:w="3360" w:type="dxa"/>
            <w:tcBorders>
              <w:top w:val="nil"/>
              <w:left w:val="nil"/>
              <w:bottom w:val="nil"/>
              <w:right w:val="nil"/>
            </w:tcBorders>
            <w:tcMar>
              <w:top w:w="15" w:type="dxa"/>
              <w:left w:w="15" w:type="dxa"/>
              <w:right w:w="15" w:type="dxa"/>
            </w:tcMar>
            <w:vAlign w:val="bottom"/>
          </w:tcPr>
          <w:p w14:paraId="3316F55C" w14:textId="68E34C93" w:rsidR="1C76665A" w:rsidRDefault="26270A34"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SECOP_II</w:t>
            </w:r>
          </w:p>
        </w:tc>
        <w:tc>
          <w:tcPr>
            <w:tcW w:w="4498" w:type="dxa"/>
            <w:tcBorders>
              <w:top w:val="nil"/>
              <w:left w:val="nil"/>
              <w:bottom w:val="nil"/>
              <w:right w:val="nil"/>
            </w:tcBorders>
            <w:tcMar>
              <w:top w:w="15" w:type="dxa"/>
              <w:left w:w="15" w:type="dxa"/>
              <w:right w:w="15" w:type="dxa"/>
            </w:tcMar>
            <w:vAlign w:val="bottom"/>
          </w:tcPr>
          <w:p w14:paraId="450F8708" w14:textId="604727DD"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$16.138.463.834.125 </w:t>
            </w:r>
          </w:p>
        </w:tc>
        <w:tc>
          <w:tcPr>
            <w:tcW w:w="1926" w:type="dxa"/>
            <w:tcBorders>
              <w:top w:val="nil"/>
              <w:left w:val="nil"/>
              <w:bottom w:val="nil"/>
              <w:right w:val="nil"/>
            </w:tcBorders>
            <w:tcMar>
              <w:top w:w="15" w:type="dxa"/>
              <w:left w:w="15" w:type="dxa"/>
              <w:right w:w="15" w:type="dxa"/>
            </w:tcMar>
            <w:vAlign w:val="bottom"/>
          </w:tcPr>
          <w:p w14:paraId="7393DF53" w14:textId="4523168B"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7336</w:t>
            </w:r>
          </w:p>
        </w:tc>
      </w:tr>
      <w:tr w:rsidR="1C76665A" w14:paraId="24EA815C"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649E0FB1" w14:textId="15C4002D"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2021</w:t>
            </w:r>
          </w:p>
        </w:tc>
        <w:tc>
          <w:tcPr>
            <w:tcW w:w="4498" w:type="dxa"/>
            <w:tcBorders>
              <w:top w:val="nil"/>
              <w:left w:val="nil"/>
              <w:bottom w:val="nil"/>
              <w:right w:val="nil"/>
            </w:tcBorders>
            <w:tcMar>
              <w:top w:w="15" w:type="dxa"/>
              <w:left w:w="15" w:type="dxa"/>
              <w:right w:w="15" w:type="dxa"/>
            </w:tcMar>
            <w:vAlign w:val="bottom"/>
          </w:tcPr>
          <w:p w14:paraId="160BBE14" w14:textId="226D7986"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$3.733.653.771.580 </w:t>
            </w:r>
          </w:p>
        </w:tc>
        <w:tc>
          <w:tcPr>
            <w:tcW w:w="1926" w:type="dxa"/>
            <w:tcBorders>
              <w:top w:val="nil"/>
              <w:left w:val="nil"/>
              <w:bottom w:val="nil"/>
              <w:right w:val="nil"/>
            </w:tcBorders>
            <w:tcMar>
              <w:top w:w="15" w:type="dxa"/>
              <w:left w:w="15" w:type="dxa"/>
              <w:right w:w="15" w:type="dxa"/>
            </w:tcMar>
            <w:vAlign w:val="bottom"/>
          </w:tcPr>
          <w:p w14:paraId="0C0506CE" w14:textId="70AC08D3"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1790</w:t>
            </w:r>
          </w:p>
        </w:tc>
      </w:tr>
      <w:tr w:rsidR="1C76665A" w14:paraId="22DEA72D"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775CC0BF" w14:textId="4B893747"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4498" w:type="dxa"/>
            <w:tcBorders>
              <w:top w:val="nil"/>
              <w:left w:val="nil"/>
              <w:bottom w:val="nil"/>
              <w:right w:val="nil"/>
            </w:tcBorders>
            <w:tcMar>
              <w:top w:w="15" w:type="dxa"/>
              <w:left w:w="15" w:type="dxa"/>
              <w:right w:w="15" w:type="dxa"/>
            </w:tcMar>
            <w:vAlign w:val="bottom"/>
          </w:tcPr>
          <w:p w14:paraId="3E46E956" w14:textId="3B05B715"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$5.177.352.434.581 </w:t>
            </w:r>
          </w:p>
        </w:tc>
        <w:tc>
          <w:tcPr>
            <w:tcW w:w="1926" w:type="dxa"/>
            <w:tcBorders>
              <w:top w:val="nil"/>
              <w:left w:val="nil"/>
              <w:bottom w:val="nil"/>
              <w:right w:val="nil"/>
            </w:tcBorders>
            <w:tcMar>
              <w:top w:w="15" w:type="dxa"/>
              <w:left w:w="15" w:type="dxa"/>
              <w:right w:w="15" w:type="dxa"/>
            </w:tcMar>
            <w:vAlign w:val="bottom"/>
          </w:tcPr>
          <w:p w14:paraId="737B0103" w14:textId="43910AE4"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2320</w:t>
            </w:r>
          </w:p>
        </w:tc>
      </w:tr>
      <w:tr w:rsidR="1C76665A" w14:paraId="6A9C91D9"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191384F0" w14:textId="0D1710E0"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4498" w:type="dxa"/>
            <w:tcBorders>
              <w:top w:val="nil"/>
              <w:left w:val="nil"/>
              <w:bottom w:val="nil"/>
              <w:right w:val="nil"/>
            </w:tcBorders>
            <w:tcMar>
              <w:top w:w="15" w:type="dxa"/>
              <w:left w:w="15" w:type="dxa"/>
              <w:right w:w="15" w:type="dxa"/>
            </w:tcMar>
            <w:vAlign w:val="bottom"/>
          </w:tcPr>
          <w:p w14:paraId="506FDBA8" w14:textId="61886BC9"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$6.692.194.966.693 </w:t>
            </w:r>
          </w:p>
        </w:tc>
        <w:tc>
          <w:tcPr>
            <w:tcW w:w="1926" w:type="dxa"/>
            <w:tcBorders>
              <w:top w:val="nil"/>
              <w:left w:val="nil"/>
              <w:bottom w:val="nil"/>
              <w:right w:val="nil"/>
            </w:tcBorders>
            <w:tcMar>
              <w:top w:w="15" w:type="dxa"/>
              <w:left w:w="15" w:type="dxa"/>
              <w:right w:w="15" w:type="dxa"/>
            </w:tcMar>
            <w:vAlign w:val="bottom"/>
          </w:tcPr>
          <w:p w14:paraId="0AB77027" w14:textId="17E694E3"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2839</w:t>
            </w:r>
          </w:p>
        </w:tc>
      </w:tr>
      <w:tr w:rsidR="1C76665A" w14:paraId="418D9514" w14:textId="77777777" w:rsidTr="449377F1">
        <w:trPr>
          <w:trHeight w:val="300"/>
        </w:trPr>
        <w:tc>
          <w:tcPr>
            <w:tcW w:w="3360" w:type="dxa"/>
            <w:tcBorders>
              <w:top w:val="nil"/>
              <w:left w:val="nil"/>
              <w:bottom w:val="nil"/>
              <w:right w:val="nil"/>
            </w:tcBorders>
            <w:tcMar>
              <w:top w:w="15" w:type="dxa"/>
              <w:left w:w="135" w:type="dxa"/>
              <w:right w:w="15" w:type="dxa"/>
            </w:tcMar>
            <w:vAlign w:val="bottom"/>
          </w:tcPr>
          <w:p w14:paraId="440377B7" w14:textId="5968911B" w:rsidR="1C76665A" w:rsidRDefault="26270A34"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4498" w:type="dxa"/>
            <w:tcBorders>
              <w:top w:val="nil"/>
              <w:left w:val="nil"/>
              <w:bottom w:val="nil"/>
              <w:right w:val="nil"/>
            </w:tcBorders>
            <w:tcMar>
              <w:top w:w="15" w:type="dxa"/>
              <w:left w:w="15" w:type="dxa"/>
              <w:right w:w="15" w:type="dxa"/>
            </w:tcMar>
            <w:vAlign w:val="bottom"/>
          </w:tcPr>
          <w:p w14:paraId="5B2E64FB" w14:textId="52BBCE42"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$535.262.661.271 </w:t>
            </w:r>
          </w:p>
        </w:tc>
        <w:tc>
          <w:tcPr>
            <w:tcW w:w="1926" w:type="dxa"/>
            <w:tcBorders>
              <w:top w:val="nil"/>
              <w:left w:val="nil"/>
              <w:bottom w:val="nil"/>
              <w:right w:val="nil"/>
            </w:tcBorders>
            <w:tcMar>
              <w:top w:w="15" w:type="dxa"/>
              <w:left w:w="15" w:type="dxa"/>
              <w:right w:w="15" w:type="dxa"/>
            </w:tcMar>
            <w:vAlign w:val="bottom"/>
          </w:tcPr>
          <w:p w14:paraId="5125A408" w14:textId="7624DC74" w:rsidR="1C76665A" w:rsidRDefault="26270A34"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387</w:t>
            </w:r>
          </w:p>
        </w:tc>
      </w:tr>
      <w:tr w:rsidR="1C76665A" w14:paraId="24D76420" w14:textId="77777777" w:rsidTr="449377F1">
        <w:trPr>
          <w:trHeight w:val="300"/>
        </w:trPr>
        <w:tc>
          <w:tcPr>
            <w:tcW w:w="3360" w:type="dxa"/>
            <w:tcBorders>
              <w:top w:val="nil"/>
              <w:left w:val="nil"/>
              <w:bottom w:val="nil"/>
              <w:right w:val="nil"/>
            </w:tcBorders>
            <w:shd w:val="clear" w:color="auto" w:fill="D9E1F2"/>
            <w:tcMar>
              <w:top w:w="15" w:type="dxa"/>
              <w:left w:w="15" w:type="dxa"/>
              <w:right w:w="15" w:type="dxa"/>
            </w:tcMar>
            <w:vAlign w:val="bottom"/>
          </w:tcPr>
          <w:p w14:paraId="596DB587" w14:textId="3B9F1F37" w:rsidR="1C76665A" w:rsidRDefault="26270A34"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4498" w:type="dxa"/>
            <w:tcBorders>
              <w:top w:val="nil"/>
              <w:left w:val="nil"/>
              <w:bottom w:val="nil"/>
              <w:right w:val="nil"/>
            </w:tcBorders>
            <w:shd w:val="clear" w:color="auto" w:fill="D9E1F2"/>
            <w:tcMar>
              <w:top w:w="15" w:type="dxa"/>
              <w:left w:w="15" w:type="dxa"/>
              <w:right w:w="15" w:type="dxa"/>
            </w:tcMar>
            <w:vAlign w:val="bottom"/>
          </w:tcPr>
          <w:p w14:paraId="6B1A2195" w14:textId="4B6ABCBE"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$24.015.156.183.828 </w:t>
            </w:r>
          </w:p>
        </w:tc>
        <w:tc>
          <w:tcPr>
            <w:tcW w:w="1926" w:type="dxa"/>
            <w:tcBorders>
              <w:top w:val="nil"/>
              <w:left w:val="nil"/>
              <w:bottom w:val="nil"/>
              <w:right w:val="nil"/>
            </w:tcBorders>
            <w:shd w:val="clear" w:color="auto" w:fill="D9E1F2"/>
            <w:tcMar>
              <w:top w:w="15" w:type="dxa"/>
              <w:left w:w="15" w:type="dxa"/>
              <w:right w:w="15" w:type="dxa"/>
            </w:tcMar>
            <w:vAlign w:val="bottom"/>
          </w:tcPr>
          <w:p w14:paraId="0E145FC2" w14:textId="58D93FF6" w:rsidR="1C76665A" w:rsidRDefault="26270A34"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22169</w:t>
            </w:r>
          </w:p>
        </w:tc>
      </w:tr>
    </w:tbl>
    <w:p w14:paraId="2086A29A" w14:textId="0E6BDACF" w:rsidR="1C76665A" w:rsidRDefault="1C76665A" w:rsidP="449377F1">
      <w:pPr>
        <w:jc w:val="both"/>
        <w:rPr>
          <w:rFonts w:ascii="Verdana Pro" w:eastAsia="Verdana Pro" w:hAnsi="Verdana Pro" w:cs="Verdana Pro"/>
          <w:sz w:val="22"/>
          <w:szCs w:val="22"/>
        </w:rPr>
      </w:pPr>
    </w:p>
    <w:p w14:paraId="7B0389BB" w14:textId="49A3DB94" w:rsidR="00E740D4" w:rsidRDefault="0F356B2D"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El informe</w:t>
      </w:r>
      <w:r w:rsidR="188AA187" w:rsidRPr="449377F1">
        <w:rPr>
          <w:rFonts w:ascii="Verdana Pro" w:eastAsia="Verdana Pro" w:hAnsi="Verdana Pro" w:cs="Verdana Pro"/>
          <w:sz w:val="22"/>
          <w:szCs w:val="22"/>
        </w:rPr>
        <w:t xml:space="preserve"> </w:t>
      </w:r>
      <w:r w:rsidR="57F27E44" w:rsidRPr="449377F1">
        <w:rPr>
          <w:rFonts w:ascii="Verdana Pro" w:eastAsia="Verdana Pro" w:hAnsi="Verdana Pro" w:cs="Verdana Pro"/>
          <w:sz w:val="22"/>
          <w:szCs w:val="22"/>
        </w:rPr>
        <w:t xml:space="preserve">señalado encontró </w:t>
      </w:r>
      <w:r w:rsidR="720A9458" w:rsidRPr="449377F1">
        <w:rPr>
          <w:rFonts w:ascii="Verdana Pro" w:eastAsia="Verdana Pro" w:hAnsi="Verdana Pro" w:cs="Verdana Pro"/>
          <w:sz w:val="22"/>
          <w:szCs w:val="22"/>
        </w:rPr>
        <w:t>las siguientes cuantías agregadas y el volumen de contratos asociadas</w:t>
      </w:r>
      <w:r w:rsidRPr="449377F1">
        <w:rPr>
          <w:rFonts w:ascii="Verdana Pro" w:eastAsia="Verdana Pro" w:hAnsi="Verdana Pro" w:cs="Verdana Pro"/>
          <w:sz w:val="22"/>
          <w:szCs w:val="22"/>
        </w:rPr>
        <w:t xml:space="preserve"> para las vigencias </w:t>
      </w:r>
      <w:r w:rsidR="16892EAE" w:rsidRPr="449377F1">
        <w:rPr>
          <w:rFonts w:ascii="Verdana Pro" w:eastAsia="Verdana Pro" w:hAnsi="Verdana Pro" w:cs="Verdana Pro"/>
          <w:sz w:val="22"/>
          <w:szCs w:val="22"/>
        </w:rPr>
        <w:t>2021, 2022, 2023 y parte del 2024</w:t>
      </w:r>
      <w:r w:rsidRPr="449377F1">
        <w:rPr>
          <w:rFonts w:ascii="Verdana Pro" w:eastAsia="Verdana Pro" w:hAnsi="Verdana Pro" w:cs="Verdana Pro"/>
          <w:sz w:val="22"/>
          <w:szCs w:val="22"/>
        </w:rPr>
        <w:t>,</w:t>
      </w:r>
      <w:r w:rsidR="720A9458" w:rsidRPr="449377F1">
        <w:rPr>
          <w:rFonts w:ascii="Verdana Pro" w:eastAsia="Verdana Pro" w:hAnsi="Verdana Pro" w:cs="Verdana Pro"/>
          <w:sz w:val="22"/>
          <w:szCs w:val="22"/>
        </w:rPr>
        <w:t xml:space="preserve"> en cada sector</w:t>
      </w:r>
      <w:r w:rsidR="265778E6" w:rsidRPr="449377F1">
        <w:rPr>
          <w:rFonts w:ascii="Verdana Pro" w:eastAsia="Verdana Pro" w:hAnsi="Verdana Pro" w:cs="Verdana Pro"/>
          <w:sz w:val="22"/>
          <w:szCs w:val="22"/>
        </w:rPr>
        <w:t>:</w:t>
      </w:r>
      <w:r w:rsidRPr="449377F1">
        <w:rPr>
          <w:rFonts w:ascii="Verdana Pro" w:eastAsia="Verdana Pro" w:hAnsi="Verdana Pro" w:cs="Verdana Pro"/>
          <w:sz w:val="22"/>
          <w:szCs w:val="22"/>
        </w:rPr>
        <w:t xml:space="preserve"> </w:t>
      </w:r>
      <w:r w:rsidR="57F27E44" w:rsidRPr="449377F1">
        <w:rPr>
          <w:rFonts w:ascii="Verdana Pro" w:eastAsia="Verdana Pro" w:hAnsi="Verdana Pro" w:cs="Verdana Pro"/>
          <w:sz w:val="22"/>
          <w:szCs w:val="22"/>
        </w:rPr>
        <w:t xml:space="preserve"> </w:t>
      </w:r>
    </w:p>
    <w:p w14:paraId="10785359" w14:textId="77777777" w:rsidR="0054672A" w:rsidRDefault="0054672A" w:rsidP="449377F1">
      <w:pPr>
        <w:jc w:val="both"/>
        <w:rPr>
          <w:rFonts w:ascii="Verdana Pro" w:eastAsia="Verdana Pro" w:hAnsi="Verdana Pro" w:cs="Verdana Pro"/>
          <w:sz w:val="22"/>
          <w:szCs w:val="22"/>
        </w:rPr>
      </w:pPr>
    </w:p>
    <w:p w14:paraId="76EAA854" w14:textId="4C9BF2E1" w:rsidR="00C47A22" w:rsidRPr="005C7E10" w:rsidRDefault="03288237" w:rsidP="449377F1">
      <w:pPr>
        <w:pStyle w:val="Descripcin"/>
        <w:spacing w:after="0"/>
        <w:jc w:val="both"/>
        <w:rPr>
          <w:rFonts w:ascii="Verdana Pro" w:eastAsia="Verdana Pro" w:hAnsi="Verdana Pro" w:cs="Verdana Pro"/>
          <w:sz w:val="22"/>
          <w:szCs w:val="22"/>
          <w:lang w:eastAsia="es-CO"/>
        </w:rPr>
      </w:pPr>
      <w:bookmarkStart w:id="10" w:name="_Toc180136777"/>
      <w:r w:rsidRPr="449377F1">
        <w:rPr>
          <w:rFonts w:ascii="Verdana Pro" w:eastAsia="Verdana Pro" w:hAnsi="Verdana Pro" w:cs="Verdana Pro"/>
          <w:sz w:val="22"/>
          <w:szCs w:val="22"/>
          <w:lang w:val="es-CO" w:eastAsia="es-CO"/>
        </w:rPr>
        <w:t xml:space="preserve">Gráfica </w:t>
      </w:r>
      <w:r w:rsidR="00C47A22" w:rsidRPr="449377F1">
        <w:rPr>
          <w:rFonts w:ascii="Verdana" w:eastAsia="Times New Roman" w:hAnsi="Verdana" w:cs="Arial"/>
          <w:sz w:val="22"/>
          <w:szCs w:val="22"/>
          <w:lang w:val="es-CO" w:eastAsia="es-CO"/>
        </w:rPr>
        <w:fldChar w:fldCharType="begin"/>
      </w:r>
      <w:r w:rsidR="00C47A22" w:rsidRPr="449377F1">
        <w:rPr>
          <w:rFonts w:ascii="Verdana" w:eastAsia="Times New Roman" w:hAnsi="Verdana" w:cs="Arial"/>
          <w:sz w:val="22"/>
          <w:szCs w:val="22"/>
          <w:lang w:val="es-CO" w:eastAsia="es-CO"/>
        </w:rPr>
        <w:instrText xml:space="preserve"> SEQ Gráfica \* ARABIC </w:instrText>
      </w:r>
      <w:r w:rsidR="00C47A22" w:rsidRPr="449377F1">
        <w:rPr>
          <w:rFonts w:ascii="Verdana" w:eastAsia="Times New Roman" w:hAnsi="Verdana" w:cs="Arial"/>
          <w:sz w:val="22"/>
          <w:szCs w:val="22"/>
          <w:lang w:val="es-CO" w:eastAsia="es-CO"/>
        </w:rPr>
        <w:fldChar w:fldCharType="separate"/>
      </w:r>
      <w:r w:rsidR="01938715" w:rsidRPr="449377F1">
        <w:rPr>
          <w:rFonts w:ascii="Verdana" w:eastAsia="Times New Roman" w:hAnsi="Verdana" w:cs="Arial"/>
          <w:noProof/>
          <w:sz w:val="22"/>
          <w:szCs w:val="22"/>
          <w:lang w:val="es-CO" w:eastAsia="es-CO"/>
        </w:rPr>
        <w:t>10</w:t>
      </w:r>
      <w:r w:rsidR="00C47A22" w:rsidRPr="449377F1">
        <w:rPr>
          <w:rFonts w:ascii="Verdana" w:eastAsia="Times New Roman" w:hAnsi="Verdana" w:cs="Arial"/>
          <w:sz w:val="22"/>
          <w:szCs w:val="22"/>
          <w:lang w:val="es-CO" w:eastAsia="es-CO"/>
        </w:rPr>
        <w:fldChar w:fldCharType="end"/>
      </w:r>
      <w:r w:rsidRPr="449377F1">
        <w:rPr>
          <w:rFonts w:ascii="Verdana Pro" w:eastAsia="Verdana Pro" w:hAnsi="Verdana Pro" w:cs="Verdana Pro"/>
          <w:sz w:val="22"/>
          <w:szCs w:val="22"/>
          <w:lang w:val="es-CO" w:eastAsia="es-CO"/>
        </w:rPr>
        <w:t xml:space="preserve">. Valores y número de contratos por vigencias </w:t>
      </w:r>
      <w:r w:rsidR="177D08BB" w:rsidRPr="449377F1">
        <w:rPr>
          <w:rFonts w:ascii="Verdana Pro" w:eastAsia="Verdana Pro" w:hAnsi="Verdana Pro" w:cs="Verdana Pro"/>
          <w:sz w:val="22"/>
          <w:szCs w:val="22"/>
          <w:lang w:val="es-CO" w:eastAsia="es-CO"/>
        </w:rPr>
        <w:t>2021, 2022, 2023 y parte del 2024</w:t>
      </w:r>
      <w:r w:rsidRPr="449377F1">
        <w:rPr>
          <w:rFonts w:ascii="Verdana Pro" w:eastAsia="Verdana Pro" w:hAnsi="Verdana Pro" w:cs="Verdana Pro"/>
          <w:sz w:val="22"/>
          <w:szCs w:val="22"/>
          <w:lang w:val="es-CO" w:eastAsia="es-CO"/>
        </w:rPr>
        <w:t xml:space="preserve">, Sector </w:t>
      </w:r>
      <w:r w:rsidR="265778E6" w:rsidRPr="449377F1">
        <w:rPr>
          <w:rFonts w:ascii="Verdana Pro" w:eastAsia="Verdana Pro" w:hAnsi="Verdana Pro" w:cs="Verdana Pro"/>
          <w:sz w:val="22"/>
          <w:szCs w:val="22"/>
          <w:lang w:val="es-CO" w:eastAsia="es-CO"/>
        </w:rPr>
        <w:t>Salud</w:t>
      </w:r>
      <w:r w:rsidRPr="449377F1">
        <w:rPr>
          <w:rFonts w:ascii="Verdana Pro" w:eastAsia="Verdana Pro" w:hAnsi="Verdana Pro" w:cs="Verdana Pro"/>
          <w:sz w:val="22"/>
          <w:szCs w:val="22"/>
          <w:lang w:val="es-CO" w:eastAsia="es-CO"/>
        </w:rPr>
        <w:t>.</w:t>
      </w:r>
      <w:bookmarkEnd w:id="10"/>
    </w:p>
    <w:p w14:paraId="5CEAA158" w14:textId="46A25567" w:rsidR="00E740D4" w:rsidRPr="001F0E1F" w:rsidRDefault="00E740D4" w:rsidP="449377F1">
      <w:pPr>
        <w:rPr>
          <w:rFonts w:ascii="Verdana Pro" w:eastAsia="Verdana Pro" w:hAnsi="Verdana Pro" w:cs="Verdana Pro"/>
        </w:rPr>
      </w:pPr>
    </w:p>
    <w:tbl>
      <w:tblPr>
        <w:tblStyle w:val="Tablaconcuadrcula5oscura-nfasis1"/>
        <w:tblW w:w="7845" w:type="dxa"/>
        <w:jc w:val="center"/>
        <w:tblLayout w:type="fixed"/>
        <w:tblLook w:val="06A0" w:firstRow="1" w:lastRow="0" w:firstColumn="1" w:lastColumn="0" w:noHBand="1" w:noVBand="1"/>
      </w:tblPr>
      <w:tblGrid>
        <w:gridCol w:w="3015"/>
        <w:gridCol w:w="3165"/>
        <w:gridCol w:w="1665"/>
      </w:tblGrid>
      <w:tr w:rsidR="177792B3" w14:paraId="45852973" w14:textId="77777777" w:rsidTr="449377F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6FEBD25F" w14:textId="675DC71B" w:rsidR="177792B3" w:rsidRDefault="4D3F1320" w:rsidP="449377F1">
            <w:pPr>
              <w:jc w:val="center"/>
              <w:rPr>
                <w:rFonts w:ascii="Verdana Pro" w:eastAsia="Verdana Pro" w:hAnsi="Verdana Pro" w:cs="Verdana Pro"/>
                <w:sz w:val="22"/>
                <w:szCs w:val="22"/>
              </w:rPr>
            </w:pPr>
            <w:r w:rsidRPr="449377F1">
              <w:rPr>
                <w:rFonts w:ascii="Verdana Pro" w:eastAsia="Verdana Pro" w:hAnsi="Verdana Pro" w:cs="Verdana Pro"/>
                <w:sz w:val="22"/>
                <w:szCs w:val="22"/>
              </w:rPr>
              <w:t>Año</w:t>
            </w:r>
          </w:p>
        </w:tc>
        <w:tc>
          <w:tcPr>
            <w:tcW w:w="3165" w:type="dxa"/>
          </w:tcPr>
          <w:p w14:paraId="3B523EAF" w14:textId="425B5FE4" w:rsidR="177792B3" w:rsidRDefault="4D3F1320" w:rsidP="449377F1">
            <w:pPr>
              <w:jc w:val="center"/>
              <w:cnfStyle w:val="100000000000" w:firstRow="1" w:lastRow="0" w:firstColumn="0" w:lastColumn="0" w:oddVBand="0" w:evenVBand="0" w:oddHBand="0" w:evenHBand="0" w:firstRowFirstColumn="0" w:firstRowLastColumn="0" w:lastRowFirstColumn="0" w:lastRowLastColumn="0"/>
              <w:rPr>
                <w:rFonts w:ascii="Verdana Pro" w:eastAsia="Verdana Pro" w:hAnsi="Verdana Pro" w:cs="Verdana Pro"/>
                <w:b w:val="0"/>
                <w:bCs w:val="0"/>
                <w:sz w:val="22"/>
                <w:szCs w:val="22"/>
              </w:rPr>
            </w:pPr>
            <w:r w:rsidRPr="449377F1">
              <w:rPr>
                <w:rFonts w:ascii="Verdana Pro" w:eastAsia="Verdana Pro" w:hAnsi="Verdana Pro" w:cs="Verdana Pro"/>
                <w:sz w:val="22"/>
                <w:szCs w:val="22"/>
              </w:rPr>
              <w:t>Valor contratado</w:t>
            </w:r>
          </w:p>
        </w:tc>
        <w:tc>
          <w:tcPr>
            <w:tcW w:w="1665" w:type="dxa"/>
          </w:tcPr>
          <w:p w14:paraId="0F759AEB" w14:textId="395EFB70" w:rsidR="177792B3" w:rsidRDefault="4D3F1320" w:rsidP="449377F1">
            <w:pPr>
              <w:jc w:val="center"/>
              <w:cnfStyle w:val="100000000000" w:firstRow="1" w:lastRow="0" w:firstColumn="0" w:lastColumn="0" w:oddVBand="0" w:evenVBand="0" w:oddHBand="0" w:evenHBand="0" w:firstRowFirstColumn="0" w:firstRowLastColumn="0" w:lastRowFirstColumn="0" w:lastRowLastColumn="0"/>
              <w:rPr>
                <w:rFonts w:ascii="Verdana Pro" w:eastAsia="Verdana Pro" w:hAnsi="Verdana Pro" w:cs="Verdana Pro"/>
                <w:b w:val="0"/>
                <w:bCs w:val="0"/>
                <w:sz w:val="22"/>
                <w:szCs w:val="22"/>
              </w:rPr>
            </w:pPr>
            <w:r w:rsidRPr="449377F1">
              <w:rPr>
                <w:rFonts w:ascii="Verdana Pro" w:eastAsia="Verdana Pro" w:hAnsi="Verdana Pro" w:cs="Verdana Pro"/>
                <w:sz w:val="22"/>
                <w:szCs w:val="22"/>
              </w:rPr>
              <w:t>N° de contratos</w:t>
            </w:r>
          </w:p>
        </w:tc>
      </w:tr>
      <w:tr w:rsidR="177792B3" w14:paraId="024D7D35" w14:textId="77777777" w:rsidTr="449377F1">
        <w:trPr>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6D45C508" w14:textId="6843DE92" w:rsidR="177792B3" w:rsidRDefault="4D3F1320" w:rsidP="449377F1">
            <w:pPr>
              <w:rPr>
                <w:rFonts w:ascii="Verdana Pro" w:eastAsia="Verdana Pro" w:hAnsi="Verdana Pro" w:cs="Verdana Pro"/>
                <w:sz w:val="22"/>
                <w:szCs w:val="22"/>
              </w:rPr>
            </w:pPr>
            <w:r w:rsidRPr="449377F1">
              <w:rPr>
                <w:rFonts w:ascii="Verdana Pro" w:eastAsia="Verdana Pro" w:hAnsi="Verdana Pro" w:cs="Verdana Pro"/>
                <w:sz w:val="22"/>
                <w:szCs w:val="22"/>
              </w:rPr>
              <w:lastRenderedPageBreak/>
              <w:t>SALUD</w:t>
            </w:r>
          </w:p>
        </w:tc>
        <w:tc>
          <w:tcPr>
            <w:tcW w:w="3165" w:type="dxa"/>
          </w:tcPr>
          <w:p w14:paraId="09FEAA78" w14:textId="27A34C34"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$1.466.653.576.842 </w:t>
            </w:r>
          </w:p>
        </w:tc>
        <w:tc>
          <w:tcPr>
            <w:tcW w:w="1665" w:type="dxa"/>
          </w:tcPr>
          <w:p w14:paraId="64CFC698" w14:textId="47E94BE5"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1185</w:t>
            </w:r>
          </w:p>
        </w:tc>
      </w:tr>
      <w:tr w:rsidR="177792B3" w14:paraId="05186486" w14:textId="77777777" w:rsidTr="449377F1">
        <w:trPr>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64BCFC89" w14:textId="709DADA3" w:rsidR="177792B3" w:rsidRDefault="4D3F1320" w:rsidP="449377F1">
            <w:pPr>
              <w:rPr>
                <w:rFonts w:ascii="Verdana Pro" w:eastAsia="Verdana Pro" w:hAnsi="Verdana Pro" w:cs="Verdana Pro"/>
                <w:b w:val="0"/>
                <w:bCs w:val="0"/>
                <w:sz w:val="22"/>
                <w:szCs w:val="22"/>
              </w:rPr>
            </w:pPr>
            <w:r w:rsidRPr="449377F1">
              <w:rPr>
                <w:rFonts w:ascii="Verdana Pro" w:eastAsia="Verdana Pro" w:hAnsi="Verdana Pro" w:cs="Verdana Pro"/>
                <w:b w:val="0"/>
                <w:bCs w:val="0"/>
                <w:sz w:val="22"/>
                <w:szCs w:val="22"/>
              </w:rPr>
              <w:t>2021</w:t>
            </w:r>
          </w:p>
        </w:tc>
        <w:tc>
          <w:tcPr>
            <w:tcW w:w="3165" w:type="dxa"/>
          </w:tcPr>
          <w:p w14:paraId="7892EEAD" w14:textId="67672BC9"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$284.406.237.365 </w:t>
            </w:r>
          </w:p>
        </w:tc>
        <w:tc>
          <w:tcPr>
            <w:tcW w:w="1665" w:type="dxa"/>
          </w:tcPr>
          <w:p w14:paraId="415C55CD" w14:textId="2BE7C624"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386</w:t>
            </w:r>
          </w:p>
        </w:tc>
      </w:tr>
      <w:tr w:rsidR="177792B3" w14:paraId="788CD4FF" w14:textId="77777777" w:rsidTr="449377F1">
        <w:trPr>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7099E542" w14:textId="1095E3A3" w:rsidR="177792B3" w:rsidRDefault="4D3F1320" w:rsidP="449377F1">
            <w:pPr>
              <w:rPr>
                <w:rFonts w:ascii="Verdana Pro" w:eastAsia="Verdana Pro" w:hAnsi="Verdana Pro" w:cs="Verdana Pro"/>
                <w:b w:val="0"/>
                <w:bCs w:val="0"/>
                <w:sz w:val="22"/>
                <w:szCs w:val="22"/>
              </w:rPr>
            </w:pPr>
            <w:r w:rsidRPr="449377F1">
              <w:rPr>
                <w:rFonts w:ascii="Verdana Pro" w:eastAsia="Verdana Pro" w:hAnsi="Verdana Pro" w:cs="Verdana Pro"/>
                <w:b w:val="0"/>
                <w:bCs w:val="0"/>
                <w:sz w:val="22"/>
                <w:szCs w:val="22"/>
              </w:rPr>
              <w:t>2022</w:t>
            </w:r>
          </w:p>
        </w:tc>
        <w:tc>
          <w:tcPr>
            <w:tcW w:w="3165" w:type="dxa"/>
          </w:tcPr>
          <w:p w14:paraId="2A2C12C8" w14:textId="33BFF88F"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$266.670.048.534 </w:t>
            </w:r>
          </w:p>
        </w:tc>
        <w:tc>
          <w:tcPr>
            <w:tcW w:w="1665" w:type="dxa"/>
          </w:tcPr>
          <w:p w14:paraId="0D8F20BB" w14:textId="4AF4B9F3"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365</w:t>
            </w:r>
          </w:p>
        </w:tc>
      </w:tr>
      <w:tr w:rsidR="177792B3" w14:paraId="4A88026E" w14:textId="77777777" w:rsidTr="449377F1">
        <w:trPr>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4E05C279" w14:textId="05D90B06" w:rsidR="177792B3" w:rsidRDefault="4D3F1320" w:rsidP="449377F1">
            <w:pPr>
              <w:rPr>
                <w:rFonts w:ascii="Verdana Pro" w:eastAsia="Verdana Pro" w:hAnsi="Verdana Pro" w:cs="Verdana Pro"/>
                <w:b w:val="0"/>
                <w:bCs w:val="0"/>
                <w:sz w:val="22"/>
                <w:szCs w:val="22"/>
              </w:rPr>
            </w:pPr>
            <w:r w:rsidRPr="449377F1">
              <w:rPr>
                <w:rFonts w:ascii="Verdana Pro" w:eastAsia="Verdana Pro" w:hAnsi="Verdana Pro" w:cs="Verdana Pro"/>
                <w:b w:val="0"/>
                <w:bCs w:val="0"/>
                <w:sz w:val="22"/>
                <w:szCs w:val="22"/>
              </w:rPr>
              <w:t>2023</w:t>
            </w:r>
          </w:p>
        </w:tc>
        <w:tc>
          <w:tcPr>
            <w:tcW w:w="3165" w:type="dxa"/>
          </w:tcPr>
          <w:p w14:paraId="798125DB" w14:textId="44B882FF"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$783.951.459.122 </w:t>
            </w:r>
          </w:p>
        </w:tc>
        <w:tc>
          <w:tcPr>
            <w:tcW w:w="1665" w:type="dxa"/>
          </w:tcPr>
          <w:p w14:paraId="1515599E" w14:textId="304B2200"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401</w:t>
            </w:r>
          </w:p>
        </w:tc>
      </w:tr>
      <w:tr w:rsidR="177792B3" w14:paraId="6F2CADBA" w14:textId="77777777" w:rsidTr="449377F1">
        <w:trPr>
          <w:trHeight w:val="300"/>
          <w:jc w:val="center"/>
        </w:trPr>
        <w:tc>
          <w:tcPr>
            <w:cnfStyle w:val="001000000000" w:firstRow="0" w:lastRow="0" w:firstColumn="1" w:lastColumn="0" w:oddVBand="0" w:evenVBand="0" w:oddHBand="0" w:evenHBand="0" w:firstRowFirstColumn="0" w:firstRowLastColumn="0" w:lastRowFirstColumn="0" w:lastRowLastColumn="0"/>
            <w:tcW w:w="3015" w:type="dxa"/>
          </w:tcPr>
          <w:p w14:paraId="6268B910" w14:textId="430C892C" w:rsidR="177792B3" w:rsidRDefault="4D3F1320" w:rsidP="449377F1">
            <w:pPr>
              <w:rPr>
                <w:rFonts w:ascii="Verdana Pro" w:eastAsia="Verdana Pro" w:hAnsi="Verdana Pro" w:cs="Verdana Pro"/>
                <w:b w:val="0"/>
                <w:bCs w:val="0"/>
                <w:sz w:val="22"/>
                <w:szCs w:val="22"/>
              </w:rPr>
            </w:pPr>
            <w:r w:rsidRPr="449377F1">
              <w:rPr>
                <w:rFonts w:ascii="Verdana Pro" w:eastAsia="Verdana Pro" w:hAnsi="Verdana Pro" w:cs="Verdana Pro"/>
                <w:b w:val="0"/>
                <w:bCs w:val="0"/>
                <w:sz w:val="22"/>
                <w:szCs w:val="22"/>
              </w:rPr>
              <w:t>2024</w:t>
            </w:r>
            <w:r w:rsidR="19FEF8AC" w:rsidRPr="449377F1">
              <w:rPr>
                <w:rFonts w:ascii="Verdana Pro" w:eastAsia="Verdana Pro" w:hAnsi="Verdana Pro" w:cs="Verdana Pro"/>
                <w:b w:val="0"/>
                <w:bCs w:val="0"/>
                <w:sz w:val="22"/>
                <w:szCs w:val="22"/>
              </w:rPr>
              <w:t xml:space="preserve"> - I</w:t>
            </w:r>
          </w:p>
        </w:tc>
        <w:tc>
          <w:tcPr>
            <w:tcW w:w="3165" w:type="dxa"/>
          </w:tcPr>
          <w:p w14:paraId="026427F9" w14:textId="758CACE8"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$131.625.831.821 </w:t>
            </w:r>
          </w:p>
        </w:tc>
        <w:tc>
          <w:tcPr>
            <w:tcW w:w="1665" w:type="dxa"/>
          </w:tcPr>
          <w:p w14:paraId="6BDD2E3A" w14:textId="6A036C6C" w:rsidR="177792B3" w:rsidRDefault="4D3F1320" w:rsidP="449377F1">
            <w:pPr>
              <w:jc w:val="center"/>
              <w:cnfStyle w:val="000000000000" w:firstRow="0" w:lastRow="0" w:firstColumn="0" w:lastColumn="0" w:oddVBand="0" w:evenVBand="0" w:oddHBand="0" w:evenHBand="0" w:firstRowFirstColumn="0" w:firstRowLastColumn="0" w:lastRowFirstColumn="0" w:lastRowLastColumn="0"/>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33</w:t>
            </w:r>
          </w:p>
        </w:tc>
      </w:tr>
    </w:tbl>
    <w:p w14:paraId="753F581F" w14:textId="203E33A5" w:rsidR="00E740D4" w:rsidRPr="001F0E1F" w:rsidRDefault="00E740D4" w:rsidP="449377F1">
      <w:pPr>
        <w:ind w:left="360"/>
        <w:jc w:val="center"/>
        <w:rPr>
          <w:rFonts w:ascii="Verdana Pro" w:eastAsia="Verdana Pro" w:hAnsi="Verdana Pro" w:cs="Verdana Pro"/>
        </w:rPr>
      </w:pPr>
    </w:p>
    <w:p w14:paraId="54A00B4D" w14:textId="3F2956B5" w:rsidR="00C47A22" w:rsidRPr="00C272E3" w:rsidRDefault="03288237"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 xml:space="preserve">Fuente: </w:t>
      </w:r>
      <w:r w:rsidR="1EC35187" w:rsidRPr="449377F1">
        <w:rPr>
          <w:rFonts w:ascii="Verdana Pro" w:eastAsia="Verdana Pro" w:hAnsi="Verdana Pro" w:cs="Verdana Pro"/>
          <w:sz w:val="16"/>
          <w:szCs w:val="16"/>
        </w:rPr>
        <w:t>Sistema Electrónico para la Contratación Pública. Cálculo S.</w:t>
      </w:r>
      <w:r w:rsidRPr="449377F1">
        <w:rPr>
          <w:rFonts w:ascii="Verdana Pro" w:eastAsia="Verdana Pro" w:hAnsi="Verdana Pro" w:cs="Verdana Pro"/>
          <w:sz w:val="16"/>
          <w:szCs w:val="16"/>
        </w:rPr>
        <w:t xml:space="preserve"> EMAE</w:t>
      </w:r>
    </w:p>
    <w:p w14:paraId="35D22C4D" w14:textId="77777777" w:rsidR="00C47A22" w:rsidRPr="00A81BAA" w:rsidRDefault="00C47A22" w:rsidP="00B00FCB">
      <w:pPr>
        <w:jc w:val="center"/>
        <w:rPr>
          <w:rFonts w:ascii="Verdana Pro" w:eastAsia="Verdana Pro" w:hAnsi="Verdana Pro" w:cs="Verdana Pro"/>
          <w:sz w:val="22"/>
          <w:szCs w:val="22"/>
        </w:rPr>
      </w:pPr>
    </w:p>
    <w:p w14:paraId="712BE740" w14:textId="6CA1E2A8" w:rsidR="00E740D4" w:rsidRDefault="0F356B2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En </w:t>
      </w:r>
      <w:r w:rsidR="4796F2DD" w:rsidRPr="449377F1">
        <w:rPr>
          <w:rFonts w:ascii="Verdana Pro" w:eastAsia="Verdana Pro" w:hAnsi="Verdana Pro" w:cs="Verdana Pro"/>
          <w:sz w:val="22"/>
          <w:szCs w:val="22"/>
        </w:rPr>
        <w:t>el</w:t>
      </w:r>
      <w:r w:rsidRPr="449377F1">
        <w:rPr>
          <w:rFonts w:ascii="Verdana Pro" w:eastAsia="Verdana Pro" w:hAnsi="Verdana Pro" w:cs="Verdana Pro"/>
          <w:sz w:val="22"/>
          <w:szCs w:val="22"/>
        </w:rPr>
        <w:t xml:space="preserve"> informe </w:t>
      </w:r>
      <w:r w:rsidR="6DD13CAA" w:rsidRPr="449377F1">
        <w:rPr>
          <w:rFonts w:ascii="Verdana Pro" w:eastAsia="Verdana Pro" w:hAnsi="Verdana Pro" w:cs="Verdana Pro"/>
          <w:sz w:val="22"/>
          <w:szCs w:val="22"/>
        </w:rPr>
        <w:t xml:space="preserve">de </w:t>
      </w:r>
      <w:r w:rsidR="2573C753" w:rsidRPr="449377F1">
        <w:rPr>
          <w:rFonts w:ascii="Verdana Pro" w:eastAsia="Verdana Pro" w:hAnsi="Verdana Pro" w:cs="Verdana Pro"/>
          <w:sz w:val="22"/>
          <w:szCs w:val="22"/>
        </w:rPr>
        <w:t>la Subdirección de</w:t>
      </w:r>
      <w:r w:rsidRPr="449377F1">
        <w:rPr>
          <w:rFonts w:ascii="Verdana Pro" w:eastAsia="Verdana Pro" w:hAnsi="Verdana Pro" w:cs="Verdana Pro"/>
          <w:sz w:val="22"/>
          <w:szCs w:val="22"/>
        </w:rPr>
        <w:t xml:space="preserve"> EMAE indica que </w:t>
      </w:r>
      <w:r w:rsidR="7256FF20" w:rsidRPr="449377F1">
        <w:rPr>
          <w:rFonts w:ascii="Verdana Pro" w:eastAsia="Verdana Pro" w:hAnsi="Verdana Pro" w:cs="Verdana Pro"/>
          <w:sz w:val="22"/>
          <w:szCs w:val="22"/>
        </w:rPr>
        <w:t>e</w:t>
      </w:r>
      <w:r w:rsidR="45A5038A" w:rsidRPr="449377F1">
        <w:rPr>
          <w:rFonts w:ascii="Verdana Pro" w:eastAsia="Verdana Pro" w:hAnsi="Verdana Pro" w:cs="Verdana Pro"/>
          <w:sz w:val="22"/>
          <w:szCs w:val="22"/>
        </w:rPr>
        <w:t>l valor total contratado en el período analizado asciende a $1.466.653.576.842, distribuido en 1.185 contratos. En términos anuales, el valor contratado experimentó fluctuaciones significativas. Durante 2021, se alcanzó un valor de $284.406.237.365, correspondiente a 386 contratos, lo que representa aproximadamente el 19.4% del total general en valor y el 32.57% en número de contratos. Este comportamiento posiciona a 2021 como un año de alta actividad contractual en términos de volumen.</w:t>
      </w:r>
    </w:p>
    <w:p w14:paraId="6DE669ED" w14:textId="7756FD36" w:rsidR="00E740D4" w:rsidRDefault="00E740D4" w:rsidP="00B00FCB">
      <w:pPr>
        <w:jc w:val="both"/>
        <w:rPr>
          <w:rFonts w:ascii="Verdana Pro" w:eastAsia="Verdana Pro" w:hAnsi="Verdana Pro" w:cs="Verdana Pro"/>
          <w:sz w:val="22"/>
          <w:szCs w:val="22"/>
        </w:rPr>
      </w:pPr>
    </w:p>
    <w:p w14:paraId="08B9DB91" w14:textId="1B0F90BC" w:rsidR="00E740D4" w:rsidRDefault="45A5038A"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 2022, se observa una ligera disminución en el valor contratado, con un total de $266.670.048.534, lo que equivale al 18.2% del total general. El número de contratos también se redujo a 365, representando el 30.80% del total general. Este descenso tanto en valor como en número de contratos sugiere una leve contracción en la inversión y actividad contractual respecto al año anterior.</w:t>
      </w:r>
    </w:p>
    <w:p w14:paraId="00291E35" w14:textId="77777777" w:rsidR="00D53C4F" w:rsidRDefault="00D53C4F" w:rsidP="00B00FCB">
      <w:pPr>
        <w:jc w:val="both"/>
        <w:rPr>
          <w:rFonts w:ascii="Verdana Pro" w:eastAsia="Verdana Pro" w:hAnsi="Verdana Pro" w:cs="Verdana Pro"/>
          <w:sz w:val="22"/>
          <w:szCs w:val="22"/>
        </w:rPr>
      </w:pPr>
    </w:p>
    <w:p w14:paraId="72F0CEEE" w14:textId="2A4B09CF" w:rsidR="52179EC9" w:rsidRDefault="4F15317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año 2023 registra un aumento notable en el valor contratado, alcanzando $783.951.459.122, lo que representa el 53.5% del total general. Este es el valor más alto del período analizado y se distribuye en 401 contratos, que constituyen el 33.85% del total general. Este comportamiento marca a 2023 como el año con mayor inversión en infraestructura para el sector salud, tanto en términos absolutos como relativos.</w:t>
      </w:r>
    </w:p>
    <w:p w14:paraId="5499E99B" w14:textId="0E4513BE" w:rsidR="177792B3" w:rsidRDefault="177792B3" w:rsidP="00B00FCB">
      <w:pPr>
        <w:jc w:val="both"/>
        <w:rPr>
          <w:rFonts w:ascii="Verdana Pro" w:eastAsia="Verdana Pro" w:hAnsi="Verdana Pro" w:cs="Verdana Pro"/>
          <w:sz w:val="22"/>
          <w:szCs w:val="22"/>
        </w:rPr>
      </w:pPr>
    </w:p>
    <w:p w14:paraId="4E9718E7" w14:textId="24F99627" w:rsidR="52179EC9" w:rsidRDefault="4F15317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su parte, el primer semestre de 2024 muestra un valor contratado de $131.625.831.821, correspondiente a 33 contratos. Este monto equivale al 9% del total general, mientras que el número de contratos representa solo el 2.78% del total acumulado. La reducción significativa en ambos indicadores puede atribuirse al hecho de que los datos corresponden únicamente al primer semestre del año, lo que limita la comparabilidad con los años completos.</w:t>
      </w:r>
    </w:p>
    <w:p w14:paraId="31734ECB" w14:textId="3FD07C53" w:rsidR="177792B3" w:rsidRDefault="177792B3" w:rsidP="00B00FCB">
      <w:pPr>
        <w:jc w:val="both"/>
        <w:rPr>
          <w:rFonts w:ascii="Verdana Pro" w:eastAsia="Verdana Pro" w:hAnsi="Verdana Pro" w:cs="Verdana Pro"/>
          <w:sz w:val="22"/>
          <w:szCs w:val="22"/>
        </w:rPr>
      </w:pPr>
    </w:p>
    <w:p w14:paraId="25C65453" w14:textId="3742EED8" w:rsidR="52179EC9" w:rsidRDefault="4F15317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El análisis de la evolución del número de contratos sugiere una relación estrecha entre la cantidad de contratos y el valor contratado, con excepción de 2023, donde se observa un aumento desproporcionado en el valor respecto al número de contratos. Este </w:t>
      </w:r>
      <w:r w:rsidRPr="449377F1">
        <w:rPr>
          <w:rFonts w:ascii="Verdana Pro" w:eastAsia="Verdana Pro" w:hAnsi="Verdana Pro" w:cs="Verdana Pro"/>
          <w:sz w:val="22"/>
          <w:szCs w:val="22"/>
        </w:rPr>
        <w:lastRenderedPageBreak/>
        <w:t>fenómeno podría estar relacionado con contratos de mayor cuantía promedio en dicho año, aunque no es posible confirmarlo con los datos actuales.</w:t>
      </w:r>
    </w:p>
    <w:p w14:paraId="5C3E9E56" w14:textId="77777777" w:rsidR="00D53C4F" w:rsidRDefault="00D53C4F" w:rsidP="449377F1">
      <w:pPr>
        <w:ind w:left="360"/>
        <w:jc w:val="both"/>
        <w:rPr>
          <w:rFonts w:ascii="Verdana Pro" w:eastAsia="Verdana Pro" w:hAnsi="Verdana Pro" w:cs="Verdana Pro"/>
          <w:sz w:val="22"/>
          <w:szCs w:val="22"/>
        </w:rPr>
      </w:pPr>
    </w:p>
    <w:p w14:paraId="4E89F6D6" w14:textId="18BC9CE2" w:rsidR="00D53C4F" w:rsidRPr="00D53C4F" w:rsidRDefault="44AAF89F" w:rsidP="449377F1">
      <w:pPr>
        <w:pStyle w:val="Descripcin"/>
        <w:spacing w:after="0"/>
        <w:jc w:val="both"/>
        <w:rPr>
          <w:rFonts w:ascii="Verdana Pro" w:eastAsia="Verdana Pro" w:hAnsi="Verdana Pro" w:cs="Verdana Pro"/>
          <w:sz w:val="24"/>
          <w:szCs w:val="24"/>
        </w:rPr>
      </w:pPr>
      <w:bookmarkStart w:id="11" w:name="_Toc180136778"/>
      <w:r w:rsidRPr="449377F1">
        <w:rPr>
          <w:rFonts w:ascii="Verdana Pro" w:eastAsia="Verdana Pro" w:hAnsi="Verdana Pro" w:cs="Verdana Pro"/>
          <w:sz w:val="22"/>
          <w:szCs w:val="22"/>
        </w:rPr>
        <w:t xml:space="preserve">Gráfica </w:t>
      </w:r>
      <w:r w:rsidR="00D53C4F" w:rsidRPr="449377F1">
        <w:rPr>
          <w:rFonts w:ascii="Verdana" w:hAnsi="Verdana"/>
          <w:sz w:val="22"/>
          <w:szCs w:val="22"/>
        </w:rPr>
        <w:fldChar w:fldCharType="begin"/>
      </w:r>
      <w:r w:rsidR="00D53C4F" w:rsidRPr="449377F1">
        <w:rPr>
          <w:rFonts w:ascii="Verdana" w:hAnsi="Verdana"/>
          <w:sz w:val="22"/>
          <w:szCs w:val="22"/>
        </w:rPr>
        <w:instrText xml:space="preserve"> SEQ Gráfica \* ARABIC </w:instrText>
      </w:r>
      <w:r w:rsidR="00D53C4F" w:rsidRPr="449377F1">
        <w:rPr>
          <w:rFonts w:ascii="Verdana" w:hAnsi="Verdana"/>
          <w:sz w:val="22"/>
          <w:szCs w:val="22"/>
        </w:rPr>
        <w:fldChar w:fldCharType="separate"/>
      </w:r>
      <w:r w:rsidR="01938715" w:rsidRPr="449377F1">
        <w:rPr>
          <w:rFonts w:ascii="Verdana" w:hAnsi="Verdana"/>
          <w:noProof/>
          <w:sz w:val="22"/>
          <w:szCs w:val="22"/>
        </w:rPr>
        <w:t>11</w:t>
      </w:r>
      <w:r w:rsidR="00D53C4F" w:rsidRPr="449377F1">
        <w:rPr>
          <w:rFonts w:ascii="Verdana" w:hAnsi="Verdana"/>
          <w:sz w:val="22"/>
          <w:szCs w:val="22"/>
        </w:rPr>
        <w:fldChar w:fldCharType="end"/>
      </w:r>
      <w:r w:rsidRPr="449377F1">
        <w:rPr>
          <w:rFonts w:ascii="Verdana Pro" w:eastAsia="Verdana Pro" w:hAnsi="Verdana Pro" w:cs="Verdana Pro"/>
          <w:sz w:val="22"/>
          <w:szCs w:val="22"/>
        </w:rPr>
        <w:t xml:space="preserve">. Valores y número de contratos por vigencias </w:t>
      </w:r>
      <w:r w:rsidR="738F4150" w:rsidRPr="449377F1">
        <w:rPr>
          <w:rFonts w:ascii="Verdana Pro" w:eastAsia="Verdana Pro" w:hAnsi="Verdana Pro" w:cs="Verdana Pro"/>
          <w:sz w:val="22"/>
          <w:szCs w:val="22"/>
        </w:rPr>
        <w:t>2021, 2022, 2023 y parte del 2024,</w:t>
      </w:r>
      <w:r w:rsidRPr="449377F1">
        <w:rPr>
          <w:rFonts w:ascii="Verdana Pro" w:eastAsia="Verdana Pro" w:hAnsi="Verdana Pro" w:cs="Verdana Pro"/>
          <w:sz w:val="22"/>
          <w:szCs w:val="22"/>
        </w:rPr>
        <w:t xml:space="preserve"> Sector Educación.</w:t>
      </w:r>
      <w:bookmarkEnd w:id="11"/>
    </w:p>
    <w:p w14:paraId="34B9A5A1" w14:textId="4CC06D0D" w:rsidR="00D53C4F" w:rsidRDefault="02A641E8" w:rsidP="449377F1">
      <w:pPr>
        <w:ind w:left="360"/>
        <w:jc w:val="center"/>
        <w:rPr>
          <w:rFonts w:ascii="Verdana Pro" w:eastAsia="Verdana Pro" w:hAnsi="Verdana Pro" w:cs="Verdana Pro"/>
        </w:rPr>
      </w:pPr>
      <w:r>
        <w:rPr>
          <w:noProof/>
        </w:rPr>
        <w:drawing>
          <wp:inline distT="0" distB="0" distL="0" distR="0" wp14:anchorId="20A299AA" wp14:editId="468DA9B0">
            <wp:extent cx="4191585" cy="1105054"/>
            <wp:effectExtent l="0" t="0" r="0" b="0"/>
            <wp:docPr id="1984275110" name="Picture 19842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191585" cy="1105054"/>
                    </a:xfrm>
                    <a:prstGeom prst="rect">
                      <a:avLst/>
                    </a:prstGeom>
                  </pic:spPr>
                </pic:pic>
              </a:graphicData>
            </a:graphic>
          </wp:inline>
        </w:drawing>
      </w:r>
    </w:p>
    <w:p w14:paraId="1B9B83B4" w14:textId="77777777" w:rsidR="005A50E8" w:rsidRPr="00C272E3" w:rsidRDefault="0FB31777"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3818557A" w14:textId="77777777" w:rsidR="005A50E8" w:rsidRPr="00A81BAA" w:rsidRDefault="005A50E8" w:rsidP="449377F1">
      <w:pPr>
        <w:ind w:left="360"/>
        <w:jc w:val="center"/>
        <w:rPr>
          <w:rFonts w:ascii="Verdana Pro" w:eastAsia="Verdana Pro" w:hAnsi="Verdana Pro" w:cs="Verdana Pro"/>
          <w:sz w:val="22"/>
          <w:szCs w:val="22"/>
        </w:rPr>
      </w:pPr>
    </w:p>
    <w:p w14:paraId="2951FEC3" w14:textId="2C68C702" w:rsidR="000E61F4" w:rsidRDefault="7E87B66B"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Respecto al Sector Educación, el informe indica que </w:t>
      </w:r>
      <w:r w:rsidR="2973863C" w:rsidRPr="449377F1">
        <w:rPr>
          <w:rFonts w:ascii="Verdana Pro" w:eastAsia="Verdana Pro" w:hAnsi="Verdana Pro" w:cs="Verdana Pro"/>
          <w:sz w:val="22"/>
          <w:szCs w:val="22"/>
        </w:rPr>
        <w:t>e</w:t>
      </w:r>
      <w:r w:rsidR="488EE8E2" w:rsidRPr="449377F1">
        <w:rPr>
          <w:rFonts w:ascii="Verdana Pro" w:eastAsia="Verdana Pro" w:hAnsi="Verdana Pro" w:cs="Verdana Pro"/>
          <w:sz w:val="22"/>
          <w:szCs w:val="22"/>
        </w:rPr>
        <w:t xml:space="preserve">n </w:t>
      </w:r>
      <w:r w:rsidR="2261DF16" w:rsidRPr="449377F1">
        <w:rPr>
          <w:rFonts w:ascii="Verdana Pro" w:eastAsia="Verdana Pro" w:hAnsi="Verdana Pro" w:cs="Verdana Pro"/>
          <w:sz w:val="22"/>
          <w:szCs w:val="22"/>
        </w:rPr>
        <w:t xml:space="preserve">la </w:t>
      </w:r>
      <w:r w:rsidR="488EE8E2" w:rsidRPr="449377F1">
        <w:rPr>
          <w:rFonts w:ascii="Verdana Pro" w:eastAsia="Verdana Pro" w:hAnsi="Verdana Pro" w:cs="Verdana Pro"/>
          <w:sz w:val="22"/>
          <w:szCs w:val="22"/>
        </w:rPr>
        <w:t>tabla anterior muestra los valores contratados y el número de contratos adelantados en cada vigencia observada para el Sector Educación, que en 7.080 contratos concentraron $4,56 billones de pesos.</w:t>
      </w:r>
    </w:p>
    <w:p w14:paraId="4070040F" w14:textId="002DFCE5" w:rsidR="177792B3" w:rsidRDefault="177792B3" w:rsidP="00B00FCB">
      <w:pPr>
        <w:jc w:val="both"/>
        <w:rPr>
          <w:rFonts w:ascii="Verdana Pro" w:eastAsia="Verdana Pro" w:hAnsi="Verdana Pro" w:cs="Verdana Pro"/>
          <w:sz w:val="22"/>
          <w:szCs w:val="22"/>
        </w:rPr>
      </w:pPr>
    </w:p>
    <w:p w14:paraId="171DB18B" w14:textId="5AE8F64F" w:rsidR="338352C0" w:rsidRDefault="488EE8E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 la primera vigencia estudiada correspondiente a 2021, se contrataron $1,47 billones de pesos mediante 2.293 contratos. Seguido, durante el año 2022, el valor contratado aumentó a $1,73 billones, un incremento del 17,45%, y el número de contratos fue de 2.487, 8,47% más que el número de contratos del año inmediatamente anterior.</w:t>
      </w:r>
    </w:p>
    <w:p w14:paraId="093BBC9A" w14:textId="0D99DADD" w:rsidR="177792B3" w:rsidRDefault="177792B3" w:rsidP="00B00FCB">
      <w:pPr>
        <w:jc w:val="both"/>
        <w:rPr>
          <w:rFonts w:ascii="Verdana Pro" w:eastAsia="Verdana Pro" w:hAnsi="Verdana Pro" w:cs="Verdana Pro"/>
          <w:sz w:val="22"/>
          <w:szCs w:val="22"/>
        </w:rPr>
      </w:pPr>
    </w:p>
    <w:p w14:paraId="044A7A47" w14:textId="2179D379" w:rsidR="338352C0" w:rsidRDefault="488EE8E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Para la vigencia 2023, respecto a 2022, el valor contratado fue de $1,29 billones de pesos, representando una disminución del 25,30%, mientras que el número de contratos asociado a esta cuantía fue de 2.090 representando una disminución del 15,97% respecto a 2022 y del 8,85% respecto a 2021. Es preciso resaltar que, de las mencionadas, la vigencia 2023 fue el periodo en el que menos dinero y menor número de contratos se realizaron por las entidades.</w:t>
      </w:r>
    </w:p>
    <w:p w14:paraId="673E675B" w14:textId="27E47D56" w:rsidR="177792B3" w:rsidRDefault="177792B3" w:rsidP="00B00FCB">
      <w:pPr>
        <w:jc w:val="both"/>
        <w:rPr>
          <w:rFonts w:ascii="Verdana Pro" w:eastAsia="Verdana Pro" w:hAnsi="Verdana Pro" w:cs="Verdana Pro"/>
          <w:sz w:val="22"/>
          <w:szCs w:val="22"/>
        </w:rPr>
      </w:pPr>
    </w:p>
    <w:p w14:paraId="3C74B2BE" w14:textId="07244002" w:rsidR="338352C0" w:rsidRDefault="488EE8E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su parte, durante el primer semestre del año 2024, la cuantía de contratos fue de $51,63 mil millones de pesos, en tanto que el número de contratos fue de 210.</w:t>
      </w:r>
    </w:p>
    <w:p w14:paraId="0061064D" w14:textId="0875A0D2" w:rsidR="338352C0" w:rsidRDefault="488EE8E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Al calcular los promedios de los montos contratados en cada vigencia, estos no tienen grandes variaciones entre vigencias. Para 2021 fue de $645,32 millones de pesos, para 2022 un promedio de $698,52 millones de pesos, y para 2023 un promedio de $620,27 millones de pesos.</w:t>
      </w:r>
    </w:p>
    <w:p w14:paraId="2E227806" w14:textId="0C6F86E4" w:rsidR="177792B3" w:rsidRDefault="177792B3" w:rsidP="449377F1">
      <w:pPr>
        <w:ind w:left="360"/>
        <w:jc w:val="both"/>
        <w:rPr>
          <w:rFonts w:ascii="Verdana Pro" w:eastAsia="Verdana Pro" w:hAnsi="Verdana Pro" w:cs="Verdana Pro"/>
          <w:sz w:val="22"/>
          <w:szCs w:val="22"/>
        </w:rPr>
      </w:pPr>
    </w:p>
    <w:p w14:paraId="1061223C" w14:textId="35B0BB2A" w:rsidR="338352C0" w:rsidRDefault="488EE8E2"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Es preciso anotar que, de acuerdo con los datos usados para el presente informe, el número y valores de contratos celebrados en el primer semestre del año 2024, son bajos. Esto en comparación, con el periodo 2021-I que tuvo una cuantía total de </w:t>
      </w:r>
      <w:r w:rsidRPr="449377F1">
        <w:rPr>
          <w:rFonts w:ascii="Verdana Pro" w:eastAsia="Verdana Pro" w:hAnsi="Verdana Pro" w:cs="Verdana Pro"/>
          <w:sz w:val="22"/>
          <w:szCs w:val="22"/>
        </w:rPr>
        <w:lastRenderedPageBreak/>
        <w:t>$172,478 millones de pesos, a través de 568 contratos, o para el periodo 2022-I que tuvo una cuantía de $575,993 billones de pesos en 990 contratos.</w:t>
      </w:r>
    </w:p>
    <w:p w14:paraId="33849836" w14:textId="77777777" w:rsidR="005E2D1C" w:rsidRDefault="005E2D1C" w:rsidP="449377F1">
      <w:pPr>
        <w:ind w:left="360"/>
        <w:jc w:val="both"/>
        <w:rPr>
          <w:rFonts w:ascii="Verdana Pro" w:eastAsia="Verdana Pro" w:hAnsi="Verdana Pro" w:cs="Verdana Pro"/>
          <w:sz w:val="22"/>
          <w:szCs w:val="22"/>
        </w:rPr>
      </w:pPr>
    </w:p>
    <w:p w14:paraId="4CFB7D5D" w14:textId="77777777" w:rsidR="005E2D1C" w:rsidRDefault="005E2D1C" w:rsidP="449377F1">
      <w:pPr>
        <w:ind w:left="360"/>
        <w:jc w:val="both"/>
        <w:rPr>
          <w:rFonts w:ascii="Verdana Pro" w:eastAsia="Verdana Pro" w:hAnsi="Verdana Pro" w:cs="Verdana Pro"/>
          <w:sz w:val="22"/>
          <w:szCs w:val="22"/>
        </w:rPr>
      </w:pPr>
    </w:p>
    <w:p w14:paraId="588CF434" w14:textId="1B1AACB8" w:rsidR="00D53C4F" w:rsidRPr="005E2D1C" w:rsidRDefault="31BA4238" w:rsidP="449377F1">
      <w:pPr>
        <w:pStyle w:val="Descripcin"/>
        <w:spacing w:after="0"/>
        <w:jc w:val="both"/>
        <w:rPr>
          <w:rFonts w:ascii="Verdana Pro" w:eastAsia="Verdana Pro" w:hAnsi="Verdana Pro" w:cs="Verdana Pro"/>
          <w:sz w:val="24"/>
          <w:szCs w:val="24"/>
        </w:rPr>
      </w:pPr>
      <w:bookmarkStart w:id="12" w:name="_Toc180136779"/>
      <w:r w:rsidRPr="449377F1">
        <w:rPr>
          <w:rFonts w:ascii="Verdana Pro" w:eastAsia="Verdana Pro" w:hAnsi="Verdana Pro" w:cs="Verdana Pro"/>
          <w:sz w:val="22"/>
          <w:szCs w:val="22"/>
        </w:rPr>
        <w:t xml:space="preserve">Gráfica </w:t>
      </w:r>
      <w:r w:rsidR="005E2D1C" w:rsidRPr="449377F1">
        <w:rPr>
          <w:rFonts w:ascii="Verdana" w:hAnsi="Verdana"/>
          <w:sz w:val="22"/>
          <w:szCs w:val="22"/>
        </w:rPr>
        <w:fldChar w:fldCharType="begin"/>
      </w:r>
      <w:r w:rsidR="005E2D1C" w:rsidRPr="449377F1">
        <w:rPr>
          <w:rFonts w:ascii="Verdana" w:hAnsi="Verdana"/>
          <w:sz w:val="22"/>
          <w:szCs w:val="22"/>
        </w:rPr>
        <w:instrText xml:space="preserve"> SEQ Gráfica \* ARABIC </w:instrText>
      </w:r>
      <w:r w:rsidR="005E2D1C" w:rsidRPr="449377F1">
        <w:rPr>
          <w:rFonts w:ascii="Verdana" w:hAnsi="Verdana"/>
          <w:sz w:val="22"/>
          <w:szCs w:val="22"/>
        </w:rPr>
        <w:fldChar w:fldCharType="separate"/>
      </w:r>
      <w:r w:rsidR="01938715" w:rsidRPr="449377F1">
        <w:rPr>
          <w:rFonts w:ascii="Verdana" w:hAnsi="Verdana"/>
          <w:noProof/>
          <w:sz w:val="22"/>
          <w:szCs w:val="22"/>
        </w:rPr>
        <w:t>12</w:t>
      </w:r>
      <w:r w:rsidR="005E2D1C" w:rsidRPr="449377F1">
        <w:rPr>
          <w:rFonts w:ascii="Verdana" w:hAnsi="Verdana"/>
          <w:sz w:val="22"/>
          <w:szCs w:val="22"/>
        </w:rPr>
        <w:fldChar w:fldCharType="end"/>
      </w:r>
      <w:r w:rsidRPr="449377F1">
        <w:rPr>
          <w:rFonts w:ascii="Verdana Pro" w:eastAsia="Verdana Pro" w:hAnsi="Verdana Pro" w:cs="Verdana Pro"/>
          <w:sz w:val="22"/>
          <w:szCs w:val="22"/>
        </w:rPr>
        <w:t xml:space="preserve">. Valores y número de contratos por vigencias </w:t>
      </w:r>
      <w:r w:rsidR="1F688BD5" w:rsidRPr="449377F1">
        <w:rPr>
          <w:rFonts w:ascii="Verdana Pro" w:eastAsia="Verdana Pro" w:hAnsi="Verdana Pro" w:cs="Verdana Pro"/>
          <w:sz w:val="22"/>
          <w:szCs w:val="22"/>
        </w:rPr>
        <w:t>2021, 2022, 2023 y parte del 2024,</w:t>
      </w:r>
      <w:r w:rsidRPr="449377F1">
        <w:rPr>
          <w:rFonts w:ascii="Verdana Pro" w:eastAsia="Verdana Pro" w:hAnsi="Verdana Pro" w:cs="Verdana Pro"/>
          <w:sz w:val="22"/>
          <w:szCs w:val="22"/>
        </w:rPr>
        <w:t xml:space="preserve"> Sector Cultura, Recreación y Deporte.</w:t>
      </w:r>
      <w:bookmarkEnd w:id="12"/>
    </w:p>
    <w:p w14:paraId="3CB73448" w14:textId="48E9396A" w:rsidR="005E2D1C" w:rsidRPr="00A81BAA" w:rsidRDefault="005E2D1C" w:rsidP="449377F1">
      <w:pPr>
        <w:ind w:left="360"/>
        <w:jc w:val="center"/>
        <w:rPr>
          <w:rFonts w:ascii="Verdana Pro" w:eastAsia="Verdana Pro" w:hAnsi="Verdana Pro" w:cs="Verdana Pro"/>
        </w:rPr>
      </w:pPr>
    </w:p>
    <w:p w14:paraId="0C78FEA0" w14:textId="440B244C" w:rsidR="65875A26" w:rsidRDefault="21FA6617" w:rsidP="449377F1">
      <w:pPr>
        <w:ind w:left="360"/>
        <w:jc w:val="center"/>
        <w:rPr>
          <w:rFonts w:ascii="Verdana Pro" w:eastAsia="Verdana Pro" w:hAnsi="Verdana Pro" w:cs="Verdana Pro"/>
        </w:rPr>
      </w:pPr>
      <w:r>
        <w:rPr>
          <w:noProof/>
        </w:rPr>
        <w:drawing>
          <wp:inline distT="0" distB="0" distL="0" distR="0" wp14:anchorId="244DB692" wp14:editId="48338FA2">
            <wp:extent cx="6124574" cy="1314450"/>
            <wp:effectExtent l="0" t="0" r="0" b="0"/>
            <wp:docPr id="980620870" name="Picture 98062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124574" cy="1314450"/>
                    </a:xfrm>
                    <a:prstGeom prst="rect">
                      <a:avLst/>
                    </a:prstGeom>
                  </pic:spPr>
                </pic:pic>
              </a:graphicData>
            </a:graphic>
          </wp:inline>
        </w:drawing>
      </w:r>
    </w:p>
    <w:p w14:paraId="67EDAD07" w14:textId="77777777" w:rsidR="00A04F2A" w:rsidRPr="00C272E3" w:rsidRDefault="5D6A75F8"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5D28F9C7" w14:textId="77777777" w:rsidR="00E740D4" w:rsidRDefault="00E740D4" w:rsidP="449377F1">
      <w:pPr>
        <w:ind w:left="360"/>
        <w:rPr>
          <w:rFonts w:ascii="Verdana Pro" w:eastAsia="Verdana Pro" w:hAnsi="Verdana Pro" w:cs="Verdana Pro"/>
          <w:sz w:val="22"/>
          <w:szCs w:val="22"/>
        </w:rPr>
      </w:pPr>
    </w:p>
    <w:p w14:paraId="5154A490" w14:textId="77777777" w:rsidR="005E2D1C" w:rsidRDefault="005E2D1C" w:rsidP="449377F1">
      <w:pPr>
        <w:ind w:left="360"/>
        <w:rPr>
          <w:rFonts w:ascii="Verdana Pro" w:eastAsia="Verdana Pro" w:hAnsi="Verdana Pro" w:cs="Verdana Pro"/>
          <w:sz w:val="22"/>
          <w:szCs w:val="22"/>
        </w:rPr>
      </w:pPr>
    </w:p>
    <w:p w14:paraId="25E80571" w14:textId="22C68C6A" w:rsidR="005E2D1C" w:rsidRDefault="5D6A75F8"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Respecto al Sector Cultura, Recreación y Deporte, el informe indica que </w:t>
      </w:r>
      <w:r w:rsidR="687B3A48" w:rsidRPr="449377F1">
        <w:rPr>
          <w:rFonts w:ascii="Verdana Pro" w:eastAsia="Verdana Pro" w:hAnsi="Verdana Pro" w:cs="Verdana Pro"/>
          <w:sz w:val="22"/>
          <w:szCs w:val="22"/>
        </w:rPr>
        <w:t>d</w:t>
      </w:r>
      <w:r w:rsidR="268ED25A" w:rsidRPr="449377F1">
        <w:rPr>
          <w:rFonts w:ascii="Verdana Pro" w:eastAsia="Verdana Pro" w:hAnsi="Verdana Pro" w:cs="Verdana Pro"/>
          <w:sz w:val="22"/>
          <w:szCs w:val="22"/>
        </w:rPr>
        <w:t>urante las vigencias 2021, 2022, 2023 y 2024, los contratos asociados al Sector en mención registrados en SECOP I y SECOP II fueron 7.301 y estos sumaron un valor total de $8.969.823.848.375 billones de pesos. Con los datos antes mencionados se evidencia una alta actividad de contratación en los periodos estudiados, es así como en el año 2022 se evidencia un pico en la contratación del sector indicando un aumento en proyectos y actividades dirigidas a la cultura, la recreación y el deporte en el país.</w:t>
      </w:r>
    </w:p>
    <w:p w14:paraId="1F3F0ADF" w14:textId="35D0C048" w:rsidR="177792B3" w:rsidRDefault="177792B3" w:rsidP="00B00FCB">
      <w:pPr>
        <w:jc w:val="both"/>
        <w:rPr>
          <w:rFonts w:ascii="Verdana Pro" w:eastAsia="Verdana Pro" w:hAnsi="Verdana Pro" w:cs="Verdana Pro"/>
          <w:sz w:val="22"/>
          <w:szCs w:val="22"/>
        </w:rPr>
      </w:pPr>
    </w:p>
    <w:p w14:paraId="3963BC47" w14:textId="38CA4044" w:rsidR="6A04DABA" w:rsidRDefault="696B3540"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También se observa una estabilidad relativa en las vigencias 2021,2022 y 2023 debido a que el número de contratos se mantuvo relativamente estable, con una variación máxima de 71 contratos entre el mayor y el menor valor (2.331 en 2022 y 2.260 en 2023).</w:t>
      </w:r>
    </w:p>
    <w:p w14:paraId="1CABF588" w14:textId="02E2016F" w:rsidR="177792B3" w:rsidRDefault="177792B3" w:rsidP="00B00FCB">
      <w:pPr>
        <w:jc w:val="both"/>
        <w:rPr>
          <w:rFonts w:ascii="Verdana Pro" w:eastAsia="Verdana Pro" w:hAnsi="Verdana Pro" w:cs="Verdana Pro"/>
          <w:sz w:val="22"/>
          <w:szCs w:val="22"/>
        </w:rPr>
      </w:pPr>
    </w:p>
    <w:p w14:paraId="19946778" w14:textId="42EAADB4" w:rsidR="6A04DABA" w:rsidRDefault="696B3540"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otro lado, se refleja una leve reducción tanto en el número de contratos como en el monto contratado para el año 2023, con una tendencia de reducción mayormente marcada en el primer semestre del año 2024 ya que el monto y número de contratos son significativamente menores porque en esta vigencia solo se abarca el I semestre del año en cuestión, sin embargo, es evidente la desaceleración en los contratos del sector y un cambio en las prioridades presupuestarias.</w:t>
      </w:r>
    </w:p>
    <w:p w14:paraId="709DA545" w14:textId="0C8C4818" w:rsidR="177792B3" w:rsidRDefault="177792B3" w:rsidP="449377F1">
      <w:pPr>
        <w:ind w:left="360"/>
        <w:jc w:val="both"/>
        <w:rPr>
          <w:rFonts w:ascii="Verdana Pro" w:eastAsia="Verdana Pro" w:hAnsi="Verdana Pro" w:cs="Verdana Pro"/>
          <w:sz w:val="22"/>
          <w:szCs w:val="22"/>
        </w:rPr>
      </w:pPr>
    </w:p>
    <w:p w14:paraId="10280AE5" w14:textId="0DCCA82B" w:rsidR="6A04DABA" w:rsidRDefault="696B354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Al observar la distribución de los montos y el volumen de los contratos durante las distintas vigencias, para el año 2021 se encontraron 2.319 contratos con una cuantía </w:t>
      </w:r>
      <w:r w:rsidRPr="449377F1">
        <w:rPr>
          <w:rFonts w:ascii="Verdana Pro" w:eastAsia="Verdana Pro" w:hAnsi="Verdana Pro" w:cs="Verdana Pro"/>
          <w:sz w:val="22"/>
          <w:szCs w:val="22"/>
        </w:rPr>
        <w:lastRenderedPageBreak/>
        <w:t>total de $2.8 billones de pesos esto es una participación del 31%; para el 2022 se registraron 2.331 contratos por una cuantía total de $3.1 billones de pesos el cual representa un aumento del 10.71% del valor contratado frente al año anterior. En el año 2023 disminuyó levemente frente al 2022 tanto en número como en el valor del contrato. Para el primer semestre del año 2024 la disminución en los contratos de este sector es evidente pues en solo 6 meses solo se evidenciaron 391 contrato para un total de 244 mil millones de pesos lo que corresponde solo al 2.70% del valor total de la contratación del sector.</w:t>
      </w:r>
    </w:p>
    <w:p w14:paraId="78B446FD" w14:textId="1283D9E4" w:rsidR="177792B3" w:rsidRDefault="177792B3" w:rsidP="449377F1">
      <w:pPr>
        <w:ind w:left="360"/>
        <w:jc w:val="both"/>
        <w:rPr>
          <w:rFonts w:ascii="Verdana Pro" w:eastAsia="Verdana Pro" w:hAnsi="Verdana Pro" w:cs="Verdana Pro"/>
          <w:sz w:val="22"/>
          <w:szCs w:val="22"/>
        </w:rPr>
      </w:pPr>
    </w:p>
    <w:p w14:paraId="2150597C" w14:textId="3B16A742" w:rsidR="6A04DABA" w:rsidRDefault="696B354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De esta manera, se concluye que el promedio anual de contratos para los años 2021, 2022 y 2023 es de 2.303. Sin embargo, los datos de 2024 no son comparables con los años anteriores, ya que solo corresponden al primer semestre</w:t>
      </w:r>
      <w:r w:rsidR="37ABE4A9" w:rsidRPr="449377F1">
        <w:rPr>
          <w:rFonts w:ascii="Verdana Pro" w:eastAsia="Verdana Pro" w:hAnsi="Verdana Pro" w:cs="Verdana Pro"/>
          <w:sz w:val="22"/>
          <w:szCs w:val="22"/>
        </w:rPr>
        <w:t>.</w:t>
      </w:r>
    </w:p>
    <w:p w14:paraId="14BC04A1" w14:textId="7701E595" w:rsidR="177792B3" w:rsidRDefault="177792B3" w:rsidP="449377F1">
      <w:pPr>
        <w:ind w:left="360"/>
        <w:jc w:val="both"/>
        <w:rPr>
          <w:rFonts w:ascii="Verdana Pro" w:eastAsia="Verdana Pro" w:hAnsi="Verdana Pro" w:cs="Verdana Pro"/>
          <w:sz w:val="22"/>
          <w:szCs w:val="22"/>
        </w:rPr>
      </w:pPr>
    </w:p>
    <w:p w14:paraId="25E1C74D" w14:textId="7D4B49E8" w:rsidR="005E2D1C" w:rsidRPr="00B102E9" w:rsidRDefault="1CBAD3A5" w:rsidP="449377F1">
      <w:pPr>
        <w:pStyle w:val="Descripcin"/>
        <w:spacing w:after="0"/>
        <w:jc w:val="both"/>
        <w:rPr>
          <w:rFonts w:ascii="Verdana Pro" w:eastAsia="Verdana Pro" w:hAnsi="Verdana Pro" w:cs="Verdana Pro"/>
          <w:sz w:val="24"/>
          <w:szCs w:val="24"/>
        </w:rPr>
      </w:pPr>
      <w:bookmarkStart w:id="13" w:name="_Toc180136780"/>
      <w:r w:rsidRPr="449377F1">
        <w:rPr>
          <w:rFonts w:ascii="Verdana Pro" w:eastAsia="Verdana Pro" w:hAnsi="Verdana Pro" w:cs="Verdana Pro"/>
          <w:sz w:val="22"/>
          <w:szCs w:val="22"/>
        </w:rPr>
        <w:t xml:space="preserve">Gráfica </w:t>
      </w:r>
      <w:r w:rsidR="00B102E9" w:rsidRPr="449377F1">
        <w:rPr>
          <w:rFonts w:ascii="Verdana" w:hAnsi="Verdana"/>
          <w:sz w:val="22"/>
          <w:szCs w:val="22"/>
        </w:rPr>
        <w:fldChar w:fldCharType="begin"/>
      </w:r>
      <w:r w:rsidR="00B102E9" w:rsidRPr="449377F1">
        <w:rPr>
          <w:rFonts w:ascii="Verdana" w:hAnsi="Verdana"/>
          <w:sz w:val="22"/>
          <w:szCs w:val="22"/>
        </w:rPr>
        <w:instrText xml:space="preserve"> SEQ Gráfica \* ARABIC </w:instrText>
      </w:r>
      <w:r w:rsidR="00B102E9" w:rsidRPr="449377F1">
        <w:rPr>
          <w:rFonts w:ascii="Verdana" w:hAnsi="Verdana"/>
          <w:sz w:val="22"/>
          <w:szCs w:val="22"/>
        </w:rPr>
        <w:fldChar w:fldCharType="separate"/>
      </w:r>
      <w:r w:rsidR="01938715" w:rsidRPr="449377F1">
        <w:rPr>
          <w:rFonts w:ascii="Verdana" w:hAnsi="Verdana"/>
          <w:noProof/>
          <w:sz w:val="22"/>
          <w:szCs w:val="22"/>
        </w:rPr>
        <w:t>13</w:t>
      </w:r>
      <w:r w:rsidR="00B102E9" w:rsidRPr="449377F1">
        <w:rPr>
          <w:rFonts w:ascii="Verdana" w:hAnsi="Verdana"/>
          <w:sz w:val="22"/>
          <w:szCs w:val="22"/>
        </w:rPr>
        <w:fldChar w:fldCharType="end"/>
      </w:r>
      <w:r w:rsidRPr="449377F1">
        <w:rPr>
          <w:rFonts w:ascii="Verdana Pro" w:eastAsia="Verdana Pro" w:hAnsi="Verdana Pro" w:cs="Verdana Pro"/>
          <w:sz w:val="22"/>
          <w:szCs w:val="22"/>
        </w:rPr>
        <w:t xml:space="preserve">. Valores y número de contratos por vigencias </w:t>
      </w:r>
      <w:r w:rsidR="5B55F601" w:rsidRPr="449377F1">
        <w:rPr>
          <w:rFonts w:ascii="Verdana Pro" w:eastAsia="Verdana Pro" w:hAnsi="Verdana Pro" w:cs="Verdana Pro"/>
          <w:sz w:val="22"/>
          <w:szCs w:val="22"/>
        </w:rPr>
        <w:t>2021, 2022, 2023 y parte del 2024,</w:t>
      </w:r>
      <w:r w:rsidRPr="449377F1">
        <w:rPr>
          <w:rFonts w:ascii="Verdana Pro" w:eastAsia="Verdana Pro" w:hAnsi="Verdana Pro" w:cs="Verdana Pro"/>
          <w:sz w:val="22"/>
          <w:szCs w:val="22"/>
        </w:rPr>
        <w:t xml:space="preserve"> Sector Edificaciones Institucionales</w:t>
      </w:r>
      <w:bookmarkEnd w:id="13"/>
    </w:p>
    <w:p w14:paraId="179BF2F8" w14:textId="6A2F1CDA" w:rsidR="3BC43353" w:rsidRDefault="3BC43353" w:rsidP="449377F1">
      <w:pPr>
        <w:rPr>
          <w:rFonts w:ascii="Verdana Pro" w:eastAsia="Verdana Pro" w:hAnsi="Verdana Pro" w:cs="Verdana Pro"/>
        </w:rPr>
      </w:pPr>
    </w:p>
    <w:p w14:paraId="1036A3A4" w14:textId="44D8D076" w:rsidR="00687943" w:rsidRDefault="14393DC2" w:rsidP="449377F1">
      <w:pPr>
        <w:ind w:left="360"/>
        <w:jc w:val="center"/>
        <w:rPr>
          <w:rFonts w:ascii="Verdana Pro" w:eastAsia="Verdana Pro" w:hAnsi="Verdana Pro" w:cs="Verdana Pro"/>
        </w:rPr>
      </w:pPr>
      <w:r>
        <w:rPr>
          <w:noProof/>
        </w:rPr>
        <w:drawing>
          <wp:inline distT="0" distB="0" distL="0" distR="0" wp14:anchorId="093EC02E" wp14:editId="1D35DAD6">
            <wp:extent cx="4429744" cy="1076475"/>
            <wp:effectExtent l="0" t="0" r="0" b="0"/>
            <wp:docPr id="1308036183" name="Picture 130803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429744" cy="1076475"/>
                    </a:xfrm>
                    <a:prstGeom prst="rect">
                      <a:avLst/>
                    </a:prstGeom>
                  </pic:spPr>
                </pic:pic>
              </a:graphicData>
            </a:graphic>
          </wp:inline>
        </w:drawing>
      </w:r>
    </w:p>
    <w:p w14:paraId="3113D75A" w14:textId="77777777" w:rsidR="00867A50" w:rsidRPr="00C272E3" w:rsidRDefault="7DC16FE1"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70FA2413" w14:textId="77777777" w:rsidR="005E2D1C" w:rsidRDefault="005E2D1C" w:rsidP="449377F1">
      <w:pPr>
        <w:ind w:left="360"/>
        <w:rPr>
          <w:rFonts w:ascii="Verdana Pro" w:eastAsia="Verdana Pro" w:hAnsi="Verdana Pro" w:cs="Verdana Pro"/>
          <w:sz w:val="22"/>
          <w:szCs w:val="22"/>
        </w:rPr>
      </w:pPr>
    </w:p>
    <w:p w14:paraId="71C737AA" w14:textId="7D6D4753" w:rsidR="00687943" w:rsidRDefault="1E00E49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Respecto al Sector Edific</w:t>
      </w:r>
      <w:r w:rsidR="7D705D01" w:rsidRPr="449377F1">
        <w:rPr>
          <w:rFonts w:ascii="Verdana Pro" w:eastAsia="Verdana Pro" w:hAnsi="Verdana Pro" w:cs="Verdana Pro"/>
          <w:sz w:val="22"/>
          <w:szCs w:val="22"/>
        </w:rPr>
        <w:t>aciones Institucionales</w:t>
      </w:r>
      <w:r w:rsidRPr="449377F1">
        <w:rPr>
          <w:rFonts w:ascii="Verdana Pro" w:eastAsia="Verdana Pro" w:hAnsi="Verdana Pro" w:cs="Verdana Pro"/>
          <w:sz w:val="22"/>
          <w:szCs w:val="22"/>
        </w:rPr>
        <w:t xml:space="preserve">, el informe indica que </w:t>
      </w:r>
      <w:r w:rsidR="5A80EB5A" w:rsidRPr="449377F1">
        <w:rPr>
          <w:rFonts w:ascii="Verdana Pro" w:eastAsia="Verdana Pro" w:hAnsi="Verdana Pro" w:cs="Verdana Pro"/>
          <w:sz w:val="22"/>
          <w:szCs w:val="22"/>
        </w:rPr>
        <w:t>l</w:t>
      </w:r>
      <w:r w:rsidR="1A79E63C" w:rsidRPr="449377F1">
        <w:rPr>
          <w:rFonts w:ascii="Verdana Pro" w:eastAsia="Verdana Pro" w:hAnsi="Verdana Pro" w:cs="Verdana Pro"/>
          <w:sz w:val="22"/>
          <w:szCs w:val="22"/>
        </w:rPr>
        <w:t>a tabla presentada resume las cuantías agregadas y el volumen total de contratos asociados al Sector de Edificios Institucionales. Con un total general contratado de $6.423.096.716.153 distribuidos en 4.955 contratos, se observa una dinámica con variaciones significativas en el valor contratado y el número de contratos en cada periodo.</w:t>
      </w:r>
    </w:p>
    <w:p w14:paraId="7B91BA23" w14:textId="17DB1614" w:rsidR="177792B3" w:rsidRDefault="177792B3" w:rsidP="449377F1">
      <w:pPr>
        <w:ind w:left="360"/>
        <w:jc w:val="both"/>
        <w:rPr>
          <w:rFonts w:ascii="Verdana Pro" w:eastAsia="Verdana Pro" w:hAnsi="Verdana Pro" w:cs="Verdana Pro"/>
          <w:sz w:val="22"/>
          <w:szCs w:val="22"/>
        </w:rPr>
      </w:pPr>
    </w:p>
    <w:p w14:paraId="02ED62AA" w14:textId="63552695" w:rsidR="1B7E53DD" w:rsidRDefault="1A79E63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En 2021, el valor contratado alcanzó $1.422.542.744.828, representando aproximadamente el 22.14% del total acumulado, y se distribuyó en 1.603 contratos, que equivalen al 32.36% del volumen total de contratos. Este comportamiento refleja un inicio sostenido en términos de cuantía y volumen, marcando un punto de referencia para las vigencias posteriores.</w:t>
      </w:r>
    </w:p>
    <w:p w14:paraId="1DE2E6A2" w14:textId="20826669" w:rsidR="177792B3" w:rsidRDefault="177792B3" w:rsidP="449377F1">
      <w:pPr>
        <w:ind w:left="360"/>
        <w:jc w:val="both"/>
        <w:rPr>
          <w:rFonts w:ascii="Verdana Pro" w:eastAsia="Verdana Pro" w:hAnsi="Verdana Pro" w:cs="Verdana Pro"/>
          <w:sz w:val="22"/>
          <w:szCs w:val="22"/>
        </w:rPr>
      </w:pPr>
    </w:p>
    <w:p w14:paraId="62824EA2" w14:textId="38F1005F" w:rsidR="1B7E53DD" w:rsidRDefault="1A79E63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En 2022, se evidencia un incremento en el valor contratado, alcanzando $1.632.218.342.953, lo que representa un aumento del 14.75% respecto al año </w:t>
      </w:r>
      <w:r w:rsidRPr="449377F1">
        <w:rPr>
          <w:rFonts w:ascii="Verdana Pro" w:eastAsia="Verdana Pro" w:hAnsi="Verdana Pro" w:cs="Verdana Pro"/>
          <w:sz w:val="22"/>
          <w:szCs w:val="22"/>
        </w:rPr>
        <w:lastRenderedPageBreak/>
        <w:t>anterior. Este monto corresponde al 25.42% del total acumulado y está asociado a 1.608 contratos, lo que implica un aumento marginal en el número de contratos (+5 contratos) en comparación con 2021. Este comportamiento podría reflejar un incremento en el tamaño promedio de los contratos.</w:t>
      </w:r>
    </w:p>
    <w:p w14:paraId="500D2E09" w14:textId="60D1E74C" w:rsidR="177792B3" w:rsidRDefault="177792B3" w:rsidP="449377F1">
      <w:pPr>
        <w:ind w:left="360"/>
        <w:jc w:val="both"/>
        <w:rPr>
          <w:rFonts w:ascii="Verdana Pro" w:eastAsia="Verdana Pro" w:hAnsi="Verdana Pro" w:cs="Verdana Pro"/>
          <w:sz w:val="22"/>
          <w:szCs w:val="22"/>
        </w:rPr>
      </w:pPr>
    </w:p>
    <w:p w14:paraId="079BD4ED" w14:textId="3F42BB49" w:rsidR="1B7E53DD" w:rsidRDefault="1A79E63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El año 2023 destaca como el periodo con el mayor valor contratado, alcanzando $3.330.315.322.851, equivalente al 51.85% del total general. Este notable incremento está acompañado de 1.659 contratos, el mayor volumen registrado durante el periodo analizado.</w:t>
      </w:r>
    </w:p>
    <w:p w14:paraId="0697B01D" w14:textId="30751493" w:rsidR="177792B3" w:rsidRDefault="177792B3" w:rsidP="449377F1">
      <w:pPr>
        <w:ind w:left="360"/>
        <w:jc w:val="both"/>
        <w:rPr>
          <w:rFonts w:ascii="Verdana Pro" w:eastAsia="Verdana Pro" w:hAnsi="Verdana Pro" w:cs="Verdana Pro"/>
          <w:sz w:val="22"/>
          <w:szCs w:val="22"/>
        </w:rPr>
      </w:pPr>
    </w:p>
    <w:p w14:paraId="16DE3E75" w14:textId="4E7DAE29" w:rsidR="1B7E53DD" w:rsidRDefault="1A79E63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El primer semestre de 2024 presenta una drástica disminución en el valor contratado, con apenas $38.020.305.521, que representa solo el 0.59% del total acumulado. Este monto se asocia a 85 contratos, lo que implica una reducción significativa tanto en cuantía como en volumen de contratos en comparación con los años anteriores. Cabe destacar que estos datos reflejan únicamente el primer semestre de 2024, lo que limita su comparabilidad con años completos.</w:t>
      </w:r>
    </w:p>
    <w:p w14:paraId="3BE9A64A" w14:textId="3714E7B0" w:rsidR="177792B3" w:rsidRDefault="177792B3" w:rsidP="449377F1">
      <w:pPr>
        <w:ind w:left="360"/>
        <w:jc w:val="both"/>
        <w:rPr>
          <w:rFonts w:ascii="Verdana Pro" w:eastAsia="Verdana Pro" w:hAnsi="Verdana Pro" w:cs="Verdana Pro"/>
          <w:sz w:val="22"/>
          <w:szCs w:val="22"/>
        </w:rPr>
      </w:pPr>
    </w:p>
    <w:p w14:paraId="23E88342" w14:textId="533E750F" w:rsidR="1B7E53DD" w:rsidRDefault="1A79E63C"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Los datos evidencian una tendencia ascendente en las cuantías contratadas y el volumen de contratos entre 2021 y 2023, alcanzando su punto máximo en este último año. Sin embargo, el primer semestre de 2024 muestra una contracción considerable en ambos indicadores, lo que sugiere cambios significativos en la dinámica de contratación del sector.</w:t>
      </w:r>
    </w:p>
    <w:p w14:paraId="64C72280" w14:textId="77777777" w:rsidR="007D419A" w:rsidRDefault="007D419A" w:rsidP="449377F1">
      <w:pPr>
        <w:ind w:left="360"/>
        <w:rPr>
          <w:rFonts w:ascii="Verdana Pro" w:eastAsia="Verdana Pro" w:hAnsi="Verdana Pro" w:cs="Verdana Pro"/>
          <w:sz w:val="22"/>
          <w:szCs w:val="22"/>
        </w:rPr>
      </w:pPr>
    </w:p>
    <w:p w14:paraId="3004B699" w14:textId="4AC6897C" w:rsidR="00687943" w:rsidRPr="001E7511" w:rsidRDefault="585A2475" w:rsidP="449377F1">
      <w:pPr>
        <w:pStyle w:val="Descripcin"/>
        <w:spacing w:after="0"/>
        <w:jc w:val="both"/>
        <w:rPr>
          <w:rFonts w:ascii="Verdana Pro" w:eastAsia="Verdana Pro" w:hAnsi="Verdana Pro" w:cs="Verdana Pro"/>
          <w:sz w:val="24"/>
          <w:szCs w:val="24"/>
        </w:rPr>
      </w:pPr>
      <w:bookmarkStart w:id="14" w:name="_Toc180136781"/>
      <w:r w:rsidRPr="449377F1">
        <w:rPr>
          <w:rFonts w:ascii="Verdana Pro" w:eastAsia="Verdana Pro" w:hAnsi="Verdana Pro" w:cs="Verdana Pro"/>
          <w:sz w:val="22"/>
          <w:szCs w:val="22"/>
        </w:rPr>
        <w:t xml:space="preserve">Gráfica </w:t>
      </w:r>
      <w:r w:rsidR="001E7511" w:rsidRPr="449377F1">
        <w:rPr>
          <w:rFonts w:ascii="Verdana" w:hAnsi="Verdana"/>
          <w:sz w:val="22"/>
          <w:szCs w:val="22"/>
        </w:rPr>
        <w:fldChar w:fldCharType="begin"/>
      </w:r>
      <w:r w:rsidR="001E7511" w:rsidRPr="449377F1">
        <w:rPr>
          <w:rFonts w:ascii="Verdana" w:hAnsi="Verdana"/>
          <w:sz w:val="22"/>
          <w:szCs w:val="22"/>
        </w:rPr>
        <w:instrText xml:space="preserve"> SEQ Gráfica \* ARABIC </w:instrText>
      </w:r>
      <w:r w:rsidR="001E7511" w:rsidRPr="449377F1">
        <w:rPr>
          <w:rFonts w:ascii="Verdana" w:hAnsi="Verdana"/>
          <w:sz w:val="22"/>
          <w:szCs w:val="22"/>
        </w:rPr>
        <w:fldChar w:fldCharType="separate"/>
      </w:r>
      <w:r w:rsidR="01938715" w:rsidRPr="449377F1">
        <w:rPr>
          <w:rFonts w:ascii="Verdana" w:hAnsi="Verdana"/>
          <w:noProof/>
          <w:sz w:val="22"/>
          <w:szCs w:val="22"/>
        </w:rPr>
        <w:t>14</w:t>
      </w:r>
      <w:r w:rsidR="001E7511" w:rsidRPr="449377F1">
        <w:rPr>
          <w:rFonts w:ascii="Verdana" w:hAnsi="Verdana"/>
          <w:sz w:val="22"/>
          <w:szCs w:val="22"/>
        </w:rPr>
        <w:fldChar w:fldCharType="end"/>
      </w:r>
      <w:r w:rsidRPr="449377F1">
        <w:rPr>
          <w:rFonts w:ascii="Verdana Pro" w:eastAsia="Verdana Pro" w:hAnsi="Verdana Pro" w:cs="Verdana Pro"/>
          <w:sz w:val="22"/>
          <w:szCs w:val="22"/>
        </w:rPr>
        <w:t xml:space="preserve">. Valores y número de contratos por vigencias </w:t>
      </w:r>
      <w:r w:rsidR="3178D21F" w:rsidRPr="449377F1">
        <w:rPr>
          <w:rFonts w:ascii="Verdana Pro" w:eastAsia="Verdana Pro" w:hAnsi="Verdana Pro" w:cs="Verdana Pro"/>
          <w:sz w:val="22"/>
          <w:szCs w:val="22"/>
        </w:rPr>
        <w:t>2021, 2022, 2023 y parte del 2024,</w:t>
      </w:r>
      <w:r w:rsidRPr="449377F1">
        <w:rPr>
          <w:rFonts w:ascii="Verdana Pro" w:eastAsia="Verdana Pro" w:hAnsi="Verdana Pro" w:cs="Verdana Pro"/>
          <w:sz w:val="22"/>
          <w:szCs w:val="22"/>
        </w:rPr>
        <w:t xml:space="preserve"> Sector Infraestructura de Seguridad</w:t>
      </w:r>
      <w:bookmarkEnd w:id="14"/>
    </w:p>
    <w:p w14:paraId="21D6D566" w14:textId="31448366" w:rsidR="00AC2F35" w:rsidRDefault="00AC2F35" w:rsidP="449377F1">
      <w:pPr>
        <w:rPr>
          <w:rFonts w:ascii="Verdana Pro" w:eastAsia="Verdana Pro" w:hAnsi="Verdana Pro" w:cs="Verdana Pro"/>
        </w:rPr>
      </w:pPr>
    </w:p>
    <w:p w14:paraId="2DBABEA4" w14:textId="16A1DC46" w:rsidR="00AC2F35" w:rsidRDefault="71F24C82" w:rsidP="449377F1">
      <w:pPr>
        <w:ind w:left="360"/>
        <w:jc w:val="center"/>
        <w:rPr>
          <w:rFonts w:ascii="Verdana Pro" w:eastAsia="Verdana Pro" w:hAnsi="Verdana Pro" w:cs="Verdana Pro"/>
        </w:rPr>
      </w:pPr>
      <w:r>
        <w:rPr>
          <w:noProof/>
        </w:rPr>
        <w:drawing>
          <wp:inline distT="0" distB="0" distL="0" distR="0" wp14:anchorId="63BF11EC" wp14:editId="77CD9A3F">
            <wp:extent cx="2981741" cy="876422"/>
            <wp:effectExtent l="0" t="0" r="0" b="0"/>
            <wp:docPr id="1479069085" name="Picture 147906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81741" cy="876422"/>
                    </a:xfrm>
                    <a:prstGeom prst="rect">
                      <a:avLst/>
                    </a:prstGeom>
                  </pic:spPr>
                </pic:pic>
              </a:graphicData>
            </a:graphic>
          </wp:inline>
        </w:drawing>
      </w:r>
    </w:p>
    <w:p w14:paraId="6894E41B" w14:textId="77777777" w:rsidR="00A47334" w:rsidRPr="00C272E3" w:rsidRDefault="773648F5"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09EBCE09" w14:textId="77777777" w:rsidR="00AC2F35" w:rsidRDefault="00AC2F35" w:rsidP="449377F1">
      <w:pPr>
        <w:ind w:left="360"/>
        <w:rPr>
          <w:rFonts w:ascii="Verdana Pro" w:eastAsia="Verdana Pro" w:hAnsi="Verdana Pro" w:cs="Verdana Pro"/>
          <w:sz w:val="22"/>
          <w:szCs w:val="22"/>
        </w:rPr>
      </w:pPr>
    </w:p>
    <w:p w14:paraId="213C6A07" w14:textId="33371A97" w:rsidR="007D419A" w:rsidRDefault="4457269F"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Respecto al Sector de Infraestr</w:t>
      </w:r>
      <w:r w:rsidR="4302EF15" w:rsidRPr="449377F1">
        <w:rPr>
          <w:rFonts w:ascii="Verdana Pro" w:eastAsia="Verdana Pro" w:hAnsi="Verdana Pro" w:cs="Verdana Pro"/>
          <w:sz w:val="22"/>
          <w:szCs w:val="22"/>
        </w:rPr>
        <w:t>u</w:t>
      </w:r>
      <w:r w:rsidRPr="449377F1">
        <w:rPr>
          <w:rFonts w:ascii="Verdana Pro" w:eastAsia="Verdana Pro" w:hAnsi="Verdana Pro" w:cs="Verdana Pro"/>
          <w:sz w:val="22"/>
          <w:szCs w:val="22"/>
        </w:rPr>
        <w:t>ctura</w:t>
      </w:r>
      <w:r w:rsidR="4302EF15" w:rsidRPr="449377F1">
        <w:rPr>
          <w:rFonts w:ascii="Verdana Pro" w:eastAsia="Verdana Pro" w:hAnsi="Verdana Pro" w:cs="Verdana Pro"/>
          <w:sz w:val="22"/>
          <w:szCs w:val="22"/>
        </w:rPr>
        <w:t xml:space="preserve"> de Seguridad</w:t>
      </w:r>
      <w:r w:rsidRPr="449377F1">
        <w:rPr>
          <w:rFonts w:ascii="Verdana Pro" w:eastAsia="Verdana Pro" w:hAnsi="Verdana Pro" w:cs="Verdana Pro"/>
          <w:sz w:val="22"/>
          <w:szCs w:val="22"/>
        </w:rPr>
        <w:t xml:space="preserve">, el informe indica que </w:t>
      </w:r>
      <w:r w:rsidR="4CA05D08" w:rsidRPr="449377F1">
        <w:rPr>
          <w:rFonts w:ascii="Verdana Pro" w:eastAsia="Verdana Pro" w:hAnsi="Verdana Pro" w:cs="Verdana Pro"/>
          <w:sz w:val="22"/>
          <w:szCs w:val="22"/>
        </w:rPr>
        <w:t>l</w:t>
      </w:r>
      <w:r w:rsidR="16D0F417" w:rsidRPr="449377F1">
        <w:rPr>
          <w:rFonts w:ascii="Verdana Pro" w:eastAsia="Verdana Pro" w:hAnsi="Verdana Pro" w:cs="Verdana Pro"/>
          <w:sz w:val="22"/>
          <w:szCs w:val="22"/>
        </w:rPr>
        <w:t xml:space="preserve">a tabla anterior muestra la evolución de los valores contratados y el número de contratos del sector denominado Infraestructura de Seguridad entre 2021 y 2024, con un total general de $2,59 billones de pesos contratados en 1.648 contratos. En 2021, el valor contratado fue de $654.855 millones de pesos en 528 contratos, con una media contractual de $1.239 millones de pesos. En 2022, el valor contratado disminuyó a </w:t>
      </w:r>
      <w:r w:rsidR="16D0F417" w:rsidRPr="449377F1">
        <w:rPr>
          <w:rFonts w:ascii="Verdana Pro" w:eastAsia="Verdana Pro" w:hAnsi="Verdana Pro" w:cs="Verdana Pro"/>
          <w:sz w:val="22"/>
          <w:szCs w:val="22"/>
        </w:rPr>
        <w:lastRenderedPageBreak/>
        <w:t>$553.835 millones de pesos en 477 contratos, lo que representa una ligera reducción en el número de procesos y el monto total, alcanzando una media de $1.161 millones de pesos por contrato.</w:t>
      </w:r>
    </w:p>
    <w:p w14:paraId="62E8B11F" w14:textId="78644187" w:rsidR="177792B3" w:rsidRDefault="177792B3" w:rsidP="449377F1">
      <w:pPr>
        <w:ind w:left="360"/>
        <w:jc w:val="both"/>
        <w:rPr>
          <w:rFonts w:ascii="Verdana Pro" w:eastAsia="Verdana Pro" w:hAnsi="Verdana Pro" w:cs="Verdana Pro"/>
          <w:sz w:val="22"/>
          <w:szCs w:val="22"/>
        </w:rPr>
      </w:pPr>
    </w:p>
    <w:p w14:paraId="2F168548" w14:textId="61E30E1C" w:rsidR="4EE5BD1E" w:rsidRDefault="16D0F417"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En 2023, se registró el valor más alto de contratación del sector, con $1,26 billones de pesos en 641 contratos, destacando un incremento significativo, en comparación con los años anteriores y una media contractual de $1.968 millones de pesos, lo que indica una mayor concentración de recursos en contratos de mayor valor. Finalmente, en 2024, los valores contratados se redujeron drásticamente a $118.728 millones de pesos en solo 2 contratos, con una media contractual excepcionalmente alta de $59.364 millones de pesos, reflejando una distribución extremadamente concentrada de los recursos en el año más reciente.</w:t>
      </w:r>
    </w:p>
    <w:p w14:paraId="2CB782AC" w14:textId="0B3F76D4" w:rsidR="177792B3" w:rsidRDefault="177792B3" w:rsidP="449377F1">
      <w:pPr>
        <w:ind w:left="360"/>
        <w:jc w:val="both"/>
        <w:rPr>
          <w:rFonts w:ascii="Verdana Pro" w:eastAsia="Verdana Pro" w:hAnsi="Verdana Pro" w:cs="Verdana Pro"/>
          <w:sz w:val="22"/>
          <w:szCs w:val="22"/>
        </w:rPr>
      </w:pPr>
    </w:p>
    <w:p w14:paraId="446D7149" w14:textId="77B30C5B" w:rsidR="4EE5BD1E" w:rsidRDefault="16D0F417"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En términos generales, se observa un crecimiento en 2023 tanto en valor contratado como en el número de contratos en el sector de Infraestructura de Seguridad, seguido de una caída significativa en 2024, donde el número de contratos se redujo drásticamente, mientras que los valores por contrato alcanzaron niveles muy elevados.</w:t>
      </w:r>
    </w:p>
    <w:p w14:paraId="0DC3D274" w14:textId="77777777" w:rsidR="00AC2F35" w:rsidRDefault="00AC2F35" w:rsidP="449377F1">
      <w:pPr>
        <w:ind w:left="360"/>
        <w:rPr>
          <w:rFonts w:ascii="Verdana Pro" w:eastAsia="Verdana Pro" w:hAnsi="Verdana Pro" w:cs="Verdana Pro"/>
          <w:sz w:val="22"/>
          <w:szCs w:val="22"/>
        </w:rPr>
      </w:pPr>
    </w:p>
    <w:p w14:paraId="7408F73C" w14:textId="2C64B5C5" w:rsidR="00F30C7E" w:rsidRDefault="029650C5"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Respecto a las</w:t>
      </w:r>
      <w:r w:rsidR="0F356B2D" w:rsidRPr="449377F1">
        <w:rPr>
          <w:rFonts w:ascii="Verdana Pro" w:eastAsia="Verdana Pro" w:hAnsi="Verdana Pro" w:cs="Verdana Pro"/>
          <w:sz w:val="22"/>
          <w:szCs w:val="22"/>
        </w:rPr>
        <w:t xml:space="preserve"> modalidades de selección </w:t>
      </w:r>
      <w:r w:rsidRPr="449377F1">
        <w:rPr>
          <w:rFonts w:ascii="Verdana Pro" w:eastAsia="Verdana Pro" w:hAnsi="Verdana Pro" w:cs="Verdana Pro"/>
          <w:sz w:val="22"/>
          <w:szCs w:val="22"/>
        </w:rPr>
        <w:t xml:space="preserve">mediante las cuales se adelantaron los procesos de selección para </w:t>
      </w:r>
      <w:r w:rsidR="5CAE769A" w:rsidRPr="449377F1">
        <w:rPr>
          <w:rFonts w:ascii="Verdana Pro" w:eastAsia="Verdana Pro" w:hAnsi="Verdana Pro" w:cs="Verdana Pro"/>
          <w:sz w:val="22"/>
          <w:szCs w:val="22"/>
        </w:rPr>
        <w:t>suscribir los contratos anteriormente referenciados por cada Sector</w:t>
      </w:r>
      <w:r w:rsidR="0F356B2D" w:rsidRPr="449377F1">
        <w:rPr>
          <w:rFonts w:ascii="Verdana Pro" w:eastAsia="Verdana Pro" w:hAnsi="Verdana Pro" w:cs="Verdana Pro"/>
          <w:sz w:val="22"/>
          <w:szCs w:val="22"/>
        </w:rPr>
        <w:t xml:space="preserve">, </w:t>
      </w:r>
      <w:r w:rsidR="0721BB3A" w:rsidRPr="449377F1">
        <w:rPr>
          <w:rFonts w:ascii="Verdana Pro" w:eastAsia="Verdana Pro" w:hAnsi="Verdana Pro" w:cs="Verdana Pro"/>
          <w:sz w:val="22"/>
          <w:szCs w:val="22"/>
        </w:rPr>
        <w:t>se evidencia</w:t>
      </w:r>
      <w:r w:rsidR="5C296FD3" w:rsidRPr="449377F1">
        <w:rPr>
          <w:rFonts w:ascii="Verdana Pro" w:eastAsia="Verdana Pro" w:hAnsi="Verdana Pro" w:cs="Verdana Pro"/>
          <w:sz w:val="22"/>
          <w:szCs w:val="22"/>
        </w:rPr>
        <w:t>:</w:t>
      </w:r>
    </w:p>
    <w:p w14:paraId="7D395AB4" w14:textId="65A7B513" w:rsidR="177792B3" w:rsidRDefault="177792B3" w:rsidP="449377F1">
      <w:pPr>
        <w:ind w:left="360"/>
        <w:jc w:val="both"/>
        <w:rPr>
          <w:rFonts w:ascii="Verdana Pro" w:eastAsia="Verdana Pro" w:hAnsi="Verdana Pro" w:cs="Verdana Pro"/>
          <w:sz w:val="22"/>
          <w:szCs w:val="22"/>
        </w:rPr>
      </w:pPr>
    </w:p>
    <w:p w14:paraId="28B674F2" w14:textId="1614F1EA" w:rsidR="5256420E" w:rsidRDefault="12C3DCC2" w:rsidP="449377F1">
      <w:pPr>
        <w:pStyle w:val="Descripcin"/>
        <w:spacing w:after="0"/>
        <w:jc w:val="both"/>
        <w:rPr>
          <w:rFonts w:ascii="Verdana Pro" w:eastAsia="Verdana Pro" w:hAnsi="Verdana Pro" w:cs="Verdana Pro"/>
          <w:sz w:val="22"/>
          <w:szCs w:val="22"/>
        </w:rPr>
      </w:pPr>
      <w:r w:rsidRPr="449377F1">
        <w:rPr>
          <w:rFonts w:ascii="Verdana Pro" w:eastAsia="Verdana Pro" w:hAnsi="Verdana Pro" w:cs="Verdana Pro"/>
          <w:sz w:val="22"/>
          <w:szCs w:val="22"/>
          <w:lang w:val="es-CO" w:eastAsia="es-CO"/>
        </w:rPr>
        <w:t xml:space="preserve">Gráfica </w:t>
      </w:r>
      <w:r w:rsidR="5256420E" w:rsidRPr="449377F1">
        <w:rPr>
          <w:rFonts w:ascii="Verdana" w:eastAsia="Times New Roman" w:hAnsi="Verdana" w:cs="Arial"/>
          <w:sz w:val="22"/>
          <w:szCs w:val="22"/>
          <w:lang w:val="es-CO" w:eastAsia="es-CO"/>
        </w:rPr>
        <w:fldChar w:fldCharType="begin"/>
      </w:r>
      <w:r w:rsidR="5256420E" w:rsidRPr="449377F1">
        <w:rPr>
          <w:rFonts w:ascii="Verdana" w:eastAsia="Times New Roman" w:hAnsi="Verdana" w:cs="Arial"/>
          <w:sz w:val="22"/>
          <w:szCs w:val="22"/>
          <w:lang w:val="es-CO" w:eastAsia="es-CO"/>
        </w:rPr>
        <w:instrText xml:space="preserve"> SEQ Gráfica \* ARABIC </w:instrText>
      </w:r>
      <w:r w:rsidR="5256420E" w:rsidRPr="449377F1">
        <w:rPr>
          <w:rFonts w:ascii="Verdana" w:eastAsia="Times New Roman" w:hAnsi="Verdana" w:cs="Arial"/>
          <w:sz w:val="22"/>
          <w:szCs w:val="22"/>
          <w:lang w:val="es-CO" w:eastAsia="es-CO"/>
        </w:rPr>
        <w:fldChar w:fldCharType="separate"/>
      </w:r>
      <w:r w:rsidRPr="449377F1">
        <w:rPr>
          <w:rFonts w:ascii="Verdana" w:eastAsia="Times New Roman" w:hAnsi="Verdana" w:cs="Arial"/>
          <w:noProof/>
          <w:sz w:val="22"/>
          <w:szCs w:val="22"/>
          <w:lang w:val="es-CO" w:eastAsia="es-CO"/>
        </w:rPr>
        <w:t>15</w:t>
      </w:r>
      <w:r w:rsidR="5256420E" w:rsidRPr="449377F1">
        <w:rPr>
          <w:rFonts w:ascii="Verdana" w:eastAsia="Times New Roman" w:hAnsi="Verdana" w:cs="Arial"/>
          <w:sz w:val="22"/>
          <w:szCs w:val="22"/>
          <w:lang w:val="es-CO" w:eastAsia="es-CO"/>
        </w:rPr>
        <w:fldChar w:fldCharType="end"/>
      </w:r>
      <w:r w:rsidRPr="449377F1">
        <w:rPr>
          <w:rFonts w:ascii="Verdana Pro" w:eastAsia="Verdana Pro" w:hAnsi="Verdana Pro" w:cs="Verdana Pro"/>
          <w:sz w:val="22"/>
          <w:szCs w:val="22"/>
          <w:lang w:val="es-CO" w:eastAsia="es-CO"/>
        </w:rPr>
        <w:t>.</w:t>
      </w:r>
      <w:r w:rsidR="692D8108" w:rsidRPr="449377F1">
        <w:rPr>
          <w:rFonts w:ascii="Verdana Pro" w:eastAsia="Verdana Pro" w:hAnsi="Verdana Pro" w:cs="Verdana Pro"/>
          <w:sz w:val="22"/>
          <w:szCs w:val="22"/>
        </w:rPr>
        <w:t xml:space="preserve"> Valores y número de contratos por </w:t>
      </w:r>
      <w:r w:rsidR="710AA59D" w:rsidRPr="449377F1">
        <w:rPr>
          <w:rFonts w:ascii="Verdana Pro" w:eastAsia="Verdana Pro" w:hAnsi="Verdana Pro" w:cs="Verdana Pro"/>
          <w:sz w:val="22"/>
          <w:szCs w:val="22"/>
        </w:rPr>
        <w:t>modalidad de contratación vigencia</w:t>
      </w:r>
      <w:r w:rsidR="692D8108" w:rsidRPr="449377F1">
        <w:rPr>
          <w:rFonts w:ascii="Verdana Pro" w:eastAsia="Verdana Pro" w:hAnsi="Verdana Pro" w:cs="Verdana Pro"/>
          <w:sz w:val="22"/>
          <w:szCs w:val="22"/>
        </w:rPr>
        <w:t>s 2021, 2022, 2023 y parte del 2024, Sector Social</w:t>
      </w:r>
    </w:p>
    <w:p w14:paraId="47E581A9" w14:textId="77777777" w:rsidR="00274FC4" w:rsidRDefault="00274FC4" w:rsidP="00274FC4">
      <w:pPr>
        <w:rPr>
          <w:rFonts w:eastAsia="Verdana Pro"/>
          <w:lang w:val="es-ES" w:eastAsia="en-US"/>
        </w:rPr>
      </w:pPr>
    </w:p>
    <w:p w14:paraId="11B0EEB4" w14:textId="0EAD830F" w:rsidR="449377F1" w:rsidRDefault="449377F1" w:rsidP="449377F1"/>
    <w:tbl>
      <w:tblPr>
        <w:tblW w:w="0" w:type="auto"/>
        <w:jc w:val="center"/>
        <w:tblLayout w:type="fixed"/>
        <w:tblLook w:val="06A0" w:firstRow="1" w:lastRow="0" w:firstColumn="1" w:lastColumn="0" w:noHBand="1" w:noVBand="1"/>
      </w:tblPr>
      <w:tblGrid>
        <w:gridCol w:w="4050"/>
        <w:gridCol w:w="2908"/>
        <w:gridCol w:w="1472"/>
      </w:tblGrid>
      <w:tr w:rsidR="449377F1" w14:paraId="3F837A2B" w14:textId="77777777" w:rsidTr="449377F1">
        <w:trPr>
          <w:trHeight w:val="300"/>
          <w:jc w:val="center"/>
        </w:trPr>
        <w:tc>
          <w:tcPr>
            <w:tcW w:w="4050" w:type="dxa"/>
            <w:tcBorders>
              <w:top w:val="nil"/>
              <w:left w:val="nil"/>
              <w:bottom w:val="nil"/>
              <w:right w:val="nil"/>
            </w:tcBorders>
            <w:shd w:val="clear" w:color="auto" w:fill="D9E1F2"/>
            <w:tcMar>
              <w:top w:w="15" w:type="dxa"/>
              <w:left w:w="15" w:type="dxa"/>
              <w:right w:w="15" w:type="dxa"/>
            </w:tcMar>
            <w:vAlign w:val="bottom"/>
          </w:tcPr>
          <w:p w14:paraId="407A7965" w14:textId="5E921ACA" w:rsidR="1B40699D" w:rsidRDefault="1B40699D" w:rsidP="449377F1">
            <w:r w:rsidRPr="449377F1">
              <w:rPr>
                <w:rFonts w:ascii="Verdana Pro" w:eastAsia="Verdana Pro" w:hAnsi="Verdana Pro" w:cs="Verdana Pro"/>
                <w:b/>
                <w:bCs/>
                <w:color w:val="000000" w:themeColor="text1"/>
                <w:sz w:val="22"/>
                <w:szCs w:val="22"/>
              </w:rPr>
              <w:t>Modalidad / Vigencia</w:t>
            </w:r>
          </w:p>
        </w:tc>
        <w:tc>
          <w:tcPr>
            <w:tcW w:w="2908" w:type="dxa"/>
            <w:tcBorders>
              <w:top w:val="nil"/>
              <w:left w:val="nil"/>
              <w:bottom w:val="nil"/>
              <w:right w:val="nil"/>
            </w:tcBorders>
            <w:shd w:val="clear" w:color="auto" w:fill="D9E1F2"/>
            <w:tcMar>
              <w:top w:w="15" w:type="dxa"/>
              <w:left w:w="15" w:type="dxa"/>
              <w:right w:w="15" w:type="dxa"/>
            </w:tcMar>
            <w:vAlign w:val="bottom"/>
          </w:tcPr>
          <w:p w14:paraId="11629633" w14:textId="226DAFD4"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w:t>
            </w:r>
          </w:p>
        </w:tc>
        <w:tc>
          <w:tcPr>
            <w:tcW w:w="1472" w:type="dxa"/>
            <w:tcBorders>
              <w:top w:val="nil"/>
              <w:left w:val="nil"/>
              <w:bottom w:val="nil"/>
              <w:right w:val="nil"/>
            </w:tcBorders>
            <w:shd w:val="clear" w:color="auto" w:fill="D9E1F2"/>
            <w:tcMar>
              <w:top w:w="15" w:type="dxa"/>
              <w:left w:w="15" w:type="dxa"/>
              <w:right w:w="15" w:type="dxa"/>
            </w:tcMar>
            <w:vAlign w:val="bottom"/>
          </w:tcPr>
          <w:p w14:paraId="319E85C9" w14:textId="02E6C2B7" w:rsidR="1CF040AE" w:rsidRDefault="1CF040AE"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 </w:t>
            </w:r>
            <w:r w:rsidR="449377F1" w:rsidRPr="449377F1">
              <w:rPr>
                <w:rFonts w:ascii="Verdana Pro" w:eastAsia="Verdana Pro" w:hAnsi="Verdana Pro" w:cs="Verdana Pro"/>
                <w:b/>
                <w:bCs/>
                <w:color w:val="000000" w:themeColor="text1"/>
                <w:sz w:val="22"/>
                <w:szCs w:val="22"/>
              </w:rPr>
              <w:t>Contrato</w:t>
            </w:r>
          </w:p>
        </w:tc>
      </w:tr>
      <w:tr w:rsidR="449377F1" w14:paraId="30080468" w14:textId="77777777" w:rsidTr="449377F1">
        <w:trPr>
          <w:trHeight w:val="300"/>
          <w:jc w:val="center"/>
        </w:trPr>
        <w:tc>
          <w:tcPr>
            <w:tcW w:w="4050" w:type="dxa"/>
            <w:tcBorders>
              <w:top w:val="nil"/>
              <w:left w:val="nil"/>
              <w:bottom w:val="nil"/>
              <w:right w:val="nil"/>
            </w:tcBorders>
            <w:tcMar>
              <w:top w:w="15" w:type="dxa"/>
              <w:left w:w="15" w:type="dxa"/>
              <w:right w:w="15" w:type="dxa"/>
            </w:tcMar>
            <w:vAlign w:val="bottom"/>
          </w:tcPr>
          <w:p w14:paraId="3DDE7A4A" w14:textId="2EC4A67C"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2908" w:type="dxa"/>
            <w:tcBorders>
              <w:top w:val="nil"/>
              <w:left w:val="nil"/>
              <w:bottom w:val="nil"/>
              <w:right w:val="nil"/>
            </w:tcBorders>
            <w:tcMar>
              <w:top w:w="15" w:type="dxa"/>
              <w:left w:w="15" w:type="dxa"/>
              <w:right w:w="15" w:type="dxa"/>
            </w:tcMar>
            <w:vAlign w:val="bottom"/>
          </w:tcPr>
          <w:p w14:paraId="4FAAC995" w14:textId="1E5A4882"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$45.574.210.679 </w:t>
            </w:r>
          </w:p>
        </w:tc>
        <w:tc>
          <w:tcPr>
            <w:tcW w:w="1472" w:type="dxa"/>
            <w:tcBorders>
              <w:top w:val="nil"/>
              <w:left w:val="nil"/>
              <w:bottom w:val="nil"/>
              <w:right w:val="nil"/>
            </w:tcBorders>
            <w:tcMar>
              <w:top w:w="15" w:type="dxa"/>
              <w:left w:w="15" w:type="dxa"/>
              <w:right w:w="15" w:type="dxa"/>
            </w:tcMar>
            <w:vAlign w:val="bottom"/>
          </w:tcPr>
          <w:p w14:paraId="5D70A73E" w14:textId="009F23D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91</w:t>
            </w:r>
          </w:p>
        </w:tc>
      </w:tr>
      <w:tr w:rsidR="449377F1" w14:paraId="64612FD8"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566F92C6" w14:textId="6332A77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2908" w:type="dxa"/>
            <w:tcBorders>
              <w:top w:val="nil"/>
              <w:left w:val="nil"/>
              <w:bottom w:val="nil"/>
              <w:right w:val="nil"/>
            </w:tcBorders>
            <w:tcMar>
              <w:top w:w="15" w:type="dxa"/>
              <w:left w:w="15" w:type="dxa"/>
              <w:right w:w="15" w:type="dxa"/>
            </w:tcMar>
            <w:vAlign w:val="bottom"/>
          </w:tcPr>
          <w:p w14:paraId="6D7D72DB" w14:textId="2E4F496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$279.972.190 </w:t>
            </w:r>
          </w:p>
        </w:tc>
        <w:tc>
          <w:tcPr>
            <w:tcW w:w="1472" w:type="dxa"/>
            <w:tcBorders>
              <w:top w:val="nil"/>
              <w:left w:val="nil"/>
              <w:bottom w:val="nil"/>
              <w:right w:val="nil"/>
            </w:tcBorders>
            <w:tcMar>
              <w:top w:w="15" w:type="dxa"/>
              <w:left w:w="15" w:type="dxa"/>
              <w:right w:w="15" w:type="dxa"/>
            </w:tcMar>
            <w:vAlign w:val="bottom"/>
          </w:tcPr>
          <w:p w14:paraId="2849FF4D" w14:textId="622D1716"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2EF48DF5"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73F6F655" w14:textId="0837488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2908" w:type="dxa"/>
            <w:tcBorders>
              <w:top w:val="nil"/>
              <w:left w:val="nil"/>
              <w:bottom w:val="nil"/>
              <w:right w:val="nil"/>
            </w:tcBorders>
            <w:tcMar>
              <w:top w:w="15" w:type="dxa"/>
              <w:left w:w="15" w:type="dxa"/>
              <w:right w:w="15" w:type="dxa"/>
            </w:tcMar>
            <w:vAlign w:val="bottom"/>
          </w:tcPr>
          <w:p w14:paraId="6676BB5B" w14:textId="413268E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$50.000.000 </w:t>
            </w:r>
          </w:p>
        </w:tc>
        <w:tc>
          <w:tcPr>
            <w:tcW w:w="1472" w:type="dxa"/>
            <w:tcBorders>
              <w:top w:val="nil"/>
              <w:left w:val="nil"/>
              <w:bottom w:val="nil"/>
              <w:right w:val="nil"/>
            </w:tcBorders>
            <w:tcMar>
              <w:top w:w="15" w:type="dxa"/>
              <w:left w:w="15" w:type="dxa"/>
              <w:right w:w="15" w:type="dxa"/>
            </w:tcMar>
            <w:vAlign w:val="bottom"/>
          </w:tcPr>
          <w:p w14:paraId="3A47FFA9" w14:textId="3AA05815"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4B14F403"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7E4B69A8" w14:textId="5138693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2908" w:type="dxa"/>
            <w:tcBorders>
              <w:top w:val="nil"/>
              <w:left w:val="nil"/>
              <w:bottom w:val="nil"/>
              <w:right w:val="nil"/>
            </w:tcBorders>
            <w:tcMar>
              <w:top w:w="15" w:type="dxa"/>
              <w:left w:w="15" w:type="dxa"/>
              <w:right w:w="15" w:type="dxa"/>
            </w:tcMar>
            <w:vAlign w:val="bottom"/>
          </w:tcPr>
          <w:p w14:paraId="23D672F3" w14:textId="64FC62E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$45.244.238.489 </w:t>
            </w:r>
          </w:p>
        </w:tc>
        <w:tc>
          <w:tcPr>
            <w:tcW w:w="1472" w:type="dxa"/>
            <w:tcBorders>
              <w:top w:val="nil"/>
              <w:left w:val="nil"/>
              <w:bottom w:val="nil"/>
              <w:right w:val="nil"/>
            </w:tcBorders>
            <w:tcMar>
              <w:top w:w="15" w:type="dxa"/>
              <w:left w:w="15" w:type="dxa"/>
              <w:right w:w="15" w:type="dxa"/>
            </w:tcMar>
            <w:vAlign w:val="bottom"/>
          </w:tcPr>
          <w:p w14:paraId="30C69AE1" w14:textId="6EE59295"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89</w:t>
            </w:r>
          </w:p>
        </w:tc>
      </w:tr>
      <w:tr w:rsidR="449377F1" w14:paraId="37706FA5"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255F87C8" w14:textId="4B8C6994"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2908" w:type="dxa"/>
            <w:tcBorders>
              <w:top w:val="nil"/>
              <w:left w:val="nil"/>
              <w:bottom w:val="nil"/>
              <w:right w:val="nil"/>
            </w:tcBorders>
            <w:tcMar>
              <w:top w:w="15" w:type="dxa"/>
              <w:left w:w="15" w:type="dxa"/>
              <w:right w:w="15" w:type="dxa"/>
            </w:tcMar>
            <w:vAlign w:val="bottom"/>
          </w:tcPr>
          <w:p w14:paraId="372B59BC" w14:textId="62516D5E"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$283.148.224.609 </w:t>
            </w:r>
          </w:p>
        </w:tc>
        <w:tc>
          <w:tcPr>
            <w:tcW w:w="1472" w:type="dxa"/>
            <w:tcBorders>
              <w:top w:val="nil"/>
              <w:left w:val="nil"/>
              <w:bottom w:val="nil"/>
              <w:right w:val="nil"/>
            </w:tcBorders>
            <w:tcMar>
              <w:top w:w="15" w:type="dxa"/>
              <w:left w:w="15" w:type="dxa"/>
              <w:right w:w="15" w:type="dxa"/>
            </w:tcMar>
            <w:vAlign w:val="bottom"/>
          </w:tcPr>
          <w:p w14:paraId="48768EEB" w14:textId="60F7F321"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8982</w:t>
            </w:r>
          </w:p>
        </w:tc>
      </w:tr>
      <w:tr w:rsidR="449377F1" w14:paraId="17DAF9D8" w14:textId="77777777" w:rsidTr="449377F1">
        <w:trPr>
          <w:trHeight w:val="300"/>
          <w:jc w:val="center"/>
        </w:trPr>
        <w:tc>
          <w:tcPr>
            <w:tcW w:w="4050" w:type="dxa"/>
            <w:tcBorders>
              <w:top w:val="nil"/>
              <w:left w:val="nil"/>
              <w:bottom w:val="nil"/>
              <w:right w:val="nil"/>
            </w:tcBorders>
            <w:tcMar>
              <w:top w:w="15" w:type="dxa"/>
              <w:left w:w="15" w:type="dxa"/>
              <w:right w:w="15" w:type="dxa"/>
            </w:tcMar>
            <w:vAlign w:val="bottom"/>
          </w:tcPr>
          <w:p w14:paraId="03F43D36" w14:textId="3894ED6C" w:rsidR="449377F1" w:rsidRDefault="00274FC4" w:rsidP="449377F1">
            <w:pPr>
              <w:rPr>
                <w:rFonts w:ascii="Verdana Pro" w:eastAsia="Verdana Pro" w:hAnsi="Verdana Pro" w:cs="Verdana Pro"/>
                <w:color w:val="000000" w:themeColor="text1"/>
                <w:sz w:val="22"/>
                <w:szCs w:val="22"/>
              </w:rPr>
            </w:pPr>
            <w:r>
              <w:rPr>
                <w:rFonts w:ascii="Verdana Pro" w:eastAsia="Verdana Pro" w:hAnsi="Verdana Pro" w:cs="Verdana Pro"/>
                <w:color w:val="000000" w:themeColor="text1"/>
                <w:sz w:val="22"/>
                <w:szCs w:val="22"/>
              </w:rPr>
              <w:t xml:space="preserve">  </w:t>
            </w:r>
            <w:r w:rsidR="449377F1" w:rsidRPr="449377F1">
              <w:rPr>
                <w:rFonts w:ascii="Verdana Pro" w:eastAsia="Verdana Pro" w:hAnsi="Verdana Pro" w:cs="Verdana Pro"/>
                <w:color w:val="000000" w:themeColor="text1"/>
                <w:sz w:val="22"/>
                <w:szCs w:val="22"/>
              </w:rPr>
              <w:t>2021</w:t>
            </w:r>
          </w:p>
        </w:tc>
        <w:tc>
          <w:tcPr>
            <w:tcW w:w="2908" w:type="dxa"/>
            <w:tcBorders>
              <w:top w:val="nil"/>
              <w:left w:val="nil"/>
              <w:bottom w:val="nil"/>
              <w:right w:val="nil"/>
            </w:tcBorders>
            <w:tcMar>
              <w:top w:w="15" w:type="dxa"/>
              <w:left w:w="15" w:type="dxa"/>
              <w:right w:w="15" w:type="dxa"/>
            </w:tcMar>
            <w:vAlign w:val="bottom"/>
          </w:tcPr>
          <w:p w14:paraId="08990A0D" w14:textId="334744B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$97.477.336.687 </w:t>
            </w:r>
          </w:p>
        </w:tc>
        <w:tc>
          <w:tcPr>
            <w:tcW w:w="1472" w:type="dxa"/>
            <w:tcBorders>
              <w:top w:val="nil"/>
              <w:left w:val="nil"/>
              <w:bottom w:val="nil"/>
              <w:right w:val="nil"/>
            </w:tcBorders>
            <w:tcMar>
              <w:top w:w="15" w:type="dxa"/>
              <w:left w:w="15" w:type="dxa"/>
              <w:right w:w="15" w:type="dxa"/>
            </w:tcMar>
            <w:vAlign w:val="bottom"/>
          </w:tcPr>
          <w:p w14:paraId="3EE9F5FA" w14:textId="5EB655F6"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3038</w:t>
            </w:r>
          </w:p>
        </w:tc>
      </w:tr>
      <w:tr w:rsidR="449377F1" w14:paraId="0E16C95E"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3CEECFDF" w14:textId="3B10B4A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2908" w:type="dxa"/>
            <w:tcBorders>
              <w:top w:val="nil"/>
              <w:left w:val="nil"/>
              <w:bottom w:val="nil"/>
              <w:right w:val="nil"/>
            </w:tcBorders>
            <w:tcMar>
              <w:top w:w="15" w:type="dxa"/>
              <w:left w:w="15" w:type="dxa"/>
              <w:right w:w="15" w:type="dxa"/>
            </w:tcMar>
            <w:vAlign w:val="bottom"/>
          </w:tcPr>
          <w:p w14:paraId="57BFB749" w14:textId="657AF98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$83.166.323.397 </w:t>
            </w:r>
          </w:p>
        </w:tc>
        <w:tc>
          <w:tcPr>
            <w:tcW w:w="1472" w:type="dxa"/>
            <w:tcBorders>
              <w:top w:val="nil"/>
              <w:left w:val="nil"/>
              <w:bottom w:val="nil"/>
              <w:right w:val="nil"/>
            </w:tcBorders>
            <w:tcMar>
              <w:top w:w="15" w:type="dxa"/>
              <w:left w:w="15" w:type="dxa"/>
              <w:right w:w="15" w:type="dxa"/>
            </w:tcMar>
            <w:vAlign w:val="bottom"/>
          </w:tcPr>
          <w:p w14:paraId="1244E507" w14:textId="31A3D5F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2977</w:t>
            </w:r>
          </w:p>
        </w:tc>
      </w:tr>
      <w:tr w:rsidR="449377F1" w14:paraId="50808D92"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693EE482" w14:textId="0A4C4BC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2908" w:type="dxa"/>
            <w:tcBorders>
              <w:top w:val="nil"/>
              <w:left w:val="nil"/>
              <w:bottom w:val="nil"/>
              <w:right w:val="nil"/>
            </w:tcBorders>
            <w:tcMar>
              <w:top w:w="15" w:type="dxa"/>
              <w:left w:w="15" w:type="dxa"/>
              <w:right w:w="15" w:type="dxa"/>
            </w:tcMar>
            <w:vAlign w:val="bottom"/>
          </w:tcPr>
          <w:p w14:paraId="78E0CC8F" w14:textId="0954DF9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$88.467.114.043 </w:t>
            </w:r>
          </w:p>
        </w:tc>
        <w:tc>
          <w:tcPr>
            <w:tcW w:w="1472" w:type="dxa"/>
            <w:tcBorders>
              <w:top w:val="nil"/>
              <w:left w:val="nil"/>
              <w:bottom w:val="nil"/>
              <w:right w:val="nil"/>
            </w:tcBorders>
            <w:tcMar>
              <w:top w:w="15" w:type="dxa"/>
              <w:left w:w="15" w:type="dxa"/>
              <w:right w:w="15" w:type="dxa"/>
            </w:tcMar>
            <w:vAlign w:val="bottom"/>
          </w:tcPr>
          <w:p w14:paraId="419DB287" w14:textId="78E05E5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2568</w:t>
            </w:r>
          </w:p>
        </w:tc>
      </w:tr>
      <w:tr w:rsidR="449377F1" w14:paraId="100CA09E"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5BE7A750" w14:textId="7E8AFE0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2908" w:type="dxa"/>
            <w:tcBorders>
              <w:top w:val="nil"/>
              <w:left w:val="nil"/>
              <w:bottom w:val="nil"/>
              <w:right w:val="nil"/>
            </w:tcBorders>
            <w:tcMar>
              <w:top w:w="15" w:type="dxa"/>
              <w:left w:w="15" w:type="dxa"/>
              <w:right w:w="15" w:type="dxa"/>
            </w:tcMar>
            <w:vAlign w:val="bottom"/>
          </w:tcPr>
          <w:p w14:paraId="163407A7" w14:textId="282FADE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$14.037.450.482 </w:t>
            </w:r>
          </w:p>
        </w:tc>
        <w:tc>
          <w:tcPr>
            <w:tcW w:w="1472" w:type="dxa"/>
            <w:tcBorders>
              <w:top w:val="nil"/>
              <w:left w:val="nil"/>
              <w:bottom w:val="nil"/>
              <w:right w:val="nil"/>
            </w:tcBorders>
            <w:tcMar>
              <w:top w:w="15" w:type="dxa"/>
              <w:left w:w="15" w:type="dxa"/>
              <w:right w:w="15" w:type="dxa"/>
            </w:tcMar>
            <w:vAlign w:val="bottom"/>
          </w:tcPr>
          <w:p w14:paraId="32AA4BA0" w14:textId="72DBD96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399</w:t>
            </w:r>
          </w:p>
        </w:tc>
      </w:tr>
      <w:tr w:rsidR="449377F1" w14:paraId="22C730C5"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292BD157" w14:textId="67B0E736"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lastRenderedPageBreak/>
              <w:t>Convenios dos Partes</w:t>
            </w:r>
          </w:p>
        </w:tc>
        <w:tc>
          <w:tcPr>
            <w:tcW w:w="2908" w:type="dxa"/>
            <w:tcBorders>
              <w:top w:val="nil"/>
              <w:left w:val="nil"/>
              <w:bottom w:val="nil"/>
              <w:right w:val="nil"/>
            </w:tcBorders>
            <w:tcMar>
              <w:top w:w="15" w:type="dxa"/>
              <w:left w:w="15" w:type="dxa"/>
              <w:right w:w="15" w:type="dxa"/>
            </w:tcMar>
            <w:vAlign w:val="bottom"/>
          </w:tcPr>
          <w:p w14:paraId="5349D6A0" w14:textId="0F4FAFF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$105.402.439.486 </w:t>
            </w:r>
          </w:p>
        </w:tc>
        <w:tc>
          <w:tcPr>
            <w:tcW w:w="1472" w:type="dxa"/>
            <w:tcBorders>
              <w:top w:val="nil"/>
              <w:left w:val="nil"/>
              <w:bottom w:val="nil"/>
              <w:right w:val="nil"/>
            </w:tcBorders>
            <w:tcMar>
              <w:top w:w="15" w:type="dxa"/>
              <w:left w:w="15" w:type="dxa"/>
              <w:right w:w="15" w:type="dxa"/>
            </w:tcMar>
            <w:vAlign w:val="bottom"/>
          </w:tcPr>
          <w:p w14:paraId="6EDA0363" w14:textId="71DEFCB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35</w:t>
            </w:r>
          </w:p>
        </w:tc>
      </w:tr>
      <w:tr w:rsidR="449377F1" w14:paraId="7C41949D" w14:textId="77777777" w:rsidTr="449377F1">
        <w:trPr>
          <w:trHeight w:val="300"/>
          <w:jc w:val="center"/>
        </w:trPr>
        <w:tc>
          <w:tcPr>
            <w:tcW w:w="4050" w:type="dxa"/>
            <w:tcBorders>
              <w:top w:val="nil"/>
              <w:left w:val="nil"/>
              <w:bottom w:val="nil"/>
              <w:right w:val="nil"/>
            </w:tcBorders>
            <w:tcMar>
              <w:top w:w="15" w:type="dxa"/>
              <w:left w:w="15" w:type="dxa"/>
              <w:right w:w="15" w:type="dxa"/>
            </w:tcMar>
            <w:vAlign w:val="bottom"/>
          </w:tcPr>
          <w:p w14:paraId="2CB0AE2C" w14:textId="1A80750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2021</w:t>
            </w:r>
          </w:p>
        </w:tc>
        <w:tc>
          <w:tcPr>
            <w:tcW w:w="2908" w:type="dxa"/>
            <w:tcBorders>
              <w:top w:val="nil"/>
              <w:left w:val="nil"/>
              <w:bottom w:val="nil"/>
              <w:right w:val="nil"/>
            </w:tcBorders>
            <w:tcMar>
              <w:top w:w="15" w:type="dxa"/>
              <w:left w:w="15" w:type="dxa"/>
              <w:right w:w="15" w:type="dxa"/>
            </w:tcMar>
            <w:vAlign w:val="bottom"/>
          </w:tcPr>
          <w:p w14:paraId="613F0B98" w14:textId="215FBDE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$2.973.745.078 </w:t>
            </w:r>
          </w:p>
        </w:tc>
        <w:tc>
          <w:tcPr>
            <w:tcW w:w="1472" w:type="dxa"/>
            <w:tcBorders>
              <w:top w:val="nil"/>
              <w:left w:val="nil"/>
              <w:bottom w:val="nil"/>
              <w:right w:val="nil"/>
            </w:tcBorders>
            <w:tcMar>
              <w:top w:w="15" w:type="dxa"/>
              <w:left w:w="15" w:type="dxa"/>
              <w:right w:w="15" w:type="dxa"/>
            </w:tcMar>
            <w:vAlign w:val="bottom"/>
          </w:tcPr>
          <w:p w14:paraId="59B60E0F" w14:textId="1677B29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w:t>
            </w:r>
          </w:p>
        </w:tc>
      </w:tr>
      <w:tr w:rsidR="449377F1" w14:paraId="3F3638C3"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2925C4A9" w14:textId="1099594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2908" w:type="dxa"/>
            <w:tcBorders>
              <w:top w:val="nil"/>
              <w:left w:val="nil"/>
              <w:bottom w:val="nil"/>
              <w:right w:val="nil"/>
            </w:tcBorders>
            <w:tcMar>
              <w:top w:w="15" w:type="dxa"/>
              <w:left w:w="15" w:type="dxa"/>
              <w:right w:w="15" w:type="dxa"/>
            </w:tcMar>
            <w:vAlign w:val="bottom"/>
          </w:tcPr>
          <w:p w14:paraId="020E3762" w14:textId="2547A4D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$603.314.451 </w:t>
            </w:r>
          </w:p>
        </w:tc>
        <w:tc>
          <w:tcPr>
            <w:tcW w:w="1472" w:type="dxa"/>
            <w:tcBorders>
              <w:top w:val="nil"/>
              <w:left w:val="nil"/>
              <w:bottom w:val="nil"/>
              <w:right w:val="nil"/>
            </w:tcBorders>
            <w:tcMar>
              <w:top w:w="15" w:type="dxa"/>
              <w:left w:w="15" w:type="dxa"/>
              <w:right w:w="15" w:type="dxa"/>
            </w:tcMar>
            <w:vAlign w:val="bottom"/>
          </w:tcPr>
          <w:p w14:paraId="689E05F4" w14:textId="00CE693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w:t>
            </w:r>
          </w:p>
        </w:tc>
      </w:tr>
      <w:tr w:rsidR="449377F1" w14:paraId="42005E03"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79653A70" w14:textId="149D15E0"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2908" w:type="dxa"/>
            <w:tcBorders>
              <w:top w:val="nil"/>
              <w:left w:val="nil"/>
              <w:bottom w:val="nil"/>
              <w:right w:val="nil"/>
            </w:tcBorders>
            <w:tcMar>
              <w:top w:w="15" w:type="dxa"/>
              <w:left w:w="15" w:type="dxa"/>
              <w:right w:w="15" w:type="dxa"/>
            </w:tcMar>
            <w:vAlign w:val="bottom"/>
          </w:tcPr>
          <w:p w14:paraId="4E773912" w14:textId="2A91606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$101.825.379.957 </w:t>
            </w:r>
          </w:p>
        </w:tc>
        <w:tc>
          <w:tcPr>
            <w:tcW w:w="1472" w:type="dxa"/>
            <w:tcBorders>
              <w:top w:val="nil"/>
              <w:left w:val="nil"/>
              <w:bottom w:val="nil"/>
              <w:right w:val="nil"/>
            </w:tcBorders>
            <w:tcMar>
              <w:top w:w="15" w:type="dxa"/>
              <w:left w:w="15" w:type="dxa"/>
              <w:right w:w="15" w:type="dxa"/>
            </w:tcMar>
            <w:vAlign w:val="bottom"/>
          </w:tcPr>
          <w:p w14:paraId="77AB4F4A" w14:textId="29FE20C5"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18</w:t>
            </w:r>
          </w:p>
        </w:tc>
      </w:tr>
      <w:tr w:rsidR="449377F1" w14:paraId="6B44212D"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07A8FBDE" w14:textId="424A6D05"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2908" w:type="dxa"/>
            <w:tcBorders>
              <w:top w:val="nil"/>
              <w:left w:val="nil"/>
              <w:bottom w:val="nil"/>
              <w:right w:val="nil"/>
            </w:tcBorders>
            <w:tcMar>
              <w:top w:w="15" w:type="dxa"/>
              <w:left w:w="15" w:type="dxa"/>
              <w:right w:w="15" w:type="dxa"/>
            </w:tcMar>
            <w:vAlign w:val="bottom"/>
          </w:tcPr>
          <w:p w14:paraId="396E2B82" w14:textId="4B2263A3"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$19.803.534.760.057 </w:t>
            </w:r>
          </w:p>
        </w:tc>
        <w:tc>
          <w:tcPr>
            <w:tcW w:w="1472" w:type="dxa"/>
            <w:tcBorders>
              <w:top w:val="nil"/>
              <w:left w:val="nil"/>
              <w:bottom w:val="nil"/>
              <w:right w:val="nil"/>
            </w:tcBorders>
            <w:tcMar>
              <w:top w:w="15" w:type="dxa"/>
              <w:left w:w="15" w:type="dxa"/>
              <w:right w:w="15" w:type="dxa"/>
            </w:tcMar>
            <w:vAlign w:val="bottom"/>
          </w:tcPr>
          <w:p w14:paraId="09F49E80" w14:textId="64D8D724"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4812</w:t>
            </w:r>
          </w:p>
        </w:tc>
      </w:tr>
      <w:tr w:rsidR="449377F1" w14:paraId="6A24E086" w14:textId="77777777" w:rsidTr="449377F1">
        <w:trPr>
          <w:trHeight w:val="300"/>
          <w:jc w:val="center"/>
        </w:trPr>
        <w:tc>
          <w:tcPr>
            <w:tcW w:w="4050" w:type="dxa"/>
            <w:tcBorders>
              <w:top w:val="nil"/>
              <w:left w:val="nil"/>
              <w:bottom w:val="nil"/>
              <w:right w:val="nil"/>
            </w:tcBorders>
            <w:tcMar>
              <w:top w:w="15" w:type="dxa"/>
              <w:left w:w="15" w:type="dxa"/>
              <w:right w:w="15" w:type="dxa"/>
            </w:tcMar>
            <w:vAlign w:val="bottom"/>
          </w:tcPr>
          <w:p w14:paraId="2C375F44" w14:textId="1A90731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2021</w:t>
            </w:r>
          </w:p>
        </w:tc>
        <w:tc>
          <w:tcPr>
            <w:tcW w:w="2908" w:type="dxa"/>
            <w:tcBorders>
              <w:top w:val="nil"/>
              <w:left w:val="nil"/>
              <w:bottom w:val="nil"/>
              <w:right w:val="nil"/>
            </w:tcBorders>
            <w:tcMar>
              <w:top w:w="15" w:type="dxa"/>
              <w:left w:w="15" w:type="dxa"/>
              <w:right w:w="15" w:type="dxa"/>
            </w:tcMar>
            <w:vAlign w:val="bottom"/>
          </w:tcPr>
          <w:p w14:paraId="3321DAA3" w14:textId="0924F4A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$5.765.348.663.862 </w:t>
            </w:r>
          </w:p>
        </w:tc>
        <w:tc>
          <w:tcPr>
            <w:tcW w:w="1472" w:type="dxa"/>
            <w:tcBorders>
              <w:top w:val="nil"/>
              <w:left w:val="nil"/>
              <w:bottom w:val="nil"/>
              <w:right w:val="nil"/>
            </w:tcBorders>
            <w:tcMar>
              <w:top w:w="15" w:type="dxa"/>
              <w:left w:w="15" w:type="dxa"/>
              <w:right w:w="15" w:type="dxa"/>
            </w:tcMar>
            <w:vAlign w:val="bottom"/>
          </w:tcPr>
          <w:p w14:paraId="79BD05F5" w14:textId="6589890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1534</w:t>
            </w:r>
          </w:p>
        </w:tc>
      </w:tr>
      <w:tr w:rsidR="449377F1" w14:paraId="2B952F56"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4D2E3C31" w14:textId="71A6311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2908" w:type="dxa"/>
            <w:tcBorders>
              <w:top w:val="nil"/>
              <w:left w:val="nil"/>
              <w:bottom w:val="nil"/>
              <w:right w:val="nil"/>
            </w:tcBorders>
            <w:tcMar>
              <w:top w:w="15" w:type="dxa"/>
              <w:left w:w="15" w:type="dxa"/>
              <w:right w:w="15" w:type="dxa"/>
            </w:tcMar>
            <w:vAlign w:val="bottom"/>
          </w:tcPr>
          <w:p w14:paraId="4A88CA40" w14:textId="2223F26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$6.348.652.563.976 </w:t>
            </w:r>
          </w:p>
        </w:tc>
        <w:tc>
          <w:tcPr>
            <w:tcW w:w="1472" w:type="dxa"/>
            <w:tcBorders>
              <w:top w:val="nil"/>
              <w:left w:val="nil"/>
              <w:bottom w:val="nil"/>
              <w:right w:val="nil"/>
            </w:tcBorders>
            <w:tcMar>
              <w:top w:w="15" w:type="dxa"/>
              <w:left w:w="15" w:type="dxa"/>
              <w:right w:w="15" w:type="dxa"/>
            </w:tcMar>
            <w:vAlign w:val="bottom"/>
          </w:tcPr>
          <w:p w14:paraId="13998267" w14:textId="70B95C0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1624</w:t>
            </w:r>
          </w:p>
        </w:tc>
      </w:tr>
      <w:tr w:rsidR="449377F1" w14:paraId="31F7EFE1"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3F44944C" w14:textId="4CC6A6C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2908" w:type="dxa"/>
            <w:tcBorders>
              <w:top w:val="nil"/>
              <w:left w:val="nil"/>
              <w:bottom w:val="nil"/>
              <w:right w:val="nil"/>
            </w:tcBorders>
            <w:tcMar>
              <w:top w:w="15" w:type="dxa"/>
              <w:left w:w="15" w:type="dxa"/>
              <w:right w:w="15" w:type="dxa"/>
            </w:tcMar>
            <w:vAlign w:val="bottom"/>
          </w:tcPr>
          <w:p w14:paraId="07DA45C2" w14:textId="6B82A7E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$7.230.613.204.447 </w:t>
            </w:r>
          </w:p>
        </w:tc>
        <w:tc>
          <w:tcPr>
            <w:tcW w:w="1472" w:type="dxa"/>
            <w:tcBorders>
              <w:top w:val="nil"/>
              <w:left w:val="nil"/>
              <w:bottom w:val="nil"/>
              <w:right w:val="nil"/>
            </w:tcBorders>
            <w:tcMar>
              <w:top w:w="15" w:type="dxa"/>
              <w:left w:w="15" w:type="dxa"/>
              <w:right w:w="15" w:type="dxa"/>
            </w:tcMar>
            <w:vAlign w:val="bottom"/>
          </w:tcPr>
          <w:p w14:paraId="6630EC3B" w14:textId="0F9E024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1573</w:t>
            </w:r>
          </w:p>
        </w:tc>
      </w:tr>
      <w:tr w:rsidR="449377F1" w14:paraId="7581FCDF"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24F8FAC5" w14:textId="26F1465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2908" w:type="dxa"/>
            <w:tcBorders>
              <w:top w:val="nil"/>
              <w:left w:val="nil"/>
              <w:bottom w:val="nil"/>
              <w:right w:val="nil"/>
            </w:tcBorders>
            <w:tcMar>
              <w:top w:w="15" w:type="dxa"/>
              <w:left w:w="15" w:type="dxa"/>
              <w:right w:w="15" w:type="dxa"/>
            </w:tcMar>
            <w:vAlign w:val="bottom"/>
          </w:tcPr>
          <w:p w14:paraId="712FA9A7" w14:textId="67F2C86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$458.920.327.772 </w:t>
            </w:r>
          </w:p>
        </w:tc>
        <w:tc>
          <w:tcPr>
            <w:tcW w:w="1472" w:type="dxa"/>
            <w:tcBorders>
              <w:top w:val="nil"/>
              <w:left w:val="nil"/>
              <w:bottom w:val="nil"/>
              <w:right w:val="nil"/>
            </w:tcBorders>
            <w:tcMar>
              <w:top w:w="15" w:type="dxa"/>
              <w:left w:w="15" w:type="dxa"/>
              <w:right w:w="15" w:type="dxa"/>
            </w:tcMar>
            <w:vAlign w:val="bottom"/>
          </w:tcPr>
          <w:p w14:paraId="74E16FE8" w14:textId="1178FA0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81</w:t>
            </w:r>
          </w:p>
        </w:tc>
      </w:tr>
      <w:tr w:rsidR="449377F1" w14:paraId="78465978"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4E9A5DD8" w14:textId="7AD35649"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2908" w:type="dxa"/>
            <w:tcBorders>
              <w:top w:val="nil"/>
              <w:left w:val="nil"/>
              <w:bottom w:val="nil"/>
              <w:right w:val="nil"/>
            </w:tcBorders>
            <w:tcMar>
              <w:top w:w="15" w:type="dxa"/>
              <w:left w:w="15" w:type="dxa"/>
              <w:right w:w="15" w:type="dxa"/>
            </w:tcMar>
            <w:vAlign w:val="bottom"/>
          </w:tcPr>
          <w:p w14:paraId="0C15C99B" w14:textId="1BE35B27"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$3.777.496.548.997 </w:t>
            </w:r>
          </w:p>
        </w:tc>
        <w:tc>
          <w:tcPr>
            <w:tcW w:w="1472" w:type="dxa"/>
            <w:tcBorders>
              <w:top w:val="nil"/>
              <w:left w:val="nil"/>
              <w:bottom w:val="nil"/>
              <w:right w:val="nil"/>
            </w:tcBorders>
            <w:tcMar>
              <w:top w:w="15" w:type="dxa"/>
              <w:left w:w="15" w:type="dxa"/>
              <w:right w:w="15" w:type="dxa"/>
            </w:tcMar>
            <w:vAlign w:val="bottom"/>
          </w:tcPr>
          <w:p w14:paraId="648002C9" w14:textId="176B28B5"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8249</w:t>
            </w:r>
          </w:p>
        </w:tc>
      </w:tr>
      <w:tr w:rsidR="449377F1" w14:paraId="60D7A7DA" w14:textId="77777777" w:rsidTr="449377F1">
        <w:trPr>
          <w:trHeight w:val="300"/>
          <w:jc w:val="center"/>
        </w:trPr>
        <w:tc>
          <w:tcPr>
            <w:tcW w:w="4050" w:type="dxa"/>
            <w:tcBorders>
              <w:top w:val="nil"/>
              <w:left w:val="nil"/>
              <w:bottom w:val="nil"/>
              <w:right w:val="nil"/>
            </w:tcBorders>
            <w:tcMar>
              <w:top w:w="15" w:type="dxa"/>
              <w:left w:w="15" w:type="dxa"/>
              <w:right w:w="15" w:type="dxa"/>
            </w:tcMar>
            <w:vAlign w:val="bottom"/>
          </w:tcPr>
          <w:p w14:paraId="268B6E9F" w14:textId="7F8F4D7E" w:rsidR="449377F1" w:rsidRDefault="003A1AB7" w:rsidP="449377F1">
            <w:pPr>
              <w:rPr>
                <w:rFonts w:ascii="Verdana Pro" w:eastAsia="Verdana Pro" w:hAnsi="Verdana Pro" w:cs="Verdana Pro"/>
                <w:color w:val="000000" w:themeColor="text1"/>
                <w:sz w:val="22"/>
                <w:szCs w:val="22"/>
              </w:rPr>
            </w:pPr>
            <w:r>
              <w:rPr>
                <w:rFonts w:ascii="Verdana Pro" w:eastAsia="Verdana Pro" w:hAnsi="Verdana Pro" w:cs="Verdana Pro"/>
                <w:color w:val="000000" w:themeColor="text1"/>
                <w:sz w:val="22"/>
                <w:szCs w:val="22"/>
              </w:rPr>
              <w:t xml:space="preserve">  </w:t>
            </w:r>
            <w:r w:rsidR="449377F1" w:rsidRPr="449377F1">
              <w:rPr>
                <w:rFonts w:ascii="Verdana Pro" w:eastAsia="Verdana Pro" w:hAnsi="Verdana Pro" w:cs="Verdana Pro"/>
                <w:color w:val="000000" w:themeColor="text1"/>
                <w:sz w:val="22"/>
                <w:szCs w:val="22"/>
              </w:rPr>
              <w:t>2021</w:t>
            </w:r>
          </w:p>
        </w:tc>
        <w:tc>
          <w:tcPr>
            <w:tcW w:w="2908" w:type="dxa"/>
            <w:tcBorders>
              <w:top w:val="nil"/>
              <w:left w:val="nil"/>
              <w:bottom w:val="nil"/>
              <w:right w:val="nil"/>
            </w:tcBorders>
            <w:tcMar>
              <w:top w:w="15" w:type="dxa"/>
              <w:left w:w="15" w:type="dxa"/>
              <w:right w:w="15" w:type="dxa"/>
            </w:tcMar>
            <w:vAlign w:val="bottom"/>
          </w:tcPr>
          <w:p w14:paraId="4B6F96D2" w14:textId="61A7D59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$796.505.395.899 </w:t>
            </w:r>
          </w:p>
        </w:tc>
        <w:tc>
          <w:tcPr>
            <w:tcW w:w="1472" w:type="dxa"/>
            <w:tcBorders>
              <w:top w:val="nil"/>
              <w:left w:val="nil"/>
              <w:bottom w:val="nil"/>
              <w:right w:val="nil"/>
            </w:tcBorders>
            <w:tcMar>
              <w:top w:w="15" w:type="dxa"/>
              <w:left w:w="15" w:type="dxa"/>
              <w:right w:w="15" w:type="dxa"/>
            </w:tcMar>
            <w:vAlign w:val="bottom"/>
          </w:tcPr>
          <w:p w14:paraId="2652AD07" w14:textId="2D94850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2548</w:t>
            </w:r>
          </w:p>
        </w:tc>
      </w:tr>
      <w:tr w:rsidR="449377F1" w14:paraId="3D76964C"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436ACB99" w14:textId="7FF4A00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2022</w:t>
            </w:r>
          </w:p>
        </w:tc>
        <w:tc>
          <w:tcPr>
            <w:tcW w:w="2908" w:type="dxa"/>
            <w:tcBorders>
              <w:top w:val="nil"/>
              <w:left w:val="nil"/>
              <w:bottom w:val="nil"/>
              <w:right w:val="nil"/>
            </w:tcBorders>
            <w:tcMar>
              <w:top w:w="15" w:type="dxa"/>
              <w:left w:w="15" w:type="dxa"/>
              <w:right w:w="15" w:type="dxa"/>
            </w:tcMar>
            <w:vAlign w:val="bottom"/>
          </w:tcPr>
          <w:p w14:paraId="080D1BE3" w14:textId="2887968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$940.953.901.320 </w:t>
            </w:r>
          </w:p>
        </w:tc>
        <w:tc>
          <w:tcPr>
            <w:tcW w:w="1472" w:type="dxa"/>
            <w:tcBorders>
              <w:top w:val="nil"/>
              <w:left w:val="nil"/>
              <w:bottom w:val="nil"/>
              <w:right w:val="nil"/>
            </w:tcBorders>
            <w:tcMar>
              <w:top w:w="15" w:type="dxa"/>
              <w:left w:w="15" w:type="dxa"/>
              <w:right w:w="15" w:type="dxa"/>
            </w:tcMar>
            <w:vAlign w:val="bottom"/>
          </w:tcPr>
          <w:p w14:paraId="16DE8F21" w14:textId="3ED0D946"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2658</w:t>
            </w:r>
          </w:p>
        </w:tc>
      </w:tr>
      <w:tr w:rsidR="449377F1" w14:paraId="4519DE31"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4CF5F400" w14:textId="1334EED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2023</w:t>
            </w:r>
          </w:p>
        </w:tc>
        <w:tc>
          <w:tcPr>
            <w:tcW w:w="2908" w:type="dxa"/>
            <w:tcBorders>
              <w:top w:val="nil"/>
              <w:left w:val="nil"/>
              <w:bottom w:val="nil"/>
              <w:right w:val="nil"/>
            </w:tcBorders>
            <w:tcMar>
              <w:top w:w="15" w:type="dxa"/>
              <w:left w:w="15" w:type="dxa"/>
              <w:right w:w="15" w:type="dxa"/>
            </w:tcMar>
            <w:vAlign w:val="bottom"/>
          </w:tcPr>
          <w:p w14:paraId="3F770B4C" w14:textId="6B13796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$1.973.723.295.478 </w:t>
            </w:r>
          </w:p>
        </w:tc>
        <w:tc>
          <w:tcPr>
            <w:tcW w:w="1472" w:type="dxa"/>
            <w:tcBorders>
              <w:top w:val="nil"/>
              <w:left w:val="nil"/>
              <w:bottom w:val="nil"/>
              <w:right w:val="nil"/>
            </w:tcBorders>
            <w:tcMar>
              <w:top w:w="15" w:type="dxa"/>
              <w:left w:w="15" w:type="dxa"/>
              <w:right w:w="15" w:type="dxa"/>
            </w:tcMar>
            <w:vAlign w:val="bottom"/>
          </w:tcPr>
          <w:p w14:paraId="4D32D207" w14:textId="2C6D600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2891</w:t>
            </w:r>
          </w:p>
        </w:tc>
      </w:tr>
      <w:tr w:rsidR="449377F1" w14:paraId="5E3C5D4C"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440C76E3" w14:textId="422EEDB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2024</w:t>
            </w:r>
          </w:p>
        </w:tc>
        <w:tc>
          <w:tcPr>
            <w:tcW w:w="2908" w:type="dxa"/>
            <w:tcBorders>
              <w:top w:val="nil"/>
              <w:left w:val="nil"/>
              <w:bottom w:val="nil"/>
              <w:right w:val="nil"/>
            </w:tcBorders>
            <w:tcMar>
              <w:top w:w="15" w:type="dxa"/>
              <w:left w:w="15" w:type="dxa"/>
              <w:right w:w="15" w:type="dxa"/>
            </w:tcMar>
            <w:vAlign w:val="bottom"/>
          </w:tcPr>
          <w:p w14:paraId="59F1A75E" w14:textId="1B8B214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$66.313.956.300 </w:t>
            </w:r>
          </w:p>
        </w:tc>
        <w:tc>
          <w:tcPr>
            <w:tcW w:w="1472" w:type="dxa"/>
            <w:tcBorders>
              <w:top w:val="nil"/>
              <w:left w:val="nil"/>
              <w:bottom w:val="nil"/>
              <w:right w:val="nil"/>
            </w:tcBorders>
            <w:tcMar>
              <w:top w:w="15" w:type="dxa"/>
              <w:left w:w="15" w:type="dxa"/>
              <w:right w:w="15" w:type="dxa"/>
            </w:tcMar>
            <w:vAlign w:val="bottom"/>
          </w:tcPr>
          <w:p w14:paraId="22D4C866" w14:textId="0DFDB8BA"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152</w:t>
            </w:r>
          </w:p>
        </w:tc>
      </w:tr>
      <w:tr w:rsidR="449377F1" w14:paraId="1783531A" w14:textId="77777777" w:rsidTr="449377F1">
        <w:trPr>
          <w:trHeight w:val="300"/>
          <w:jc w:val="center"/>
        </w:trPr>
        <w:tc>
          <w:tcPr>
            <w:tcW w:w="4050" w:type="dxa"/>
            <w:tcBorders>
              <w:top w:val="nil"/>
              <w:left w:val="nil"/>
              <w:bottom w:val="nil"/>
              <w:right w:val="nil"/>
            </w:tcBorders>
            <w:tcMar>
              <w:top w:w="15" w:type="dxa"/>
              <w:left w:w="135" w:type="dxa"/>
              <w:right w:w="15" w:type="dxa"/>
            </w:tcMar>
            <w:vAlign w:val="bottom"/>
          </w:tcPr>
          <w:p w14:paraId="2FFEA44A" w14:textId="3795CA49" w:rsidR="449377F1" w:rsidRDefault="449377F1"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908" w:type="dxa"/>
            <w:tcBorders>
              <w:top w:val="nil"/>
              <w:left w:val="nil"/>
              <w:bottom w:val="nil"/>
              <w:right w:val="nil"/>
            </w:tcBorders>
            <w:tcMar>
              <w:top w:w="15" w:type="dxa"/>
              <w:left w:w="15" w:type="dxa"/>
              <w:right w:w="15" w:type="dxa"/>
            </w:tcMar>
            <w:vAlign w:val="bottom"/>
          </w:tcPr>
          <w:p w14:paraId="69B4C1A5" w14:textId="26A29E8E"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$24.015.156.183.828 </w:t>
            </w:r>
          </w:p>
        </w:tc>
        <w:tc>
          <w:tcPr>
            <w:tcW w:w="1472" w:type="dxa"/>
            <w:tcBorders>
              <w:top w:val="nil"/>
              <w:left w:val="nil"/>
              <w:bottom w:val="nil"/>
              <w:right w:val="nil"/>
            </w:tcBorders>
            <w:tcMar>
              <w:top w:w="15" w:type="dxa"/>
              <w:left w:w="15" w:type="dxa"/>
              <w:right w:w="15" w:type="dxa"/>
            </w:tcMar>
            <w:vAlign w:val="bottom"/>
          </w:tcPr>
          <w:p w14:paraId="042E67B7" w14:textId="73DC5058"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22169</w:t>
            </w:r>
          </w:p>
        </w:tc>
      </w:tr>
      <w:tr w:rsidR="449377F1" w14:paraId="34B037FA" w14:textId="77777777" w:rsidTr="449377F1">
        <w:trPr>
          <w:trHeight w:val="300"/>
          <w:jc w:val="center"/>
        </w:trPr>
        <w:tc>
          <w:tcPr>
            <w:tcW w:w="4050" w:type="dxa"/>
            <w:tcBorders>
              <w:top w:val="nil"/>
              <w:left w:val="nil"/>
              <w:bottom w:val="nil"/>
              <w:right w:val="nil"/>
            </w:tcBorders>
            <w:shd w:val="clear" w:color="auto" w:fill="D9E1F2"/>
            <w:tcMar>
              <w:top w:w="15" w:type="dxa"/>
              <w:left w:w="15" w:type="dxa"/>
              <w:right w:w="15" w:type="dxa"/>
            </w:tcMar>
            <w:vAlign w:val="bottom"/>
          </w:tcPr>
          <w:p w14:paraId="18E3E20B" w14:textId="5BC28F7C" w:rsidR="449377F1" w:rsidRDefault="449377F1" w:rsidP="449377F1">
            <w:pPr>
              <w:rPr>
                <w:rFonts w:ascii="Verdana Pro" w:eastAsia="Verdana Pro" w:hAnsi="Verdana Pro" w:cs="Verdana Pro"/>
                <w:b/>
                <w:bCs/>
                <w:color w:val="000000" w:themeColor="text1"/>
                <w:sz w:val="22"/>
                <w:szCs w:val="22"/>
              </w:rPr>
            </w:pPr>
          </w:p>
        </w:tc>
        <w:tc>
          <w:tcPr>
            <w:tcW w:w="2908" w:type="dxa"/>
            <w:tcBorders>
              <w:top w:val="nil"/>
              <w:left w:val="nil"/>
              <w:bottom w:val="nil"/>
              <w:right w:val="nil"/>
            </w:tcBorders>
            <w:shd w:val="clear" w:color="auto" w:fill="D9E1F2"/>
            <w:tcMar>
              <w:top w:w="15" w:type="dxa"/>
              <w:left w:w="15" w:type="dxa"/>
              <w:right w:w="15" w:type="dxa"/>
            </w:tcMar>
            <w:vAlign w:val="bottom"/>
          </w:tcPr>
          <w:p w14:paraId="3DDC7692" w14:textId="1CA74732" w:rsidR="449377F1" w:rsidRDefault="449377F1" w:rsidP="449377F1">
            <w:pPr>
              <w:jc w:val="right"/>
              <w:rPr>
                <w:rFonts w:ascii="Verdana Pro" w:eastAsia="Verdana Pro" w:hAnsi="Verdana Pro" w:cs="Verdana Pro"/>
                <w:b/>
                <w:bCs/>
                <w:color w:val="000000" w:themeColor="text1"/>
                <w:sz w:val="22"/>
                <w:szCs w:val="22"/>
              </w:rPr>
            </w:pPr>
          </w:p>
        </w:tc>
        <w:tc>
          <w:tcPr>
            <w:tcW w:w="1472" w:type="dxa"/>
            <w:tcBorders>
              <w:top w:val="nil"/>
              <w:left w:val="nil"/>
              <w:bottom w:val="nil"/>
              <w:right w:val="nil"/>
            </w:tcBorders>
            <w:shd w:val="clear" w:color="auto" w:fill="D9E1F2"/>
            <w:tcMar>
              <w:top w:w="15" w:type="dxa"/>
              <w:left w:w="15" w:type="dxa"/>
              <w:right w:w="15" w:type="dxa"/>
            </w:tcMar>
            <w:vAlign w:val="bottom"/>
          </w:tcPr>
          <w:p w14:paraId="6E0FB3A9" w14:textId="7F417F59" w:rsidR="449377F1" w:rsidRDefault="449377F1" w:rsidP="449377F1">
            <w:pPr>
              <w:jc w:val="right"/>
              <w:rPr>
                <w:rFonts w:ascii="Verdana Pro" w:eastAsia="Verdana Pro" w:hAnsi="Verdana Pro" w:cs="Verdana Pro"/>
                <w:b/>
                <w:bCs/>
                <w:color w:val="000000" w:themeColor="text1"/>
                <w:sz w:val="22"/>
                <w:szCs w:val="22"/>
              </w:rPr>
            </w:pPr>
          </w:p>
        </w:tc>
      </w:tr>
    </w:tbl>
    <w:p w14:paraId="0E0859C5" w14:textId="27A3EC35" w:rsidR="449377F1" w:rsidRDefault="449377F1" w:rsidP="449377F1"/>
    <w:p w14:paraId="00E60D68" w14:textId="5CDC4995" w:rsidR="53D77C96" w:rsidRDefault="53D77C96" w:rsidP="449377F1">
      <w:pPr>
        <w:pStyle w:val="Descripcin"/>
        <w:spacing w:after="0"/>
        <w:jc w:val="both"/>
        <w:rPr>
          <w:rFonts w:ascii="Verdana Pro" w:eastAsia="Verdana Pro" w:hAnsi="Verdana Pro" w:cs="Verdana Pro"/>
          <w:sz w:val="22"/>
          <w:szCs w:val="22"/>
        </w:rPr>
      </w:pPr>
      <w:r w:rsidRPr="449377F1">
        <w:rPr>
          <w:rFonts w:ascii="Verdana Pro" w:eastAsia="Verdana Pro" w:hAnsi="Verdana Pro" w:cs="Verdana Pro"/>
          <w:sz w:val="22"/>
          <w:szCs w:val="22"/>
          <w:lang w:val="es-CO"/>
        </w:rPr>
        <w:t>Gráfica</w:t>
      </w:r>
      <w:r w:rsidRPr="449377F1">
        <w:rPr>
          <w:rFonts w:ascii="Verdana Pro" w:eastAsia="Verdana Pro" w:hAnsi="Verdana Pro" w:cs="Verdana Pro"/>
          <w:sz w:val="24"/>
          <w:szCs w:val="24"/>
          <w:lang w:val="es-CO" w:eastAsia="es-CO"/>
        </w:rPr>
        <w:t xml:space="preserve"> </w:t>
      </w:r>
      <w:r w:rsidRPr="449377F1">
        <w:rPr>
          <w:rFonts w:ascii="Verdana" w:eastAsia="Times New Roman" w:hAnsi="Verdana" w:cs="Arial"/>
          <w:sz w:val="22"/>
          <w:szCs w:val="22"/>
          <w:lang w:val="es-CO" w:eastAsia="es-CO"/>
        </w:rPr>
        <w:fldChar w:fldCharType="begin"/>
      </w:r>
      <w:r w:rsidRPr="449377F1">
        <w:rPr>
          <w:rFonts w:ascii="Verdana" w:eastAsia="Times New Roman" w:hAnsi="Verdana" w:cs="Arial"/>
          <w:sz w:val="22"/>
          <w:szCs w:val="22"/>
          <w:lang w:val="es-CO" w:eastAsia="es-CO"/>
        </w:rPr>
        <w:instrText xml:space="preserve"> SEQ Gráfica \* ARABIC </w:instrText>
      </w:r>
      <w:r w:rsidRPr="449377F1">
        <w:rPr>
          <w:rFonts w:ascii="Verdana" w:eastAsia="Times New Roman" w:hAnsi="Verdana" w:cs="Arial"/>
          <w:sz w:val="22"/>
          <w:szCs w:val="22"/>
          <w:lang w:val="es-CO" w:eastAsia="es-CO"/>
        </w:rPr>
        <w:fldChar w:fldCharType="separate"/>
      </w:r>
      <w:r w:rsidRPr="449377F1">
        <w:rPr>
          <w:rFonts w:ascii="Verdana" w:eastAsia="Times New Roman" w:hAnsi="Verdana" w:cs="Arial"/>
          <w:noProof/>
          <w:sz w:val="22"/>
          <w:szCs w:val="22"/>
          <w:lang w:val="es-CO" w:eastAsia="es-CO"/>
        </w:rPr>
        <w:t>15</w:t>
      </w:r>
      <w:r w:rsidRPr="449377F1">
        <w:rPr>
          <w:rFonts w:ascii="Verdana" w:eastAsia="Times New Roman" w:hAnsi="Verdana" w:cs="Arial"/>
          <w:sz w:val="22"/>
          <w:szCs w:val="22"/>
          <w:lang w:val="es-CO" w:eastAsia="es-CO"/>
        </w:rPr>
        <w:fldChar w:fldCharType="end"/>
      </w:r>
      <w:r w:rsidRPr="449377F1">
        <w:rPr>
          <w:rFonts w:ascii="Verdana Pro" w:eastAsia="Verdana Pro" w:hAnsi="Verdana Pro" w:cs="Verdana Pro"/>
          <w:sz w:val="24"/>
          <w:szCs w:val="24"/>
          <w:lang w:val="es-CO" w:eastAsia="es-CO"/>
        </w:rPr>
        <w:t>.</w:t>
      </w:r>
      <w:r w:rsidR="12687966" w:rsidRPr="449377F1">
        <w:rPr>
          <w:rFonts w:ascii="Verdana Pro" w:eastAsia="Verdana Pro" w:hAnsi="Verdana Pro" w:cs="Verdana Pro"/>
          <w:sz w:val="24"/>
          <w:szCs w:val="24"/>
          <w:lang w:val="es-CO" w:eastAsia="es-CO"/>
        </w:rPr>
        <w:t xml:space="preserve"> </w:t>
      </w:r>
      <w:r w:rsidR="68A49183" w:rsidRPr="449377F1">
        <w:rPr>
          <w:rFonts w:ascii="Verdana Pro" w:eastAsia="Verdana Pro" w:hAnsi="Verdana Pro" w:cs="Verdana Pro"/>
          <w:sz w:val="22"/>
          <w:szCs w:val="22"/>
        </w:rPr>
        <w:t>Valores y número de contratos por modalidad de contratación por cada sector</w:t>
      </w:r>
    </w:p>
    <w:p w14:paraId="14E85C30" w14:textId="3EE17B15" w:rsidR="449377F1" w:rsidRDefault="449377F1" w:rsidP="449377F1"/>
    <w:tbl>
      <w:tblPr>
        <w:tblW w:w="0" w:type="auto"/>
        <w:tblLayout w:type="fixed"/>
        <w:tblLook w:val="06A0" w:firstRow="1" w:lastRow="0" w:firstColumn="1" w:lastColumn="0" w:noHBand="1" w:noVBand="1"/>
      </w:tblPr>
      <w:tblGrid>
        <w:gridCol w:w="5055"/>
        <w:gridCol w:w="2895"/>
        <w:gridCol w:w="1600"/>
      </w:tblGrid>
      <w:tr w:rsidR="449377F1" w14:paraId="36FD14B9" w14:textId="77777777" w:rsidTr="449377F1">
        <w:trPr>
          <w:trHeight w:val="300"/>
        </w:trPr>
        <w:tc>
          <w:tcPr>
            <w:tcW w:w="5055" w:type="dxa"/>
            <w:tcBorders>
              <w:top w:val="nil"/>
              <w:left w:val="nil"/>
              <w:bottom w:val="nil"/>
              <w:right w:val="nil"/>
            </w:tcBorders>
            <w:shd w:val="clear" w:color="auto" w:fill="D9E1F2"/>
            <w:tcMar>
              <w:top w:w="15" w:type="dxa"/>
              <w:left w:w="15" w:type="dxa"/>
              <w:right w:w="15" w:type="dxa"/>
            </w:tcMar>
            <w:vAlign w:val="bottom"/>
          </w:tcPr>
          <w:p w14:paraId="11DF0B1F" w14:textId="0E80A456" w:rsidR="12687966" w:rsidRDefault="12687966" w:rsidP="449377F1">
            <w:pPr>
              <w:jc w:val="center"/>
            </w:pPr>
            <w:r w:rsidRPr="449377F1">
              <w:rPr>
                <w:rFonts w:ascii="Verdana Pro" w:eastAsia="Verdana Pro" w:hAnsi="Verdana Pro" w:cs="Verdana Pro"/>
                <w:b/>
                <w:bCs/>
                <w:color w:val="000000" w:themeColor="text1"/>
                <w:sz w:val="22"/>
                <w:szCs w:val="22"/>
              </w:rPr>
              <w:t>Modalidad / Sector</w:t>
            </w:r>
          </w:p>
        </w:tc>
        <w:tc>
          <w:tcPr>
            <w:tcW w:w="2895" w:type="dxa"/>
            <w:tcBorders>
              <w:top w:val="nil"/>
              <w:left w:val="nil"/>
              <w:bottom w:val="nil"/>
              <w:right w:val="nil"/>
            </w:tcBorders>
            <w:shd w:val="clear" w:color="auto" w:fill="D9E1F2"/>
            <w:tcMar>
              <w:top w:w="15" w:type="dxa"/>
              <w:left w:w="15" w:type="dxa"/>
              <w:right w:w="15" w:type="dxa"/>
            </w:tcMar>
            <w:vAlign w:val="bottom"/>
          </w:tcPr>
          <w:p w14:paraId="3D631589" w14:textId="23B2F444"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w:t>
            </w:r>
          </w:p>
        </w:tc>
        <w:tc>
          <w:tcPr>
            <w:tcW w:w="1600" w:type="dxa"/>
            <w:tcBorders>
              <w:top w:val="nil"/>
              <w:left w:val="nil"/>
              <w:bottom w:val="nil"/>
              <w:right w:val="nil"/>
            </w:tcBorders>
            <w:shd w:val="clear" w:color="auto" w:fill="D9E1F2"/>
            <w:tcMar>
              <w:top w:w="15" w:type="dxa"/>
              <w:left w:w="15" w:type="dxa"/>
              <w:right w:w="15" w:type="dxa"/>
            </w:tcMar>
            <w:vAlign w:val="bottom"/>
          </w:tcPr>
          <w:p w14:paraId="4878038A" w14:textId="71EFF6F2" w:rsidR="74F67E96" w:rsidRDefault="74F67E96"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 </w:t>
            </w:r>
            <w:r w:rsidR="449377F1" w:rsidRPr="449377F1">
              <w:rPr>
                <w:rFonts w:ascii="Verdana Pro" w:eastAsia="Verdana Pro" w:hAnsi="Verdana Pro" w:cs="Verdana Pro"/>
                <w:b/>
                <w:bCs/>
                <w:color w:val="000000" w:themeColor="text1"/>
                <w:sz w:val="22"/>
                <w:szCs w:val="22"/>
              </w:rPr>
              <w:t>Contrato</w:t>
            </w:r>
          </w:p>
        </w:tc>
      </w:tr>
      <w:tr w:rsidR="449377F1" w14:paraId="52487AFB" w14:textId="77777777" w:rsidTr="449377F1">
        <w:trPr>
          <w:trHeight w:val="300"/>
        </w:trPr>
        <w:tc>
          <w:tcPr>
            <w:tcW w:w="5055" w:type="dxa"/>
            <w:tcBorders>
              <w:top w:val="nil"/>
              <w:left w:val="nil"/>
              <w:bottom w:val="nil"/>
              <w:right w:val="nil"/>
            </w:tcBorders>
            <w:tcMar>
              <w:top w:w="15" w:type="dxa"/>
              <w:left w:w="15" w:type="dxa"/>
              <w:right w:w="15" w:type="dxa"/>
            </w:tcMar>
            <w:vAlign w:val="bottom"/>
          </w:tcPr>
          <w:p w14:paraId="41E8535C" w14:textId="168EF5DB"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2895" w:type="dxa"/>
            <w:tcBorders>
              <w:top w:val="nil"/>
              <w:left w:val="nil"/>
              <w:bottom w:val="nil"/>
              <w:right w:val="nil"/>
            </w:tcBorders>
            <w:tcMar>
              <w:top w:w="15" w:type="dxa"/>
              <w:left w:w="15" w:type="dxa"/>
              <w:right w:w="15" w:type="dxa"/>
            </w:tcMar>
            <w:vAlign w:val="bottom"/>
          </w:tcPr>
          <w:p w14:paraId="2D3F5DB1" w14:textId="3628DF2F"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$45.574.210.679 </w:t>
            </w:r>
          </w:p>
        </w:tc>
        <w:tc>
          <w:tcPr>
            <w:tcW w:w="1600" w:type="dxa"/>
            <w:tcBorders>
              <w:top w:val="nil"/>
              <w:left w:val="nil"/>
              <w:bottom w:val="nil"/>
              <w:right w:val="nil"/>
            </w:tcBorders>
            <w:tcMar>
              <w:top w:w="15" w:type="dxa"/>
              <w:left w:w="15" w:type="dxa"/>
              <w:right w:w="15" w:type="dxa"/>
            </w:tcMar>
            <w:vAlign w:val="bottom"/>
          </w:tcPr>
          <w:p w14:paraId="02165ED3" w14:textId="27026AFC"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91</w:t>
            </w:r>
          </w:p>
        </w:tc>
      </w:tr>
      <w:tr w:rsidR="449377F1" w14:paraId="3D05B7B3"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1102470A" w14:textId="35FC557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Cultura, recreación y deporte</w:t>
            </w:r>
          </w:p>
        </w:tc>
        <w:tc>
          <w:tcPr>
            <w:tcW w:w="2895" w:type="dxa"/>
            <w:tcBorders>
              <w:top w:val="nil"/>
              <w:left w:val="nil"/>
              <w:bottom w:val="nil"/>
              <w:right w:val="nil"/>
            </w:tcBorders>
            <w:tcMar>
              <w:top w:w="15" w:type="dxa"/>
              <w:left w:w="15" w:type="dxa"/>
              <w:right w:w="15" w:type="dxa"/>
            </w:tcMar>
            <w:vAlign w:val="bottom"/>
          </w:tcPr>
          <w:p w14:paraId="0E327BBE" w14:textId="7C9830D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$23.148.319.639 </w:t>
            </w:r>
          </w:p>
        </w:tc>
        <w:tc>
          <w:tcPr>
            <w:tcW w:w="1600" w:type="dxa"/>
            <w:tcBorders>
              <w:top w:val="nil"/>
              <w:left w:val="nil"/>
              <w:bottom w:val="nil"/>
              <w:right w:val="nil"/>
            </w:tcBorders>
            <w:tcMar>
              <w:top w:w="15" w:type="dxa"/>
              <w:left w:w="15" w:type="dxa"/>
              <w:right w:w="15" w:type="dxa"/>
            </w:tcMar>
            <w:vAlign w:val="bottom"/>
          </w:tcPr>
          <w:p w14:paraId="0A89B3F4" w14:textId="3984A6C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61</w:t>
            </w:r>
          </w:p>
        </w:tc>
      </w:tr>
      <w:tr w:rsidR="449377F1" w14:paraId="0B6399C9"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5955A463" w14:textId="76F83D5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Edificios institucionales</w:t>
            </w:r>
          </w:p>
        </w:tc>
        <w:tc>
          <w:tcPr>
            <w:tcW w:w="2895" w:type="dxa"/>
            <w:tcBorders>
              <w:top w:val="nil"/>
              <w:left w:val="nil"/>
              <w:bottom w:val="nil"/>
              <w:right w:val="nil"/>
            </w:tcBorders>
            <w:tcMar>
              <w:top w:w="15" w:type="dxa"/>
              <w:left w:w="15" w:type="dxa"/>
              <w:right w:w="15" w:type="dxa"/>
            </w:tcMar>
            <w:vAlign w:val="bottom"/>
          </w:tcPr>
          <w:p w14:paraId="57682F3B" w14:textId="31E785D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$158.965.594 </w:t>
            </w:r>
          </w:p>
        </w:tc>
        <w:tc>
          <w:tcPr>
            <w:tcW w:w="1600" w:type="dxa"/>
            <w:tcBorders>
              <w:top w:val="nil"/>
              <w:left w:val="nil"/>
              <w:bottom w:val="nil"/>
              <w:right w:val="nil"/>
            </w:tcBorders>
            <w:tcMar>
              <w:top w:w="15" w:type="dxa"/>
              <w:left w:w="15" w:type="dxa"/>
              <w:right w:w="15" w:type="dxa"/>
            </w:tcMar>
            <w:vAlign w:val="bottom"/>
          </w:tcPr>
          <w:p w14:paraId="2830A30B" w14:textId="407160A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1BC31C5C"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5A11374F" w14:textId="452F2E6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Educación</w:t>
            </w:r>
          </w:p>
        </w:tc>
        <w:tc>
          <w:tcPr>
            <w:tcW w:w="2895" w:type="dxa"/>
            <w:tcBorders>
              <w:top w:val="nil"/>
              <w:left w:val="nil"/>
              <w:bottom w:val="nil"/>
              <w:right w:val="nil"/>
            </w:tcBorders>
            <w:tcMar>
              <w:top w:w="15" w:type="dxa"/>
              <w:left w:w="15" w:type="dxa"/>
              <w:right w:w="15" w:type="dxa"/>
            </w:tcMar>
            <w:vAlign w:val="bottom"/>
          </w:tcPr>
          <w:p w14:paraId="49BD2D4E" w14:textId="105A5CD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$14.564.046.769 </w:t>
            </w:r>
          </w:p>
        </w:tc>
        <w:tc>
          <w:tcPr>
            <w:tcW w:w="1600" w:type="dxa"/>
            <w:tcBorders>
              <w:top w:val="nil"/>
              <w:left w:val="nil"/>
              <w:bottom w:val="nil"/>
              <w:right w:val="nil"/>
            </w:tcBorders>
            <w:tcMar>
              <w:top w:w="15" w:type="dxa"/>
              <w:left w:w="15" w:type="dxa"/>
              <w:right w:w="15" w:type="dxa"/>
            </w:tcMar>
            <w:vAlign w:val="bottom"/>
          </w:tcPr>
          <w:p w14:paraId="6F31ADD0" w14:textId="1688D14E"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25</w:t>
            </w:r>
          </w:p>
        </w:tc>
      </w:tr>
      <w:tr w:rsidR="449377F1" w14:paraId="1F22D51F"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9C9E47C" w14:textId="2F20A9E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Salud</w:t>
            </w:r>
          </w:p>
        </w:tc>
        <w:tc>
          <w:tcPr>
            <w:tcW w:w="2895" w:type="dxa"/>
            <w:tcBorders>
              <w:top w:val="nil"/>
              <w:left w:val="nil"/>
              <w:bottom w:val="nil"/>
              <w:right w:val="nil"/>
            </w:tcBorders>
            <w:tcMar>
              <w:top w:w="15" w:type="dxa"/>
              <w:left w:w="15" w:type="dxa"/>
              <w:right w:w="15" w:type="dxa"/>
            </w:tcMar>
            <w:vAlign w:val="bottom"/>
          </w:tcPr>
          <w:p w14:paraId="2B3C632B" w14:textId="0E4D949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$7.702.878.677 </w:t>
            </w:r>
          </w:p>
        </w:tc>
        <w:tc>
          <w:tcPr>
            <w:tcW w:w="1600" w:type="dxa"/>
            <w:tcBorders>
              <w:top w:val="nil"/>
              <w:left w:val="nil"/>
              <w:bottom w:val="nil"/>
              <w:right w:val="nil"/>
            </w:tcBorders>
            <w:tcMar>
              <w:top w:w="15" w:type="dxa"/>
              <w:left w:w="15" w:type="dxa"/>
              <w:right w:w="15" w:type="dxa"/>
            </w:tcMar>
            <w:vAlign w:val="bottom"/>
          </w:tcPr>
          <w:p w14:paraId="4C86C03F" w14:textId="4026774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w:t>
            </w:r>
          </w:p>
        </w:tc>
      </w:tr>
      <w:tr w:rsidR="449377F1" w14:paraId="45510C83" w14:textId="77777777" w:rsidTr="449377F1">
        <w:trPr>
          <w:trHeight w:val="300"/>
        </w:trPr>
        <w:tc>
          <w:tcPr>
            <w:tcW w:w="5055" w:type="dxa"/>
            <w:tcBorders>
              <w:top w:val="nil"/>
              <w:left w:val="nil"/>
              <w:bottom w:val="nil"/>
              <w:right w:val="nil"/>
            </w:tcBorders>
            <w:tcMar>
              <w:top w:w="15" w:type="dxa"/>
              <w:left w:w="15" w:type="dxa"/>
              <w:right w:w="15" w:type="dxa"/>
            </w:tcMar>
            <w:vAlign w:val="bottom"/>
          </w:tcPr>
          <w:p w14:paraId="435654FE" w14:textId="2E09E7EF"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2895" w:type="dxa"/>
            <w:tcBorders>
              <w:top w:val="nil"/>
              <w:left w:val="nil"/>
              <w:bottom w:val="nil"/>
              <w:right w:val="nil"/>
            </w:tcBorders>
            <w:tcMar>
              <w:top w:w="15" w:type="dxa"/>
              <w:left w:w="15" w:type="dxa"/>
              <w:right w:w="15" w:type="dxa"/>
            </w:tcMar>
            <w:vAlign w:val="bottom"/>
          </w:tcPr>
          <w:p w14:paraId="0E0501BC" w14:textId="4B9E0521"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$283.148.224.609 </w:t>
            </w:r>
          </w:p>
        </w:tc>
        <w:tc>
          <w:tcPr>
            <w:tcW w:w="1600" w:type="dxa"/>
            <w:tcBorders>
              <w:top w:val="nil"/>
              <w:left w:val="nil"/>
              <w:bottom w:val="nil"/>
              <w:right w:val="nil"/>
            </w:tcBorders>
            <w:tcMar>
              <w:top w:w="15" w:type="dxa"/>
              <w:left w:w="15" w:type="dxa"/>
              <w:right w:w="15" w:type="dxa"/>
            </w:tcMar>
            <w:vAlign w:val="bottom"/>
          </w:tcPr>
          <w:p w14:paraId="2A9FB46D" w14:textId="28426F9C"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8982</w:t>
            </w:r>
          </w:p>
        </w:tc>
      </w:tr>
      <w:tr w:rsidR="449377F1" w14:paraId="6417A77D"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67E1F715" w14:textId="6184974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Cultura, recreación y deporte</w:t>
            </w:r>
          </w:p>
        </w:tc>
        <w:tc>
          <w:tcPr>
            <w:tcW w:w="2895" w:type="dxa"/>
            <w:tcBorders>
              <w:top w:val="nil"/>
              <w:left w:val="nil"/>
              <w:bottom w:val="nil"/>
              <w:right w:val="nil"/>
            </w:tcBorders>
            <w:tcMar>
              <w:top w:w="15" w:type="dxa"/>
              <w:left w:w="15" w:type="dxa"/>
              <w:right w:w="15" w:type="dxa"/>
            </w:tcMar>
            <w:vAlign w:val="bottom"/>
          </w:tcPr>
          <w:p w14:paraId="12C2E906" w14:textId="5D9F1BA1"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$89.197.566.559 </w:t>
            </w:r>
          </w:p>
        </w:tc>
        <w:tc>
          <w:tcPr>
            <w:tcW w:w="1600" w:type="dxa"/>
            <w:tcBorders>
              <w:top w:val="nil"/>
              <w:left w:val="nil"/>
              <w:bottom w:val="nil"/>
              <w:right w:val="nil"/>
            </w:tcBorders>
            <w:tcMar>
              <w:top w:w="15" w:type="dxa"/>
              <w:left w:w="15" w:type="dxa"/>
              <w:right w:w="15" w:type="dxa"/>
            </w:tcMar>
            <w:vAlign w:val="bottom"/>
          </w:tcPr>
          <w:p w14:paraId="1AFB9857" w14:textId="2E11660E"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2556</w:t>
            </w:r>
          </w:p>
        </w:tc>
      </w:tr>
      <w:tr w:rsidR="449377F1" w14:paraId="765E0AAE"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DA6A098" w14:textId="4650A17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Edificios institucionales</w:t>
            </w:r>
          </w:p>
        </w:tc>
        <w:tc>
          <w:tcPr>
            <w:tcW w:w="2895" w:type="dxa"/>
            <w:tcBorders>
              <w:top w:val="nil"/>
              <w:left w:val="nil"/>
              <w:bottom w:val="nil"/>
              <w:right w:val="nil"/>
            </w:tcBorders>
            <w:tcMar>
              <w:top w:w="15" w:type="dxa"/>
              <w:left w:w="15" w:type="dxa"/>
              <w:right w:w="15" w:type="dxa"/>
            </w:tcMar>
            <w:vAlign w:val="bottom"/>
          </w:tcPr>
          <w:p w14:paraId="717915F2" w14:textId="202E31B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$66.560.712.200 </w:t>
            </w:r>
          </w:p>
        </w:tc>
        <w:tc>
          <w:tcPr>
            <w:tcW w:w="1600" w:type="dxa"/>
            <w:tcBorders>
              <w:top w:val="nil"/>
              <w:left w:val="nil"/>
              <w:bottom w:val="nil"/>
              <w:right w:val="nil"/>
            </w:tcBorders>
            <w:tcMar>
              <w:top w:w="15" w:type="dxa"/>
              <w:left w:w="15" w:type="dxa"/>
              <w:right w:w="15" w:type="dxa"/>
            </w:tcMar>
            <w:vAlign w:val="bottom"/>
          </w:tcPr>
          <w:p w14:paraId="3539B8C2" w14:textId="6F802E1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2192</w:t>
            </w:r>
          </w:p>
        </w:tc>
      </w:tr>
      <w:tr w:rsidR="449377F1" w14:paraId="2B131D73"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1F192C1C" w14:textId="2EC2DBE1"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Educación</w:t>
            </w:r>
          </w:p>
        </w:tc>
        <w:tc>
          <w:tcPr>
            <w:tcW w:w="2895" w:type="dxa"/>
            <w:tcBorders>
              <w:top w:val="nil"/>
              <w:left w:val="nil"/>
              <w:bottom w:val="nil"/>
              <w:right w:val="nil"/>
            </w:tcBorders>
            <w:tcMar>
              <w:top w:w="15" w:type="dxa"/>
              <w:left w:w="15" w:type="dxa"/>
              <w:right w:w="15" w:type="dxa"/>
            </w:tcMar>
            <w:vAlign w:val="bottom"/>
          </w:tcPr>
          <w:p w14:paraId="4719C6D7" w14:textId="2B286DE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$94.101.987.697 </w:t>
            </w:r>
          </w:p>
        </w:tc>
        <w:tc>
          <w:tcPr>
            <w:tcW w:w="1600" w:type="dxa"/>
            <w:tcBorders>
              <w:top w:val="nil"/>
              <w:left w:val="nil"/>
              <w:bottom w:val="nil"/>
              <w:right w:val="nil"/>
            </w:tcBorders>
            <w:tcMar>
              <w:top w:w="15" w:type="dxa"/>
              <w:left w:w="15" w:type="dxa"/>
              <w:right w:w="15" w:type="dxa"/>
            </w:tcMar>
            <w:vAlign w:val="bottom"/>
          </w:tcPr>
          <w:p w14:paraId="760A5175" w14:textId="4E872451"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3256</w:t>
            </w:r>
          </w:p>
        </w:tc>
      </w:tr>
      <w:tr w:rsidR="449377F1" w14:paraId="10E10E9C"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A84E5B5" w14:textId="5781BE4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Infraestructura de seguridad</w:t>
            </w:r>
          </w:p>
        </w:tc>
        <w:tc>
          <w:tcPr>
            <w:tcW w:w="2895" w:type="dxa"/>
            <w:tcBorders>
              <w:top w:val="nil"/>
              <w:left w:val="nil"/>
              <w:bottom w:val="nil"/>
              <w:right w:val="nil"/>
            </w:tcBorders>
            <w:tcMar>
              <w:top w:w="15" w:type="dxa"/>
              <w:left w:w="15" w:type="dxa"/>
              <w:right w:w="15" w:type="dxa"/>
            </w:tcMar>
            <w:vAlign w:val="bottom"/>
          </w:tcPr>
          <w:p w14:paraId="56061F03" w14:textId="73A5DC5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$20.552.081.542 </w:t>
            </w:r>
          </w:p>
        </w:tc>
        <w:tc>
          <w:tcPr>
            <w:tcW w:w="1600" w:type="dxa"/>
            <w:tcBorders>
              <w:top w:val="nil"/>
              <w:left w:val="nil"/>
              <w:bottom w:val="nil"/>
              <w:right w:val="nil"/>
            </w:tcBorders>
            <w:tcMar>
              <w:top w:w="15" w:type="dxa"/>
              <w:left w:w="15" w:type="dxa"/>
              <w:right w:w="15" w:type="dxa"/>
            </w:tcMar>
            <w:vAlign w:val="bottom"/>
          </w:tcPr>
          <w:p w14:paraId="784CC432" w14:textId="09ED18D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492</w:t>
            </w:r>
          </w:p>
        </w:tc>
      </w:tr>
      <w:tr w:rsidR="449377F1" w14:paraId="7B22A481"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40F796BD" w14:textId="73464FC2"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Salud</w:t>
            </w:r>
          </w:p>
        </w:tc>
        <w:tc>
          <w:tcPr>
            <w:tcW w:w="2895" w:type="dxa"/>
            <w:tcBorders>
              <w:top w:val="nil"/>
              <w:left w:val="nil"/>
              <w:bottom w:val="nil"/>
              <w:right w:val="nil"/>
            </w:tcBorders>
            <w:tcMar>
              <w:top w:w="15" w:type="dxa"/>
              <w:left w:w="15" w:type="dxa"/>
              <w:right w:w="15" w:type="dxa"/>
            </w:tcMar>
            <w:vAlign w:val="bottom"/>
          </w:tcPr>
          <w:p w14:paraId="3FE2E19E" w14:textId="5898572E"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$12.735.876.611 </w:t>
            </w:r>
          </w:p>
        </w:tc>
        <w:tc>
          <w:tcPr>
            <w:tcW w:w="1600" w:type="dxa"/>
            <w:tcBorders>
              <w:top w:val="nil"/>
              <w:left w:val="nil"/>
              <w:bottom w:val="nil"/>
              <w:right w:val="nil"/>
            </w:tcBorders>
            <w:tcMar>
              <w:top w:w="15" w:type="dxa"/>
              <w:left w:w="15" w:type="dxa"/>
              <w:right w:w="15" w:type="dxa"/>
            </w:tcMar>
            <w:vAlign w:val="bottom"/>
          </w:tcPr>
          <w:p w14:paraId="4035A239" w14:textId="2B3AFA4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486</w:t>
            </w:r>
          </w:p>
        </w:tc>
      </w:tr>
      <w:tr w:rsidR="449377F1" w14:paraId="51910F75" w14:textId="77777777" w:rsidTr="449377F1">
        <w:trPr>
          <w:trHeight w:val="300"/>
        </w:trPr>
        <w:tc>
          <w:tcPr>
            <w:tcW w:w="5055" w:type="dxa"/>
            <w:tcBorders>
              <w:top w:val="nil"/>
              <w:left w:val="nil"/>
              <w:bottom w:val="nil"/>
              <w:right w:val="nil"/>
            </w:tcBorders>
            <w:tcMar>
              <w:top w:w="15" w:type="dxa"/>
              <w:left w:w="15" w:type="dxa"/>
              <w:right w:w="15" w:type="dxa"/>
            </w:tcMar>
            <w:vAlign w:val="bottom"/>
          </w:tcPr>
          <w:p w14:paraId="0F42B7F7" w14:textId="5BF4886D"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Convenios dos partes</w:t>
            </w:r>
          </w:p>
        </w:tc>
        <w:tc>
          <w:tcPr>
            <w:tcW w:w="2895" w:type="dxa"/>
            <w:tcBorders>
              <w:top w:val="nil"/>
              <w:left w:val="nil"/>
              <w:bottom w:val="nil"/>
              <w:right w:val="nil"/>
            </w:tcBorders>
            <w:tcMar>
              <w:top w:w="15" w:type="dxa"/>
              <w:left w:w="15" w:type="dxa"/>
              <w:right w:w="15" w:type="dxa"/>
            </w:tcMar>
            <w:vAlign w:val="bottom"/>
          </w:tcPr>
          <w:p w14:paraId="6B472835" w14:textId="3F752ADD"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$105.402.439.486 </w:t>
            </w:r>
          </w:p>
        </w:tc>
        <w:tc>
          <w:tcPr>
            <w:tcW w:w="1600" w:type="dxa"/>
            <w:tcBorders>
              <w:top w:val="nil"/>
              <w:left w:val="nil"/>
              <w:bottom w:val="nil"/>
              <w:right w:val="nil"/>
            </w:tcBorders>
            <w:tcMar>
              <w:top w:w="15" w:type="dxa"/>
              <w:left w:w="15" w:type="dxa"/>
              <w:right w:w="15" w:type="dxa"/>
            </w:tcMar>
            <w:vAlign w:val="bottom"/>
          </w:tcPr>
          <w:p w14:paraId="786883B2" w14:textId="314D2812"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35</w:t>
            </w:r>
          </w:p>
        </w:tc>
      </w:tr>
      <w:tr w:rsidR="449377F1" w14:paraId="145F0B7E"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5D6243EC" w14:textId="63EF9A6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Cultura, recreación y deporte</w:t>
            </w:r>
          </w:p>
        </w:tc>
        <w:tc>
          <w:tcPr>
            <w:tcW w:w="2895" w:type="dxa"/>
            <w:tcBorders>
              <w:top w:val="nil"/>
              <w:left w:val="nil"/>
              <w:bottom w:val="nil"/>
              <w:right w:val="nil"/>
            </w:tcBorders>
            <w:tcMar>
              <w:top w:w="15" w:type="dxa"/>
              <w:left w:w="15" w:type="dxa"/>
              <w:right w:w="15" w:type="dxa"/>
            </w:tcMar>
            <w:vAlign w:val="bottom"/>
          </w:tcPr>
          <w:p w14:paraId="07C019F9" w14:textId="6C3B9B0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$14.165.017.226 </w:t>
            </w:r>
          </w:p>
        </w:tc>
        <w:tc>
          <w:tcPr>
            <w:tcW w:w="1600" w:type="dxa"/>
            <w:tcBorders>
              <w:top w:val="nil"/>
              <w:left w:val="nil"/>
              <w:bottom w:val="nil"/>
              <w:right w:val="nil"/>
            </w:tcBorders>
            <w:tcMar>
              <w:top w:w="15" w:type="dxa"/>
              <w:left w:w="15" w:type="dxa"/>
              <w:right w:w="15" w:type="dxa"/>
            </w:tcMar>
            <w:vAlign w:val="bottom"/>
          </w:tcPr>
          <w:p w14:paraId="55740180" w14:textId="2DD980F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11</w:t>
            </w:r>
          </w:p>
        </w:tc>
      </w:tr>
      <w:tr w:rsidR="449377F1" w14:paraId="42AED80F"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33324A2E" w14:textId="3B95070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lastRenderedPageBreak/>
              <w:t>Edificios institucionales</w:t>
            </w:r>
          </w:p>
        </w:tc>
        <w:tc>
          <w:tcPr>
            <w:tcW w:w="2895" w:type="dxa"/>
            <w:tcBorders>
              <w:top w:val="nil"/>
              <w:left w:val="nil"/>
              <w:bottom w:val="nil"/>
              <w:right w:val="nil"/>
            </w:tcBorders>
            <w:tcMar>
              <w:top w:w="15" w:type="dxa"/>
              <w:left w:w="15" w:type="dxa"/>
              <w:right w:w="15" w:type="dxa"/>
            </w:tcMar>
            <w:vAlign w:val="bottom"/>
          </w:tcPr>
          <w:p w14:paraId="6B58A3DC" w14:textId="765A440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$215.514.345 </w:t>
            </w:r>
          </w:p>
        </w:tc>
        <w:tc>
          <w:tcPr>
            <w:tcW w:w="1600" w:type="dxa"/>
            <w:tcBorders>
              <w:top w:val="nil"/>
              <w:left w:val="nil"/>
              <w:bottom w:val="nil"/>
              <w:right w:val="nil"/>
            </w:tcBorders>
            <w:tcMar>
              <w:top w:w="15" w:type="dxa"/>
              <w:left w:w="15" w:type="dxa"/>
              <w:right w:w="15" w:type="dxa"/>
            </w:tcMar>
            <w:vAlign w:val="bottom"/>
          </w:tcPr>
          <w:p w14:paraId="247A48F4" w14:textId="3A85CB4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w:t>
            </w:r>
          </w:p>
        </w:tc>
      </w:tr>
      <w:tr w:rsidR="449377F1" w14:paraId="22304EEA"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51AB0D6" w14:textId="046FC8E8"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Educación</w:t>
            </w:r>
          </w:p>
        </w:tc>
        <w:tc>
          <w:tcPr>
            <w:tcW w:w="2895" w:type="dxa"/>
            <w:tcBorders>
              <w:top w:val="nil"/>
              <w:left w:val="nil"/>
              <w:bottom w:val="nil"/>
              <w:right w:val="nil"/>
            </w:tcBorders>
            <w:tcMar>
              <w:top w:w="15" w:type="dxa"/>
              <w:left w:w="15" w:type="dxa"/>
              <w:right w:w="15" w:type="dxa"/>
            </w:tcMar>
            <w:vAlign w:val="bottom"/>
          </w:tcPr>
          <w:p w14:paraId="59259CE8" w14:textId="5AD8942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$14.739.067.978 </w:t>
            </w:r>
          </w:p>
        </w:tc>
        <w:tc>
          <w:tcPr>
            <w:tcW w:w="1600" w:type="dxa"/>
            <w:tcBorders>
              <w:top w:val="nil"/>
              <w:left w:val="nil"/>
              <w:bottom w:val="nil"/>
              <w:right w:val="nil"/>
            </w:tcBorders>
            <w:tcMar>
              <w:top w:w="15" w:type="dxa"/>
              <w:left w:w="15" w:type="dxa"/>
              <w:right w:w="15" w:type="dxa"/>
            </w:tcMar>
            <w:vAlign w:val="bottom"/>
          </w:tcPr>
          <w:p w14:paraId="29414267" w14:textId="23A72E7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w:t>
            </w:r>
          </w:p>
        </w:tc>
      </w:tr>
      <w:tr w:rsidR="449377F1" w14:paraId="4648AF4E"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9611628" w14:textId="542AD34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Salud</w:t>
            </w:r>
          </w:p>
        </w:tc>
        <w:tc>
          <w:tcPr>
            <w:tcW w:w="2895" w:type="dxa"/>
            <w:tcBorders>
              <w:top w:val="nil"/>
              <w:left w:val="nil"/>
              <w:bottom w:val="nil"/>
              <w:right w:val="nil"/>
            </w:tcBorders>
            <w:tcMar>
              <w:top w:w="15" w:type="dxa"/>
              <w:left w:w="15" w:type="dxa"/>
              <w:right w:w="15" w:type="dxa"/>
            </w:tcMar>
            <w:vAlign w:val="bottom"/>
          </w:tcPr>
          <w:p w14:paraId="436CE3D5" w14:textId="0E76221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$76.282.839.937 </w:t>
            </w:r>
          </w:p>
        </w:tc>
        <w:tc>
          <w:tcPr>
            <w:tcW w:w="1600" w:type="dxa"/>
            <w:tcBorders>
              <w:top w:val="nil"/>
              <w:left w:val="nil"/>
              <w:bottom w:val="nil"/>
              <w:right w:val="nil"/>
            </w:tcBorders>
            <w:tcMar>
              <w:top w:w="15" w:type="dxa"/>
              <w:left w:w="15" w:type="dxa"/>
              <w:right w:w="15" w:type="dxa"/>
            </w:tcMar>
            <w:vAlign w:val="bottom"/>
          </w:tcPr>
          <w:p w14:paraId="59668E25" w14:textId="3CEF1C3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13</w:t>
            </w:r>
          </w:p>
        </w:tc>
      </w:tr>
      <w:tr w:rsidR="449377F1" w14:paraId="6124BB0A" w14:textId="77777777" w:rsidTr="449377F1">
        <w:trPr>
          <w:trHeight w:val="300"/>
        </w:trPr>
        <w:tc>
          <w:tcPr>
            <w:tcW w:w="5055" w:type="dxa"/>
            <w:tcBorders>
              <w:top w:val="nil"/>
              <w:left w:val="nil"/>
              <w:bottom w:val="nil"/>
              <w:right w:val="nil"/>
            </w:tcBorders>
            <w:tcMar>
              <w:top w:w="15" w:type="dxa"/>
              <w:left w:w="15" w:type="dxa"/>
              <w:right w:w="15" w:type="dxa"/>
            </w:tcMar>
            <w:vAlign w:val="bottom"/>
          </w:tcPr>
          <w:p w14:paraId="40D0D513" w14:textId="067950B6"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2895" w:type="dxa"/>
            <w:tcBorders>
              <w:top w:val="nil"/>
              <w:left w:val="nil"/>
              <w:bottom w:val="nil"/>
              <w:right w:val="nil"/>
            </w:tcBorders>
            <w:tcMar>
              <w:top w:w="15" w:type="dxa"/>
              <w:left w:w="15" w:type="dxa"/>
              <w:right w:w="15" w:type="dxa"/>
            </w:tcMar>
            <w:vAlign w:val="bottom"/>
          </w:tcPr>
          <w:p w14:paraId="777441CC" w14:textId="7D899D4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$19.803.534.760.057 </w:t>
            </w:r>
          </w:p>
        </w:tc>
        <w:tc>
          <w:tcPr>
            <w:tcW w:w="1600" w:type="dxa"/>
            <w:tcBorders>
              <w:top w:val="nil"/>
              <w:left w:val="nil"/>
              <w:bottom w:val="nil"/>
              <w:right w:val="nil"/>
            </w:tcBorders>
            <w:tcMar>
              <w:top w:w="15" w:type="dxa"/>
              <w:left w:w="15" w:type="dxa"/>
              <w:right w:w="15" w:type="dxa"/>
            </w:tcMar>
            <w:vAlign w:val="bottom"/>
          </w:tcPr>
          <w:p w14:paraId="20F98732" w14:textId="60CE6BF0"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4812</w:t>
            </w:r>
          </w:p>
        </w:tc>
      </w:tr>
      <w:tr w:rsidR="449377F1" w14:paraId="7F854BB1"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38351F87" w14:textId="20CE759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Cultura, recreación y deporte</w:t>
            </w:r>
          </w:p>
        </w:tc>
        <w:tc>
          <w:tcPr>
            <w:tcW w:w="2895" w:type="dxa"/>
            <w:tcBorders>
              <w:top w:val="nil"/>
              <w:left w:val="nil"/>
              <w:bottom w:val="nil"/>
              <w:right w:val="nil"/>
            </w:tcBorders>
            <w:tcMar>
              <w:top w:w="15" w:type="dxa"/>
              <w:left w:w="15" w:type="dxa"/>
              <w:right w:w="15" w:type="dxa"/>
            </w:tcMar>
            <w:vAlign w:val="bottom"/>
          </w:tcPr>
          <w:p w14:paraId="3281C422" w14:textId="6CF4977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$7.769.786.834.293 </w:t>
            </w:r>
          </w:p>
        </w:tc>
        <w:tc>
          <w:tcPr>
            <w:tcW w:w="1600" w:type="dxa"/>
            <w:tcBorders>
              <w:top w:val="nil"/>
              <w:left w:val="nil"/>
              <w:bottom w:val="nil"/>
              <w:right w:val="nil"/>
            </w:tcBorders>
            <w:tcMar>
              <w:top w:w="15" w:type="dxa"/>
              <w:left w:w="15" w:type="dxa"/>
              <w:right w:w="15" w:type="dxa"/>
            </w:tcMar>
            <w:vAlign w:val="bottom"/>
          </w:tcPr>
          <w:p w14:paraId="0FA2E5F3" w14:textId="1F6E9B4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2315</w:t>
            </w:r>
          </w:p>
        </w:tc>
      </w:tr>
      <w:tr w:rsidR="449377F1" w14:paraId="3CEAEF45"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5110AE2C" w14:textId="528C06D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Edificios institucionales</w:t>
            </w:r>
          </w:p>
        </w:tc>
        <w:tc>
          <w:tcPr>
            <w:tcW w:w="2895" w:type="dxa"/>
            <w:tcBorders>
              <w:top w:val="nil"/>
              <w:left w:val="nil"/>
              <w:bottom w:val="nil"/>
              <w:right w:val="nil"/>
            </w:tcBorders>
            <w:tcMar>
              <w:top w:w="15" w:type="dxa"/>
              <w:left w:w="15" w:type="dxa"/>
              <w:right w:w="15" w:type="dxa"/>
            </w:tcMar>
            <w:vAlign w:val="bottom"/>
          </w:tcPr>
          <w:p w14:paraId="0FA96206" w14:textId="20ACD8B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$5.523.234.713.703 </w:t>
            </w:r>
          </w:p>
        </w:tc>
        <w:tc>
          <w:tcPr>
            <w:tcW w:w="1600" w:type="dxa"/>
            <w:tcBorders>
              <w:top w:val="nil"/>
              <w:left w:val="nil"/>
              <w:bottom w:val="nil"/>
              <w:right w:val="nil"/>
            </w:tcBorders>
            <w:tcMar>
              <w:top w:w="15" w:type="dxa"/>
              <w:left w:w="15" w:type="dxa"/>
              <w:right w:w="15" w:type="dxa"/>
            </w:tcMar>
            <w:vAlign w:val="bottom"/>
          </w:tcPr>
          <w:p w14:paraId="1E2EF195" w14:textId="4ABA699E"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937</w:t>
            </w:r>
          </w:p>
        </w:tc>
      </w:tr>
      <w:tr w:rsidR="449377F1" w14:paraId="525B1722"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6AF21128" w14:textId="17C96ED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Educación</w:t>
            </w:r>
          </w:p>
        </w:tc>
        <w:tc>
          <w:tcPr>
            <w:tcW w:w="2895" w:type="dxa"/>
            <w:tcBorders>
              <w:top w:val="nil"/>
              <w:left w:val="nil"/>
              <w:bottom w:val="nil"/>
              <w:right w:val="nil"/>
            </w:tcBorders>
            <w:tcMar>
              <w:top w:w="15" w:type="dxa"/>
              <w:left w:w="15" w:type="dxa"/>
              <w:right w:w="15" w:type="dxa"/>
            </w:tcMar>
            <w:vAlign w:val="bottom"/>
          </w:tcPr>
          <w:p w14:paraId="27EEBCD5" w14:textId="43C6D3B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$3.827.633.993.967 </w:t>
            </w:r>
          </w:p>
        </w:tc>
        <w:tc>
          <w:tcPr>
            <w:tcW w:w="1600" w:type="dxa"/>
            <w:tcBorders>
              <w:top w:val="nil"/>
              <w:left w:val="nil"/>
              <w:bottom w:val="nil"/>
              <w:right w:val="nil"/>
            </w:tcBorders>
            <w:tcMar>
              <w:top w:w="15" w:type="dxa"/>
              <w:left w:w="15" w:type="dxa"/>
              <w:right w:w="15" w:type="dxa"/>
            </w:tcMar>
            <w:vAlign w:val="bottom"/>
          </w:tcPr>
          <w:p w14:paraId="47D0838E" w14:textId="375F043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1061</w:t>
            </w:r>
          </w:p>
        </w:tc>
      </w:tr>
      <w:tr w:rsidR="449377F1" w14:paraId="378165B2"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687683C7" w14:textId="5773906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Infraestructura de seguridad</w:t>
            </w:r>
          </w:p>
        </w:tc>
        <w:tc>
          <w:tcPr>
            <w:tcW w:w="2895" w:type="dxa"/>
            <w:tcBorders>
              <w:top w:val="nil"/>
              <w:left w:val="nil"/>
              <w:bottom w:val="nil"/>
              <w:right w:val="nil"/>
            </w:tcBorders>
            <w:tcMar>
              <w:top w:w="15" w:type="dxa"/>
              <w:left w:w="15" w:type="dxa"/>
              <w:right w:w="15" w:type="dxa"/>
            </w:tcMar>
            <w:vAlign w:val="bottom"/>
          </w:tcPr>
          <w:p w14:paraId="635D31DE" w14:textId="23566E2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$1.555.759.566.425 </w:t>
            </w:r>
          </w:p>
        </w:tc>
        <w:tc>
          <w:tcPr>
            <w:tcW w:w="1600" w:type="dxa"/>
            <w:tcBorders>
              <w:top w:val="nil"/>
              <w:left w:val="nil"/>
              <w:bottom w:val="nil"/>
              <w:right w:val="nil"/>
            </w:tcBorders>
            <w:tcMar>
              <w:top w:w="15" w:type="dxa"/>
              <w:left w:w="15" w:type="dxa"/>
              <w:right w:w="15" w:type="dxa"/>
            </w:tcMar>
            <w:vAlign w:val="bottom"/>
          </w:tcPr>
          <w:p w14:paraId="6FF1245E" w14:textId="271923F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263</w:t>
            </w:r>
          </w:p>
        </w:tc>
      </w:tr>
      <w:tr w:rsidR="449377F1" w14:paraId="64070803"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2AC7C6E3" w14:textId="3DAE7734"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Salud</w:t>
            </w:r>
          </w:p>
        </w:tc>
        <w:tc>
          <w:tcPr>
            <w:tcW w:w="2895" w:type="dxa"/>
            <w:tcBorders>
              <w:top w:val="nil"/>
              <w:left w:val="nil"/>
              <w:bottom w:val="nil"/>
              <w:right w:val="nil"/>
            </w:tcBorders>
            <w:tcMar>
              <w:top w:w="15" w:type="dxa"/>
              <w:left w:w="15" w:type="dxa"/>
              <w:right w:w="15" w:type="dxa"/>
            </w:tcMar>
            <w:vAlign w:val="bottom"/>
          </w:tcPr>
          <w:p w14:paraId="7FCB0D4E" w14:textId="6277676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$1.127.119.651.669 </w:t>
            </w:r>
          </w:p>
        </w:tc>
        <w:tc>
          <w:tcPr>
            <w:tcW w:w="1600" w:type="dxa"/>
            <w:tcBorders>
              <w:top w:val="nil"/>
              <w:left w:val="nil"/>
              <w:bottom w:val="nil"/>
              <w:right w:val="nil"/>
            </w:tcBorders>
            <w:tcMar>
              <w:top w:w="15" w:type="dxa"/>
              <w:left w:w="15" w:type="dxa"/>
              <w:right w:w="15" w:type="dxa"/>
            </w:tcMar>
            <w:vAlign w:val="bottom"/>
          </w:tcPr>
          <w:p w14:paraId="10B325C1" w14:textId="4855920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236</w:t>
            </w:r>
          </w:p>
        </w:tc>
      </w:tr>
      <w:tr w:rsidR="449377F1" w14:paraId="6C897D7E" w14:textId="77777777" w:rsidTr="449377F1">
        <w:trPr>
          <w:trHeight w:val="300"/>
        </w:trPr>
        <w:tc>
          <w:tcPr>
            <w:tcW w:w="5055" w:type="dxa"/>
            <w:tcBorders>
              <w:top w:val="nil"/>
              <w:left w:val="nil"/>
              <w:bottom w:val="nil"/>
              <w:right w:val="nil"/>
            </w:tcBorders>
            <w:tcMar>
              <w:top w:w="15" w:type="dxa"/>
              <w:left w:w="15" w:type="dxa"/>
              <w:right w:w="15" w:type="dxa"/>
            </w:tcMar>
            <w:vAlign w:val="bottom"/>
          </w:tcPr>
          <w:p w14:paraId="7A0D560D" w14:textId="36425D88"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2895" w:type="dxa"/>
            <w:tcBorders>
              <w:top w:val="nil"/>
              <w:left w:val="nil"/>
              <w:bottom w:val="nil"/>
              <w:right w:val="nil"/>
            </w:tcBorders>
            <w:tcMar>
              <w:top w:w="15" w:type="dxa"/>
              <w:left w:w="15" w:type="dxa"/>
              <w:right w:w="15" w:type="dxa"/>
            </w:tcMar>
            <w:vAlign w:val="bottom"/>
          </w:tcPr>
          <w:p w14:paraId="6F200D5D" w14:textId="5155103A"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$3.777.496.548.997 </w:t>
            </w:r>
          </w:p>
        </w:tc>
        <w:tc>
          <w:tcPr>
            <w:tcW w:w="1600" w:type="dxa"/>
            <w:tcBorders>
              <w:top w:val="nil"/>
              <w:left w:val="nil"/>
              <w:bottom w:val="nil"/>
              <w:right w:val="nil"/>
            </w:tcBorders>
            <w:tcMar>
              <w:top w:w="15" w:type="dxa"/>
              <w:left w:w="15" w:type="dxa"/>
              <w:right w:w="15" w:type="dxa"/>
            </w:tcMar>
            <w:vAlign w:val="bottom"/>
          </w:tcPr>
          <w:p w14:paraId="5671AAE3" w14:textId="157A65F7"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8249</w:t>
            </w:r>
          </w:p>
        </w:tc>
      </w:tr>
      <w:tr w:rsidR="449377F1" w14:paraId="4E5C2D51"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79A20959" w14:textId="2F9EE32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Cultura, recreación y deporte</w:t>
            </w:r>
          </w:p>
        </w:tc>
        <w:tc>
          <w:tcPr>
            <w:tcW w:w="2895" w:type="dxa"/>
            <w:tcBorders>
              <w:top w:val="nil"/>
              <w:left w:val="nil"/>
              <w:bottom w:val="nil"/>
              <w:right w:val="nil"/>
            </w:tcBorders>
            <w:tcMar>
              <w:top w:w="15" w:type="dxa"/>
              <w:left w:w="15" w:type="dxa"/>
              <w:right w:w="15" w:type="dxa"/>
            </w:tcMar>
            <w:vAlign w:val="bottom"/>
          </w:tcPr>
          <w:p w14:paraId="36557B86" w14:textId="2A519CA6"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$1.073.526.110.658 </w:t>
            </w:r>
          </w:p>
        </w:tc>
        <w:tc>
          <w:tcPr>
            <w:tcW w:w="1600" w:type="dxa"/>
            <w:tcBorders>
              <w:top w:val="nil"/>
              <w:left w:val="nil"/>
              <w:bottom w:val="nil"/>
              <w:right w:val="nil"/>
            </w:tcBorders>
            <w:tcMar>
              <w:top w:w="15" w:type="dxa"/>
              <w:left w:w="15" w:type="dxa"/>
              <w:right w:w="15" w:type="dxa"/>
            </w:tcMar>
            <w:vAlign w:val="bottom"/>
          </w:tcPr>
          <w:p w14:paraId="7D73169E" w14:textId="2C1D57C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2358</w:t>
            </w:r>
          </w:p>
        </w:tc>
      </w:tr>
      <w:tr w:rsidR="449377F1" w14:paraId="037397F1"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030B1A5C" w14:textId="5825A01C"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Edificios institucionales</w:t>
            </w:r>
          </w:p>
        </w:tc>
        <w:tc>
          <w:tcPr>
            <w:tcW w:w="2895" w:type="dxa"/>
            <w:tcBorders>
              <w:top w:val="nil"/>
              <w:left w:val="nil"/>
              <w:bottom w:val="nil"/>
              <w:right w:val="nil"/>
            </w:tcBorders>
            <w:tcMar>
              <w:top w:w="15" w:type="dxa"/>
              <w:left w:w="15" w:type="dxa"/>
              <w:right w:w="15" w:type="dxa"/>
            </w:tcMar>
            <w:vAlign w:val="bottom"/>
          </w:tcPr>
          <w:p w14:paraId="187FD53E" w14:textId="1802D2CE"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$832.926.810.311 </w:t>
            </w:r>
          </w:p>
        </w:tc>
        <w:tc>
          <w:tcPr>
            <w:tcW w:w="1600" w:type="dxa"/>
            <w:tcBorders>
              <w:top w:val="nil"/>
              <w:left w:val="nil"/>
              <w:bottom w:val="nil"/>
              <w:right w:val="nil"/>
            </w:tcBorders>
            <w:tcMar>
              <w:top w:w="15" w:type="dxa"/>
              <w:left w:w="15" w:type="dxa"/>
              <w:right w:w="15" w:type="dxa"/>
            </w:tcMar>
            <w:vAlign w:val="bottom"/>
          </w:tcPr>
          <w:p w14:paraId="7C3D40E0" w14:textId="75DF0C4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1821</w:t>
            </w:r>
          </w:p>
        </w:tc>
      </w:tr>
      <w:tr w:rsidR="449377F1" w14:paraId="5C048622"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6A73D1F6" w14:textId="18B41EA4"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Educación</w:t>
            </w:r>
          </w:p>
        </w:tc>
        <w:tc>
          <w:tcPr>
            <w:tcW w:w="2895" w:type="dxa"/>
            <w:tcBorders>
              <w:top w:val="nil"/>
              <w:left w:val="nil"/>
              <w:bottom w:val="nil"/>
              <w:right w:val="nil"/>
            </w:tcBorders>
            <w:tcMar>
              <w:top w:w="15" w:type="dxa"/>
              <w:left w:w="15" w:type="dxa"/>
              <w:right w:w="15" w:type="dxa"/>
            </w:tcMar>
            <w:vAlign w:val="bottom"/>
          </w:tcPr>
          <w:p w14:paraId="4788DAE4" w14:textId="6E87BCFA"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$615.219.004.139 </w:t>
            </w:r>
          </w:p>
        </w:tc>
        <w:tc>
          <w:tcPr>
            <w:tcW w:w="1600" w:type="dxa"/>
            <w:tcBorders>
              <w:top w:val="nil"/>
              <w:left w:val="nil"/>
              <w:bottom w:val="nil"/>
              <w:right w:val="nil"/>
            </w:tcBorders>
            <w:tcMar>
              <w:top w:w="15" w:type="dxa"/>
              <w:left w:w="15" w:type="dxa"/>
              <w:right w:w="15" w:type="dxa"/>
            </w:tcMar>
            <w:vAlign w:val="bottom"/>
          </w:tcPr>
          <w:p w14:paraId="549DFED9" w14:textId="125720A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2731</w:t>
            </w:r>
          </w:p>
        </w:tc>
      </w:tr>
      <w:tr w:rsidR="449377F1" w14:paraId="75313754"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46A62B2A" w14:textId="687334CB"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Infraestructura de seguridad</w:t>
            </w:r>
          </w:p>
        </w:tc>
        <w:tc>
          <w:tcPr>
            <w:tcW w:w="2895" w:type="dxa"/>
            <w:tcBorders>
              <w:top w:val="nil"/>
              <w:left w:val="nil"/>
              <w:bottom w:val="nil"/>
              <w:right w:val="nil"/>
            </w:tcBorders>
            <w:tcMar>
              <w:top w:w="15" w:type="dxa"/>
              <w:left w:w="15" w:type="dxa"/>
              <w:right w:w="15" w:type="dxa"/>
            </w:tcMar>
            <w:vAlign w:val="bottom"/>
          </w:tcPr>
          <w:p w14:paraId="3CEBBCE5" w14:textId="0D82F38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$1.013.012.293.941 </w:t>
            </w:r>
          </w:p>
        </w:tc>
        <w:tc>
          <w:tcPr>
            <w:tcW w:w="1600" w:type="dxa"/>
            <w:tcBorders>
              <w:top w:val="nil"/>
              <w:left w:val="nil"/>
              <w:bottom w:val="nil"/>
              <w:right w:val="nil"/>
            </w:tcBorders>
            <w:tcMar>
              <w:top w:w="15" w:type="dxa"/>
              <w:left w:w="15" w:type="dxa"/>
              <w:right w:w="15" w:type="dxa"/>
            </w:tcMar>
            <w:vAlign w:val="bottom"/>
          </w:tcPr>
          <w:p w14:paraId="34F6CD98" w14:textId="6B586DF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893</w:t>
            </w:r>
          </w:p>
        </w:tc>
      </w:tr>
      <w:tr w:rsidR="449377F1" w14:paraId="13004C75" w14:textId="77777777" w:rsidTr="449377F1">
        <w:trPr>
          <w:trHeight w:val="300"/>
        </w:trPr>
        <w:tc>
          <w:tcPr>
            <w:tcW w:w="5055" w:type="dxa"/>
            <w:tcBorders>
              <w:top w:val="nil"/>
              <w:left w:val="nil"/>
              <w:bottom w:val="nil"/>
              <w:right w:val="nil"/>
            </w:tcBorders>
            <w:tcMar>
              <w:top w:w="15" w:type="dxa"/>
              <w:left w:w="135" w:type="dxa"/>
              <w:right w:w="15" w:type="dxa"/>
            </w:tcMar>
            <w:vAlign w:val="bottom"/>
          </w:tcPr>
          <w:p w14:paraId="02B566AA" w14:textId="35247BA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Salud</w:t>
            </w:r>
          </w:p>
        </w:tc>
        <w:tc>
          <w:tcPr>
            <w:tcW w:w="2895" w:type="dxa"/>
            <w:tcBorders>
              <w:top w:val="nil"/>
              <w:left w:val="nil"/>
              <w:bottom w:val="nil"/>
              <w:right w:val="nil"/>
            </w:tcBorders>
            <w:tcMar>
              <w:top w:w="15" w:type="dxa"/>
              <w:left w:w="15" w:type="dxa"/>
              <w:right w:w="15" w:type="dxa"/>
            </w:tcMar>
            <w:vAlign w:val="bottom"/>
          </w:tcPr>
          <w:p w14:paraId="3B73D8B0" w14:textId="5A331A32"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$242.812.329.948 </w:t>
            </w:r>
          </w:p>
        </w:tc>
        <w:tc>
          <w:tcPr>
            <w:tcW w:w="1600" w:type="dxa"/>
            <w:tcBorders>
              <w:top w:val="nil"/>
              <w:left w:val="nil"/>
              <w:bottom w:val="nil"/>
              <w:right w:val="nil"/>
            </w:tcBorders>
            <w:tcMar>
              <w:top w:w="15" w:type="dxa"/>
              <w:left w:w="15" w:type="dxa"/>
              <w:right w:w="15" w:type="dxa"/>
            </w:tcMar>
            <w:vAlign w:val="bottom"/>
          </w:tcPr>
          <w:p w14:paraId="522655A5" w14:textId="1C05323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446</w:t>
            </w:r>
          </w:p>
        </w:tc>
      </w:tr>
      <w:tr w:rsidR="449377F1" w14:paraId="78EE6E3D" w14:textId="77777777" w:rsidTr="449377F1">
        <w:trPr>
          <w:trHeight w:val="300"/>
        </w:trPr>
        <w:tc>
          <w:tcPr>
            <w:tcW w:w="5055" w:type="dxa"/>
            <w:tcBorders>
              <w:top w:val="nil"/>
              <w:left w:val="nil"/>
              <w:bottom w:val="nil"/>
              <w:right w:val="nil"/>
            </w:tcBorders>
            <w:shd w:val="clear" w:color="auto" w:fill="D9E1F2"/>
            <w:tcMar>
              <w:top w:w="15" w:type="dxa"/>
              <w:left w:w="15" w:type="dxa"/>
              <w:right w:w="15" w:type="dxa"/>
            </w:tcMar>
            <w:vAlign w:val="bottom"/>
          </w:tcPr>
          <w:p w14:paraId="68407E79" w14:textId="674C1A71" w:rsidR="449377F1" w:rsidRDefault="449377F1"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895" w:type="dxa"/>
            <w:tcBorders>
              <w:top w:val="nil"/>
              <w:left w:val="nil"/>
              <w:bottom w:val="nil"/>
              <w:right w:val="nil"/>
            </w:tcBorders>
            <w:shd w:val="clear" w:color="auto" w:fill="D9E1F2"/>
            <w:tcMar>
              <w:top w:w="15" w:type="dxa"/>
              <w:left w:w="15" w:type="dxa"/>
              <w:right w:w="15" w:type="dxa"/>
            </w:tcMar>
            <w:vAlign w:val="bottom"/>
          </w:tcPr>
          <w:p w14:paraId="3B50EFBC" w14:textId="0B7B5942"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$24.015.156.183.828 </w:t>
            </w:r>
          </w:p>
        </w:tc>
        <w:tc>
          <w:tcPr>
            <w:tcW w:w="1600" w:type="dxa"/>
            <w:tcBorders>
              <w:top w:val="nil"/>
              <w:left w:val="nil"/>
              <w:bottom w:val="nil"/>
              <w:right w:val="nil"/>
            </w:tcBorders>
            <w:shd w:val="clear" w:color="auto" w:fill="D9E1F2"/>
            <w:tcMar>
              <w:top w:w="15" w:type="dxa"/>
              <w:left w:w="15" w:type="dxa"/>
              <w:right w:w="15" w:type="dxa"/>
            </w:tcMar>
            <w:vAlign w:val="bottom"/>
          </w:tcPr>
          <w:p w14:paraId="42C9C307" w14:textId="7C987C40"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22169</w:t>
            </w:r>
          </w:p>
        </w:tc>
      </w:tr>
    </w:tbl>
    <w:p w14:paraId="63CE2191" w14:textId="52F02FF1" w:rsidR="449377F1" w:rsidRDefault="449377F1" w:rsidP="449377F1">
      <w:pPr>
        <w:jc w:val="both"/>
        <w:rPr>
          <w:rFonts w:ascii="Verdana Pro" w:eastAsia="Verdana Pro" w:hAnsi="Verdana Pro" w:cs="Verdana Pro"/>
          <w:sz w:val="22"/>
          <w:szCs w:val="22"/>
        </w:rPr>
      </w:pPr>
    </w:p>
    <w:p w14:paraId="304972AB" w14:textId="1BF4A039" w:rsidR="239EE7EB" w:rsidRDefault="6834308B"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A continuación, se analiza el uso de las modalidades de selección empleadas por las entidades públicas en el Sector. En particular, se evaluaron las modalidades utilizadas para la contratación de obras, las cuales son de carácter competitivo. No obstante, aunque los Convenios con Dos Partes no se consideran una modalidad de selección según la Ley 1150 de 2007, para los fines de este estudio se incluyen en el análisis debido a la obligatoriedad de implementar documentos tipo en su gestión.</w:t>
      </w:r>
    </w:p>
    <w:p w14:paraId="04437BA6" w14:textId="77777777" w:rsidR="002A35A3" w:rsidRDefault="002A35A3" w:rsidP="00B00FCB">
      <w:pPr>
        <w:pStyle w:val="Descripcin"/>
        <w:spacing w:after="0"/>
        <w:jc w:val="center"/>
        <w:rPr>
          <w:rFonts w:ascii="Verdana Pro" w:eastAsia="Verdana Pro" w:hAnsi="Verdana Pro" w:cs="Verdana Pro"/>
          <w:sz w:val="22"/>
          <w:szCs w:val="22"/>
          <w:lang w:val="es-CO" w:eastAsia="es-CO"/>
        </w:rPr>
      </w:pPr>
      <w:bookmarkStart w:id="15" w:name="_Toc180136782"/>
    </w:p>
    <w:p w14:paraId="08F98F82" w14:textId="7B3390B5" w:rsidR="00391DED" w:rsidRPr="005C7E10" w:rsidRDefault="371A1A06" w:rsidP="00B00FCB">
      <w:pPr>
        <w:pStyle w:val="Descripcin"/>
        <w:spacing w:after="0"/>
        <w:jc w:val="center"/>
        <w:rPr>
          <w:rFonts w:ascii="Verdana Pro" w:eastAsia="Verdana Pro" w:hAnsi="Verdana Pro" w:cs="Verdana Pro"/>
          <w:sz w:val="22"/>
          <w:szCs w:val="22"/>
          <w:lang w:eastAsia="es-CO"/>
        </w:rPr>
      </w:pPr>
      <w:r w:rsidRPr="449377F1">
        <w:rPr>
          <w:rFonts w:ascii="Verdana Pro" w:eastAsia="Verdana Pro" w:hAnsi="Verdana Pro" w:cs="Verdana Pro"/>
          <w:sz w:val="22"/>
          <w:szCs w:val="22"/>
          <w:lang w:val="es-CO" w:eastAsia="es-CO"/>
        </w:rPr>
        <w:t xml:space="preserve">Gráfica </w:t>
      </w:r>
      <w:r w:rsidR="00391DED" w:rsidRPr="449377F1">
        <w:rPr>
          <w:rFonts w:ascii="Verdana" w:eastAsia="Times New Roman" w:hAnsi="Verdana" w:cs="Arial"/>
          <w:sz w:val="22"/>
          <w:szCs w:val="22"/>
          <w:lang w:val="es-CO" w:eastAsia="es-CO"/>
        </w:rPr>
        <w:fldChar w:fldCharType="begin"/>
      </w:r>
      <w:r w:rsidR="00391DED" w:rsidRPr="449377F1">
        <w:rPr>
          <w:rFonts w:ascii="Verdana" w:eastAsia="Times New Roman" w:hAnsi="Verdana" w:cs="Arial"/>
          <w:sz w:val="22"/>
          <w:szCs w:val="22"/>
          <w:lang w:val="es-CO" w:eastAsia="es-CO"/>
        </w:rPr>
        <w:instrText xml:space="preserve"> SEQ Gráfica \* ARABIC </w:instrText>
      </w:r>
      <w:r w:rsidR="00391DED" w:rsidRPr="449377F1">
        <w:rPr>
          <w:rFonts w:ascii="Verdana" w:eastAsia="Times New Roman" w:hAnsi="Verdana" w:cs="Arial"/>
          <w:sz w:val="22"/>
          <w:szCs w:val="22"/>
          <w:lang w:val="es-CO" w:eastAsia="es-CO"/>
        </w:rPr>
        <w:fldChar w:fldCharType="separate"/>
      </w:r>
      <w:r w:rsidR="01938715" w:rsidRPr="449377F1">
        <w:rPr>
          <w:rFonts w:ascii="Verdana" w:eastAsia="Times New Roman" w:hAnsi="Verdana" w:cs="Arial"/>
          <w:noProof/>
          <w:sz w:val="22"/>
          <w:szCs w:val="22"/>
          <w:lang w:val="es-CO" w:eastAsia="es-CO"/>
        </w:rPr>
        <w:t>15</w:t>
      </w:r>
      <w:r w:rsidR="00391DED" w:rsidRPr="449377F1">
        <w:rPr>
          <w:rFonts w:ascii="Verdana" w:eastAsia="Times New Roman" w:hAnsi="Verdana" w:cs="Arial"/>
          <w:sz w:val="22"/>
          <w:szCs w:val="22"/>
          <w:lang w:val="es-CO" w:eastAsia="es-CO"/>
        </w:rPr>
        <w:fldChar w:fldCharType="end"/>
      </w:r>
      <w:r w:rsidRPr="449377F1">
        <w:rPr>
          <w:rFonts w:ascii="Verdana Pro" w:eastAsia="Verdana Pro" w:hAnsi="Verdana Pro" w:cs="Verdana Pro"/>
          <w:sz w:val="22"/>
          <w:szCs w:val="22"/>
          <w:lang w:val="es-CO" w:eastAsia="es-CO"/>
        </w:rPr>
        <w:t>. Modalidades</w:t>
      </w:r>
      <w:r w:rsidR="197B2441" w:rsidRPr="449377F1">
        <w:rPr>
          <w:rFonts w:ascii="Verdana Pro" w:eastAsia="Verdana Pro" w:hAnsi="Verdana Pro" w:cs="Verdana Pro"/>
          <w:sz w:val="22"/>
          <w:szCs w:val="22"/>
          <w:lang w:val="es-CO" w:eastAsia="es-CO"/>
        </w:rPr>
        <w:t xml:space="preserve"> Sector Salud</w:t>
      </w:r>
      <w:bookmarkEnd w:id="15"/>
    </w:p>
    <w:p w14:paraId="147B8C3E" w14:textId="3B1A2CD7" w:rsidR="00E740D4" w:rsidRDefault="2D0D823C" w:rsidP="449377F1">
      <w:pPr>
        <w:ind w:left="360"/>
        <w:jc w:val="center"/>
        <w:rPr>
          <w:rFonts w:ascii="Verdana Pro" w:eastAsia="Verdana Pro" w:hAnsi="Verdana Pro" w:cs="Verdana Pro"/>
        </w:rPr>
      </w:pPr>
      <w:r>
        <w:rPr>
          <w:noProof/>
        </w:rPr>
        <w:drawing>
          <wp:inline distT="0" distB="0" distL="0" distR="0" wp14:anchorId="5BE8E790" wp14:editId="053378A2">
            <wp:extent cx="3903134" cy="1828629"/>
            <wp:effectExtent l="0" t="0" r="2540" b="635"/>
            <wp:docPr id="781719493" name="Picture 78171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918594" cy="1835872"/>
                    </a:xfrm>
                    <a:prstGeom prst="rect">
                      <a:avLst/>
                    </a:prstGeom>
                  </pic:spPr>
                </pic:pic>
              </a:graphicData>
            </a:graphic>
          </wp:inline>
        </w:drawing>
      </w:r>
    </w:p>
    <w:p w14:paraId="32B7626B" w14:textId="0B7A7582" w:rsidR="00391DED" w:rsidRPr="00C272E3" w:rsidRDefault="371A1A06"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1C697D95" w14:textId="77777777" w:rsidR="00391DED" w:rsidRDefault="00391DED" w:rsidP="449377F1">
      <w:pPr>
        <w:ind w:left="360"/>
        <w:rPr>
          <w:rFonts w:ascii="Verdana Pro" w:eastAsia="Verdana Pro" w:hAnsi="Verdana Pro" w:cs="Verdana Pro"/>
          <w:sz w:val="22"/>
          <w:szCs w:val="22"/>
        </w:rPr>
      </w:pPr>
    </w:p>
    <w:p w14:paraId="6910C6A3" w14:textId="087A1749" w:rsidR="00391DED" w:rsidRDefault="6F9141B9"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A continuación, se analiza el acumulado en los periodos estudiados del uso de las modalidades de selección por parte de las entidades públicas para el Sector Salud. Particularmente, se observaron aquellas modalidades a través de las cuales se contrataron obras, estas son propiamente de carácter competitivo, adicionalmente se observan algunos contratos adelantados mediante Contratación directa, tipificados como convenio interadministrativo entre dos partes.</w:t>
      </w:r>
    </w:p>
    <w:p w14:paraId="5B9A8C5E" w14:textId="13F01229" w:rsidR="177792B3" w:rsidRDefault="177792B3" w:rsidP="00B00FCB">
      <w:pPr>
        <w:jc w:val="both"/>
        <w:rPr>
          <w:rFonts w:ascii="Verdana Pro" w:eastAsia="Verdana Pro" w:hAnsi="Verdana Pro" w:cs="Verdana Pro"/>
          <w:sz w:val="22"/>
          <w:szCs w:val="22"/>
        </w:rPr>
      </w:pPr>
    </w:p>
    <w:p w14:paraId="24B0C15A" w14:textId="6167D7E7" w:rsidR="5AEEA749" w:rsidRDefault="43FE7EE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gráfico detalla las modalidades de contratación utilizadas en el sector salud, destacando tanto el valor contratado (en miles de millones de pesos) como el número de contratos asociados a cada modalidad.</w:t>
      </w:r>
    </w:p>
    <w:p w14:paraId="67F7E419" w14:textId="2ECB2DBA" w:rsidR="177792B3" w:rsidRDefault="177792B3" w:rsidP="00B00FCB">
      <w:pPr>
        <w:jc w:val="both"/>
        <w:rPr>
          <w:rFonts w:ascii="Verdana Pro" w:eastAsia="Verdana Pro" w:hAnsi="Verdana Pro" w:cs="Verdana Pro"/>
          <w:sz w:val="22"/>
          <w:szCs w:val="22"/>
        </w:rPr>
      </w:pPr>
    </w:p>
    <w:p w14:paraId="47AB9150" w14:textId="348B3DAD" w:rsidR="5AEEA749" w:rsidRDefault="43FE7EE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Concurso de Méritos presenta un valor contratado de $8 mil millones, asociado a un número mínimo de contratos. Esto sugiere un uso marginal de esta modalidad, tanto en términos de frecuencia como de impacto económico en el sector salud.</w:t>
      </w:r>
    </w:p>
    <w:p w14:paraId="337E2966" w14:textId="676C949B" w:rsidR="177792B3" w:rsidRDefault="177792B3" w:rsidP="00B00FCB">
      <w:pPr>
        <w:jc w:val="both"/>
        <w:rPr>
          <w:rFonts w:ascii="Verdana Pro" w:eastAsia="Verdana Pro" w:hAnsi="Verdana Pro" w:cs="Verdana Pro"/>
          <w:sz w:val="22"/>
          <w:szCs w:val="22"/>
        </w:rPr>
      </w:pPr>
    </w:p>
    <w:p w14:paraId="3F02F5FD" w14:textId="6D6EE2D6" w:rsidR="5AEEA749" w:rsidRDefault="43FE7EE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Contratación Mínima Cuantía registra un valor contratado de $13 mil millones, con un número mayor de contratos en comparación con el Concurso de Méritos. Esta modalidad, aunque limitada en términos de valor, refleja una mayor utilización, probablemente para satisfacer necesidades específicas de baja cuantía.</w:t>
      </w:r>
    </w:p>
    <w:p w14:paraId="27B89CD0" w14:textId="5FC97C38" w:rsidR="177792B3" w:rsidRDefault="177792B3" w:rsidP="00B00FCB">
      <w:pPr>
        <w:jc w:val="both"/>
        <w:rPr>
          <w:rFonts w:ascii="Verdana Pro" w:eastAsia="Verdana Pro" w:hAnsi="Verdana Pro" w:cs="Verdana Pro"/>
          <w:sz w:val="22"/>
          <w:szCs w:val="22"/>
        </w:rPr>
      </w:pPr>
    </w:p>
    <w:p w14:paraId="2DF3383E" w14:textId="07848665" w:rsidR="5AEEA749" w:rsidRDefault="43FE7EE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Los Convenios dos Partes concentran un valor contratado de $76 mil millones, con un número significativamente menor de contratos en comparación con las otras modalidades. Esto indica un enfoque en procesos de mayor cuantía individual, aunque con un impacto más limitado en términos de volumen.</w:t>
      </w:r>
    </w:p>
    <w:p w14:paraId="44AE44FB" w14:textId="77777777" w:rsidR="00CE265E" w:rsidRDefault="00CE265E" w:rsidP="449377F1">
      <w:pPr>
        <w:ind w:left="360"/>
        <w:jc w:val="both"/>
        <w:rPr>
          <w:rFonts w:ascii="Verdana Pro" w:eastAsia="Verdana Pro" w:hAnsi="Verdana Pro" w:cs="Verdana Pro"/>
          <w:sz w:val="22"/>
          <w:szCs w:val="22"/>
        </w:rPr>
      </w:pPr>
    </w:p>
    <w:p w14:paraId="4A25C196" w14:textId="7478662F" w:rsidR="00CE265E" w:rsidRPr="00CE265E" w:rsidRDefault="44366A4B" w:rsidP="449377F1">
      <w:pPr>
        <w:pStyle w:val="Descripcin"/>
        <w:jc w:val="center"/>
        <w:rPr>
          <w:rFonts w:ascii="Verdana Pro" w:eastAsia="Verdana Pro" w:hAnsi="Verdana Pro" w:cs="Verdana Pro"/>
          <w:sz w:val="24"/>
          <w:szCs w:val="24"/>
        </w:rPr>
      </w:pPr>
      <w:bookmarkStart w:id="16" w:name="_Toc180136783"/>
      <w:r w:rsidRPr="449377F1">
        <w:rPr>
          <w:rFonts w:ascii="Verdana Pro" w:eastAsia="Verdana Pro" w:hAnsi="Verdana Pro" w:cs="Verdana Pro"/>
          <w:sz w:val="22"/>
          <w:szCs w:val="22"/>
        </w:rPr>
        <w:t xml:space="preserve">Gráfica </w:t>
      </w:r>
      <w:r w:rsidR="00CE265E" w:rsidRPr="449377F1">
        <w:rPr>
          <w:rFonts w:ascii="Verdana" w:hAnsi="Verdana"/>
          <w:sz w:val="22"/>
          <w:szCs w:val="22"/>
        </w:rPr>
        <w:fldChar w:fldCharType="begin"/>
      </w:r>
      <w:r w:rsidR="00CE265E" w:rsidRPr="449377F1">
        <w:rPr>
          <w:rFonts w:ascii="Verdana" w:hAnsi="Verdana"/>
          <w:sz w:val="22"/>
          <w:szCs w:val="22"/>
        </w:rPr>
        <w:instrText xml:space="preserve"> SEQ Gráfica \* ARABIC </w:instrText>
      </w:r>
      <w:r w:rsidR="00CE265E" w:rsidRPr="449377F1">
        <w:rPr>
          <w:rFonts w:ascii="Verdana" w:hAnsi="Verdana"/>
          <w:sz w:val="22"/>
          <w:szCs w:val="22"/>
        </w:rPr>
        <w:fldChar w:fldCharType="separate"/>
      </w:r>
      <w:r w:rsidR="01938715" w:rsidRPr="449377F1">
        <w:rPr>
          <w:rFonts w:ascii="Verdana" w:hAnsi="Verdana"/>
          <w:noProof/>
          <w:sz w:val="22"/>
          <w:szCs w:val="22"/>
        </w:rPr>
        <w:t>16</w:t>
      </w:r>
      <w:r w:rsidR="00CE265E" w:rsidRPr="449377F1">
        <w:rPr>
          <w:rFonts w:ascii="Verdana" w:hAnsi="Verdana"/>
          <w:sz w:val="22"/>
          <w:szCs w:val="22"/>
        </w:rPr>
        <w:fldChar w:fldCharType="end"/>
      </w:r>
      <w:r w:rsidRPr="449377F1">
        <w:rPr>
          <w:rFonts w:ascii="Verdana Pro" w:eastAsia="Verdana Pro" w:hAnsi="Verdana Pro" w:cs="Verdana Pro"/>
          <w:sz w:val="22"/>
          <w:szCs w:val="22"/>
        </w:rPr>
        <w:t>. Modalidades Sector Educación</w:t>
      </w:r>
      <w:bookmarkEnd w:id="16"/>
    </w:p>
    <w:p w14:paraId="240E4D61" w14:textId="12308A31" w:rsidR="00BF29CD" w:rsidRPr="00C272E3" w:rsidRDefault="4828D7ED" w:rsidP="449377F1">
      <w:pPr>
        <w:jc w:val="center"/>
        <w:rPr>
          <w:rFonts w:ascii="Verdana Pro" w:eastAsia="Verdana Pro" w:hAnsi="Verdana Pro" w:cs="Verdana Pro"/>
          <w:sz w:val="16"/>
          <w:szCs w:val="16"/>
        </w:rPr>
      </w:pPr>
      <w:r>
        <w:rPr>
          <w:noProof/>
        </w:rPr>
        <w:drawing>
          <wp:inline distT="0" distB="0" distL="0" distR="0" wp14:anchorId="49180919" wp14:editId="2A4834E4">
            <wp:extent cx="3556000" cy="1745005"/>
            <wp:effectExtent l="0" t="0" r="6350" b="7620"/>
            <wp:docPr id="1272005415" name="Picture 127200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3560013" cy="1746974"/>
                    </a:xfrm>
                    <a:prstGeom prst="rect">
                      <a:avLst/>
                    </a:prstGeom>
                  </pic:spPr>
                </pic:pic>
              </a:graphicData>
            </a:graphic>
          </wp:inline>
        </w:drawing>
      </w:r>
    </w:p>
    <w:p w14:paraId="2F3BD6BC" w14:textId="2E43258D" w:rsidR="00BF29CD" w:rsidRPr="00C272E3" w:rsidRDefault="56FA2250"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482FD6A8" w14:textId="77777777" w:rsidR="00CE265E" w:rsidRDefault="00CE265E" w:rsidP="449377F1">
      <w:pPr>
        <w:ind w:left="360"/>
        <w:jc w:val="both"/>
        <w:rPr>
          <w:rFonts w:ascii="Verdana Pro" w:eastAsia="Verdana Pro" w:hAnsi="Verdana Pro" w:cs="Verdana Pro"/>
          <w:sz w:val="22"/>
          <w:szCs w:val="22"/>
        </w:rPr>
      </w:pPr>
    </w:p>
    <w:p w14:paraId="6D1279E1" w14:textId="1D92E7A2" w:rsidR="00CE265E" w:rsidRDefault="23CA5C0E"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lastRenderedPageBreak/>
        <w:t>La Licitación Pública fue la modalidad que mayores valores concentró y tuvo el mayor número de contratos, con un valor contratado de $3,83 billones de pesos en 1.061 contratos. En términos de cuantías agregadas, siguió la Selección Abreviada con $615,229 millones de pesos, a través de 2.731 contratos, y la Mínima Cuantía se ubica como la tercera modalidad más usada en cuanto al valor de los contratos, con $94,101 millones de pesos y un total de 3.256 contratos, concentrando el mayor número de contratos.</w:t>
      </w:r>
    </w:p>
    <w:p w14:paraId="3758051E" w14:textId="1065530C" w:rsidR="00CE265E" w:rsidRDefault="00CE265E" w:rsidP="00B00FCB">
      <w:pPr>
        <w:jc w:val="both"/>
        <w:rPr>
          <w:rFonts w:ascii="Verdana Pro" w:eastAsia="Verdana Pro" w:hAnsi="Verdana Pro" w:cs="Verdana Pro"/>
          <w:sz w:val="22"/>
          <w:szCs w:val="22"/>
        </w:rPr>
      </w:pPr>
    </w:p>
    <w:p w14:paraId="75048FC8" w14:textId="68C339CD" w:rsidR="00CE265E" w:rsidRDefault="23CA5C0E"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Seguido de la Contratación Directa, caracterizada como convenio entre dos partes, con $14,739 millones de pesos en 7 contratos, siendo esta cantidad de contratos la menor en la modalidad. Finalmente, el Concurso de Méritos, con $14,565 millones de pesos en 25 contratos.</w:t>
      </w:r>
    </w:p>
    <w:p w14:paraId="28D5BE0B" w14:textId="1AAB9C1F" w:rsidR="00CE265E" w:rsidRDefault="00CE265E" w:rsidP="00B00FCB">
      <w:pPr>
        <w:jc w:val="both"/>
        <w:rPr>
          <w:rFonts w:ascii="Verdana Pro" w:eastAsia="Verdana Pro" w:hAnsi="Verdana Pro" w:cs="Verdana Pro"/>
          <w:sz w:val="22"/>
          <w:szCs w:val="22"/>
        </w:rPr>
      </w:pPr>
    </w:p>
    <w:p w14:paraId="0507BD3F" w14:textId="18AE5C22" w:rsidR="00CE265E" w:rsidRDefault="23CA5C0E"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Licitación Pública concentró los mayores valores dada la naturaleza de las obras educativas y los valores de estas, lo que responde a la exigencia legal de su uso para contratos de conformidad con su objeto y cuantía.</w:t>
      </w:r>
    </w:p>
    <w:p w14:paraId="77259690" w14:textId="7EC61FA5" w:rsidR="00CE265E" w:rsidRDefault="00CE265E" w:rsidP="00B00FCB">
      <w:pPr>
        <w:jc w:val="both"/>
        <w:rPr>
          <w:rFonts w:ascii="Verdana Pro" w:eastAsia="Verdana Pro" w:hAnsi="Verdana Pro" w:cs="Verdana Pro"/>
          <w:sz w:val="22"/>
          <w:szCs w:val="22"/>
        </w:rPr>
      </w:pPr>
    </w:p>
    <w:p w14:paraId="455B5197" w14:textId="5683E18A" w:rsidR="00CE265E" w:rsidRDefault="23CA5C0E"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último, es de resaltar que la presencia de la Contratación Directa, con la justificación de convenio entre dos partes, la cual concentró el menor número de contratos, es producto de la previsión legal para la asociación de entidades públicas para la realización de obras.</w:t>
      </w:r>
    </w:p>
    <w:p w14:paraId="082AFA69" w14:textId="77777777" w:rsidR="00CE265E" w:rsidRDefault="00CE265E" w:rsidP="449377F1">
      <w:pPr>
        <w:ind w:left="360"/>
        <w:jc w:val="both"/>
        <w:rPr>
          <w:rFonts w:ascii="Verdana Pro" w:eastAsia="Verdana Pro" w:hAnsi="Verdana Pro" w:cs="Verdana Pro"/>
          <w:sz w:val="22"/>
          <w:szCs w:val="22"/>
        </w:rPr>
      </w:pPr>
    </w:p>
    <w:p w14:paraId="2F5A5AA1" w14:textId="1C5E3E10" w:rsidR="00BF29CD" w:rsidRPr="00BF29CD" w:rsidRDefault="56FA2250" w:rsidP="449377F1">
      <w:pPr>
        <w:pStyle w:val="Descripcin"/>
        <w:jc w:val="center"/>
        <w:rPr>
          <w:rFonts w:ascii="Verdana Pro" w:eastAsia="Verdana Pro" w:hAnsi="Verdana Pro" w:cs="Verdana Pro"/>
          <w:sz w:val="24"/>
          <w:szCs w:val="24"/>
        </w:rPr>
      </w:pPr>
      <w:bookmarkStart w:id="17" w:name="_Toc180136784"/>
      <w:r w:rsidRPr="449377F1">
        <w:rPr>
          <w:rFonts w:ascii="Verdana Pro" w:eastAsia="Verdana Pro" w:hAnsi="Verdana Pro" w:cs="Verdana Pro"/>
          <w:sz w:val="22"/>
          <w:szCs w:val="22"/>
        </w:rPr>
        <w:t xml:space="preserve">Gráfica </w:t>
      </w:r>
      <w:r w:rsidR="00BF29CD" w:rsidRPr="449377F1">
        <w:rPr>
          <w:rFonts w:ascii="Verdana" w:hAnsi="Verdana"/>
          <w:sz w:val="22"/>
          <w:szCs w:val="22"/>
        </w:rPr>
        <w:fldChar w:fldCharType="begin"/>
      </w:r>
      <w:r w:rsidR="00BF29CD" w:rsidRPr="449377F1">
        <w:rPr>
          <w:rFonts w:ascii="Verdana" w:hAnsi="Verdana"/>
          <w:sz w:val="22"/>
          <w:szCs w:val="22"/>
        </w:rPr>
        <w:instrText xml:space="preserve"> SEQ Gráfica \* ARABIC </w:instrText>
      </w:r>
      <w:r w:rsidR="00BF29CD" w:rsidRPr="449377F1">
        <w:rPr>
          <w:rFonts w:ascii="Verdana" w:hAnsi="Verdana"/>
          <w:sz w:val="22"/>
          <w:szCs w:val="22"/>
        </w:rPr>
        <w:fldChar w:fldCharType="separate"/>
      </w:r>
      <w:r w:rsidR="01938715" w:rsidRPr="449377F1">
        <w:rPr>
          <w:rFonts w:ascii="Verdana" w:hAnsi="Verdana"/>
          <w:noProof/>
          <w:sz w:val="22"/>
          <w:szCs w:val="22"/>
        </w:rPr>
        <w:t>17</w:t>
      </w:r>
      <w:r w:rsidR="00BF29CD" w:rsidRPr="449377F1">
        <w:rPr>
          <w:rFonts w:ascii="Verdana" w:hAnsi="Verdana"/>
          <w:sz w:val="22"/>
          <w:szCs w:val="22"/>
        </w:rPr>
        <w:fldChar w:fldCharType="end"/>
      </w:r>
      <w:r w:rsidRPr="449377F1">
        <w:rPr>
          <w:rFonts w:ascii="Verdana Pro" w:eastAsia="Verdana Pro" w:hAnsi="Verdana Pro" w:cs="Verdana Pro"/>
          <w:sz w:val="22"/>
          <w:szCs w:val="22"/>
        </w:rPr>
        <w:t>. Modalidades Sector Cultura, Recreación y Deporte</w:t>
      </w:r>
      <w:bookmarkEnd w:id="17"/>
    </w:p>
    <w:p w14:paraId="185F8E09" w14:textId="4D9C2965" w:rsidR="00CE265E" w:rsidRDefault="74738930" w:rsidP="449377F1">
      <w:pPr>
        <w:rPr>
          <w:rFonts w:ascii="Verdana Pro" w:eastAsia="Verdana Pro" w:hAnsi="Verdana Pro" w:cs="Verdana Pro"/>
        </w:rPr>
      </w:pPr>
      <w:r>
        <w:rPr>
          <w:noProof/>
        </w:rPr>
        <w:drawing>
          <wp:inline distT="0" distB="0" distL="0" distR="0" wp14:anchorId="6BE5A7D0" wp14:editId="4786F058">
            <wp:extent cx="6124574" cy="2457450"/>
            <wp:effectExtent l="0" t="0" r="0" b="0"/>
            <wp:docPr id="2079715827" name="Picture 207971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6124574" cy="2457450"/>
                    </a:xfrm>
                    <a:prstGeom prst="rect">
                      <a:avLst/>
                    </a:prstGeom>
                  </pic:spPr>
                </pic:pic>
              </a:graphicData>
            </a:graphic>
          </wp:inline>
        </w:drawing>
      </w:r>
    </w:p>
    <w:p w14:paraId="2772B7D7" w14:textId="0F3706A4" w:rsidR="00CE265E" w:rsidRDefault="6C73081A" w:rsidP="449377F1">
      <w:pPr>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66C4E74D" w14:textId="77777777" w:rsidR="00FA5E41" w:rsidRDefault="00FA5E41" w:rsidP="449377F1">
      <w:pPr>
        <w:ind w:left="360"/>
        <w:jc w:val="center"/>
        <w:rPr>
          <w:rFonts w:ascii="Verdana Pro" w:eastAsia="Verdana Pro" w:hAnsi="Verdana Pro" w:cs="Verdana Pro"/>
          <w:sz w:val="16"/>
          <w:szCs w:val="16"/>
        </w:rPr>
      </w:pPr>
    </w:p>
    <w:p w14:paraId="7DAFA743" w14:textId="77777777" w:rsidR="00FA5E41" w:rsidRDefault="00FA5E41" w:rsidP="00B00FCB">
      <w:pPr>
        <w:jc w:val="center"/>
        <w:rPr>
          <w:rFonts w:ascii="Verdana Pro" w:eastAsia="Verdana Pro" w:hAnsi="Verdana Pro" w:cs="Verdana Pro"/>
          <w:sz w:val="16"/>
          <w:szCs w:val="16"/>
        </w:rPr>
      </w:pPr>
    </w:p>
    <w:p w14:paraId="57CA9C7F" w14:textId="7CFE9B31" w:rsidR="00FA5E41" w:rsidRDefault="5F50F7D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gráfico ilustra los valores y el número de contratos celebrados a través de las modalidades descritas. La modalidad de licitación pública concentró los mayores valores contratados por $7.7 billones de pesos que corresponden a 2.315 contratos lo que representan el 87% del valor total.</w:t>
      </w:r>
    </w:p>
    <w:p w14:paraId="2DC92BE4" w14:textId="5BF6B14B" w:rsidR="4B6F30B9" w:rsidRDefault="4B6F30B9" w:rsidP="00B00FCB">
      <w:pPr>
        <w:jc w:val="both"/>
        <w:rPr>
          <w:rFonts w:ascii="Verdana Pro" w:eastAsia="Verdana Pro" w:hAnsi="Verdana Pro" w:cs="Verdana Pro"/>
          <w:sz w:val="22"/>
          <w:szCs w:val="22"/>
        </w:rPr>
      </w:pPr>
    </w:p>
    <w:p w14:paraId="55ECCFFD" w14:textId="5440F440" w:rsidR="00FA5E41" w:rsidRDefault="5F50F7D2"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 segundo lugar, se encuentra la modalidad de selección abreviada con un valor de $1 billón, que, aunque el valor es menor que el de la licitación pública, esta modalidad tuvo 43 contratos más, sumando un total de 2.358 contratos, lo que representa el 12% del valor total del sector.</w:t>
      </w:r>
    </w:p>
    <w:p w14:paraId="29D76DD7" w14:textId="73B86031" w:rsidR="4B6F30B9" w:rsidRDefault="4B6F30B9" w:rsidP="00B00FCB">
      <w:pPr>
        <w:jc w:val="both"/>
        <w:rPr>
          <w:rFonts w:ascii="Verdana Pro" w:eastAsia="Verdana Pro" w:hAnsi="Verdana Pro" w:cs="Verdana Pro"/>
          <w:sz w:val="22"/>
          <w:szCs w:val="22"/>
        </w:rPr>
      </w:pPr>
    </w:p>
    <w:p w14:paraId="66CD875A" w14:textId="7F3DCE2B"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modalidad de mínima cuantía ocupó el tercer lugar, con $89 mil millones distribuidos en 2.556 contratos, equivalentes al 1% del valor total de contratos del sector.</w:t>
      </w:r>
    </w:p>
    <w:p w14:paraId="678B27D4" w14:textId="137AEEBE" w:rsidR="4B6F30B9" w:rsidRDefault="4B6F30B9" w:rsidP="00B00FCB">
      <w:pPr>
        <w:jc w:val="both"/>
        <w:rPr>
          <w:rFonts w:ascii="Verdana Pro" w:eastAsia="Verdana Pro" w:hAnsi="Verdana Pro" w:cs="Verdana Pro"/>
          <w:sz w:val="22"/>
          <w:szCs w:val="22"/>
        </w:rPr>
      </w:pPr>
    </w:p>
    <w:p w14:paraId="5A8E2FF8" w14:textId="373B3B09"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Seguidamente, se encuentran los contratos mediante la modalidad de concurso de méritos, con un valor de $23 mil millones para 61 contratos, y finalmente, los convenios de dos partes sumaron $14 mil a través de 11 contratos.</w:t>
      </w:r>
    </w:p>
    <w:p w14:paraId="346136A7" w14:textId="4F271C82" w:rsidR="4B6F30B9" w:rsidRDefault="4B6F30B9" w:rsidP="00B00FCB">
      <w:pPr>
        <w:jc w:val="both"/>
        <w:rPr>
          <w:rFonts w:ascii="Verdana Pro" w:eastAsia="Verdana Pro" w:hAnsi="Verdana Pro" w:cs="Verdana Pro"/>
          <w:sz w:val="22"/>
          <w:szCs w:val="22"/>
        </w:rPr>
      </w:pPr>
    </w:p>
    <w:p w14:paraId="1C6B66A6" w14:textId="7134DEC9"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Se puede concluir que, en cuanto a la distribución de contratos, se observa que, aunque la licitación pública y la selección abreviada representan el mismo porcentaje de participación (32%) en cuanto al número total de contratos, la selección abreviada tiene un numero ligeramente mayor de contratos, lo que sugiere una mayor frecuencia de contratos de menor valor en comparación con la licitación pública.</w:t>
      </w:r>
    </w:p>
    <w:p w14:paraId="2CECF6B5" w14:textId="5837DF42" w:rsidR="4B6F30B9" w:rsidRDefault="4B6F30B9" w:rsidP="00B00FCB">
      <w:pPr>
        <w:jc w:val="both"/>
        <w:rPr>
          <w:rFonts w:ascii="Verdana Pro" w:eastAsia="Verdana Pro" w:hAnsi="Verdana Pro" w:cs="Verdana Pro"/>
          <w:sz w:val="22"/>
          <w:szCs w:val="22"/>
        </w:rPr>
      </w:pPr>
    </w:p>
    <w:p w14:paraId="184A6EEB" w14:textId="3E71A183"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Es importante también destacar el Impacto de la mínima cuantía pues a pesar de tener un valor total significativamente menor, representa el mayor porcentaje del número total de contratos (35%). Esto indica que esta modalidad es la más utilizada para contratos de menor valor, pero de alta frecuencia. Este comportamiento se debe a que dentro del marco legal esta modalidad maneja unos topes mínimos de contratación en los cuales estos contratos equivalen al diez por ciento (10%) de la menor cuantía de una Entidad Estatal, según lo establecido en la Ley 1150 de 2007.</w:t>
      </w:r>
    </w:p>
    <w:p w14:paraId="25865C0A" w14:textId="1710067C" w:rsidR="4B6F30B9" w:rsidRDefault="4B6F30B9" w:rsidP="00B00FCB">
      <w:pPr>
        <w:jc w:val="both"/>
        <w:rPr>
          <w:rFonts w:ascii="Verdana Pro" w:eastAsia="Verdana Pro" w:hAnsi="Verdana Pro" w:cs="Verdana Pro"/>
          <w:sz w:val="22"/>
          <w:szCs w:val="22"/>
        </w:rPr>
      </w:pPr>
    </w:p>
    <w:p w14:paraId="2530D203" w14:textId="6BCB229E"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otro lado, las modalidades de concurso de méritos y convenios con Dos Partes representan una proporción reducida tanto en el valor como en el número de contratos.</w:t>
      </w:r>
    </w:p>
    <w:p w14:paraId="05158855" w14:textId="77FC5B99" w:rsidR="4B6F30B9" w:rsidRDefault="4B6F30B9" w:rsidP="00B00FCB">
      <w:pPr>
        <w:jc w:val="both"/>
        <w:rPr>
          <w:rFonts w:ascii="Verdana Pro" w:eastAsia="Verdana Pro" w:hAnsi="Verdana Pro" w:cs="Verdana Pro"/>
          <w:sz w:val="22"/>
          <w:szCs w:val="22"/>
        </w:rPr>
      </w:pPr>
    </w:p>
    <w:p w14:paraId="1A7AEEF0" w14:textId="0706A442" w:rsidR="3FC1C7D6" w:rsidRDefault="2050595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 consecuencia, es relevante destacar que cada modalidad de selección tiene características particulares y se aplica en función de las circunstancias específicas de la contratación y la naturaleza del bien o servicio requerido. Por tanto, la elección de la modalidad más adecuada depende del contexto y de los objetivos específicos de cada entidad estatal.</w:t>
      </w:r>
    </w:p>
    <w:p w14:paraId="42E92E70" w14:textId="77777777" w:rsidR="00FA5E41" w:rsidRDefault="00FA5E41" w:rsidP="449377F1">
      <w:pPr>
        <w:ind w:left="360"/>
        <w:jc w:val="center"/>
        <w:rPr>
          <w:rFonts w:ascii="Verdana Pro" w:eastAsia="Verdana Pro" w:hAnsi="Verdana Pro" w:cs="Verdana Pro"/>
          <w:sz w:val="22"/>
          <w:szCs w:val="22"/>
        </w:rPr>
      </w:pPr>
    </w:p>
    <w:p w14:paraId="5E0FF84C" w14:textId="56D4DFFD" w:rsidR="00FA5E41" w:rsidRPr="00FA5E41" w:rsidRDefault="6C73081A" w:rsidP="449377F1">
      <w:pPr>
        <w:pStyle w:val="Descripcin"/>
        <w:jc w:val="center"/>
        <w:rPr>
          <w:rFonts w:ascii="Verdana Pro" w:eastAsia="Verdana Pro" w:hAnsi="Verdana Pro" w:cs="Verdana Pro"/>
          <w:sz w:val="24"/>
          <w:szCs w:val="24"/>
        </w:rPr>
      </w:pPr>
      <w:bookmarkStart w:id="18" w:name="_Toc180136785"/>
      <w:r w:rsidRPr="449377F1">
        <w:rPr>
          <w:rFonts w:ascii="Verdana Pro" w:eastAsia="Verdana Pro" w:hAnsi="Verdana Pro" w:cs="Verdana Pro"/>
          <w:sz w:val="22"/>
          <w:szCs w:val="22"/>
        </w:rPr>
        <w:t xml:space="preserve">Gráfica </w:t>
      </w:r>
      <w:r w:rsidR="00FA5E41" w:rsidRPr="449377F1">
        <w:rPr>
          <w:rFonts w:ascii="Verdana" w:hAnsi="Verdana"/>
          <w:sz w:val="22"/>
          <w:szCs w:val="22"/>
        </w:rPr>
        <w:fldChar w:fldCharType="begin"/>
      </w:r>
      <w:r w:rsidR="00FA5E41" w:rsidRPr="449377F1">
        <w:rPr>
          <w:rFonts w:ascii="Verdana" w:hAnsi="Verdana"/>
          <w:sz w:val="22"/>
          <w:szCs w:val="22"/>
        </w:rPr>
        <w:instrText xml:space="preserve"> SEQ Gráfica \* ARABIC </w:instrText>
      </w:r>
      <w:r w:rsidR="00FA5E41" w:rsidRPr="449377F1">
        <w:rPr>
          <w:rFonts w:ascii="Verdana" w:hAnsi="Verdana"/>
          <w:sz w:val="22"/>
          <w:szCs w:val="22"/>
        </w:rPr>
        <w:fldChar w:fldCharType="separate"/>
      </w:r>
      <w:r w:rsidR="01938715" w:rsidRPr="449377F1">
        <w:rPr>
          <w:rFonts w:ascii="Verdana" w:hAnsi="Verdana"/>
          <w:noProof/>
          <w:sz w:val="22"/>
          <w:szCs w:val="22"/>
        </w:rPr>
        <w:t>18</w:t>
      </w:r>
      <w:r w:rsidR="00FA5E41" w:rsidRPr="449377F1">
        <w:rPr>
          <w:rFonts w:ascii="Verdana" w:hAnsi="Verdana"/>
          <w:sz w:val="22"/>
          <w:szCs w:val="22"/>
        </w:rPr>
        <w:fldChar w:fldCharType="end"/>
      </w:r>
      <w:r w:rsidRPr="449377F1">
        <w:rPr>
          <w:rFonts w:ascii="Verdana Pro" w:eastAsia="Verdana Pro" w:hAnsi="Verdana Pro" w:cs="Verdana Pro"/>
          <w:sz w:val="22"/>
          <w:szCs w:val="22"/>
        </w:rPr>
        <w:t>. Modalidades Sector Edificios Institucionales</w:t>
      </w:r>
      <w:bookmarkEnd w:id="18"/>
    </w:p>
    <w:p w14:paraId="04672502" w14:textId="2981AB24" w:rsidR="00FA5E41" w:rsidRDefault="554C7EEF" w:rsidP="449377F1">
      <w:pPr>
        <w:ind w:left="360"/>
        <w:jc w:val="center"/>
        <w:rPr>
          <w:rFonts w:ascii="Verdana Pro" w:eastAsia="Verdana Pro" w:hAnsi="Verdana Pro" w:cs="Verdana Pro"/>
        </w:rPr>
      </w:pPr>
      <w:r>
        <w:rPr>
          <w:noProof/>
        </w:rPr>
        <w:drawing>
          <wp:inline distT="0" distB="0" distL="0" distR="0" wp14:anchorId="13214E10" wp14:editId="26BB44A2">
            <wp:extent cx="4544059" cy="2619740"/>
            <wp:effectExtent l="0" t="0" r="0" b="0"/>
            <wp:docPr id="1833260981" name="Picture 1833260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44059" cy="2619740"/>
                    </a:xfrm>
                    <a:prstGeom prst="rect">
                      <a:avLst/>
                    </a:prstGeom>
                  </pic:spPr>
                </pic:pic>
              </a:graphicData>
            </a:graphic>
          </wp:inline>
        </w:drawing>
      </w:r>
    </w:p>
    <w:p w14:paraId="1571D896" w14:textId="77777777" w:rsidR="005D2513" w:rsidRDefault="23C8888C"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15B8E84B" w14:textId="1189651F" w:rsidR="4B6F30B9" w:rsidRDefault="4B6F30B9" w:rsidP="00B00FCB">
      <w:pPr>
        <w:jc w:val="both"/>
        <w:rPr>
          <w:rFonts w:ascii="Verdana Pro" w:eastAsia="Verdana Pro" w:hAnsi="Verdana Pro" w:cs="Verdana Pro"/>
          <w:sz w:val="22"/>
          <w:szCs w:val="22"/>
        </w:rPr>
      </w:pPr>
    </w:p>
    <w:p w14:paraId="31854CD1" w14:textId="347FF24F" w:rsidR="00FA5E41" w:rsidRDefault="7971002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gráfico ilustra el uso de las modalidades de selección en el sector de edificios institucionales, con una comparación entre el valor contratado (en miles de millones de pesos) y el número de contratos. A continuación, se presenta un análisis basado en los datos proporcionados.</w:t>
      </w:r>
    </w:p>
    <w:p w14:paraId="79191F46" w14:textId="7F2A232E" w:rsidR="00FA5E41" w:rsidRDefault="00FA5E41" w:rsidP="00B00FCB">
      <w:pPr>
        <w:jc w:val="both"/>
        <w:rPr>
          <w:rFonts w:ascii="Verdana Pro" w:eastAsia="Verdana Pro" w:hAnsi="Verdana Pro" w:cs="Verdana Pro"/>
          <w:sz w:val="22"/>
          <w:szCs w:val="22"/>
        </w:rPr>
      </w:pPr>
    </w:p>
    <w:p w14:paraId="196838FA" w14:textId="2886DEE3" w:rsidR="00FA5E41" w:rsidRDefault="7971002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Licitación Pública domina tanto en valor contratado como en número de contratos, con $5.523 mil millones y un volumen aproximado de 937 contratos. Esta modalidad concentra la mayoría de los recursos asignados, representando una clara contratación de proyectos de gran envergadura en el sector. La magnitud del valor contratado y el volumen de contratos reflejan su carácter como la modalidad más competitiva dentro del marco normativo.</w:t>
      </w:r>
    </w:p>
    <w:p w14:paraId="56ED5989" w14:textId="388FA8EA" w:rsidR="00FA5E41" w:rsidRDefault="00FA5E41" w:rsidP="00B00FCB">
      <w:pPr>
        <w:jc w:val="both"/>
        <w:rPr>
          <w:rFonts w:ascii="Verdana Pro" w:eastAsia="Verdana Pro" w:hAnsi="Verdana Pro" w:cs="Verdana Pro"/>
          <w:sz w:val="22"/>
          <w:szCs w:val="22"/>
        </w:rPr>
      </w:pPr>
    </w:p>
    <w:p w14:paraId="125CF21A" w14:textId="4B251F12" w:rsidR="00FA5E41" w:rsidRDefault="79710021"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Selección Abreviada, con un valor contratado de $833 mil millones y aproximadamente 1.821 contratos, se posiciona como la segunda modalidad más utilizada en términos de valor total, sin embargo, supera significativamente a la licitación pública en número de contratos. Esto sugiere que esta modalidad es utilizada para procesos de menor cuantía</w:t>
      </w:r>
    </w:p>
    <w:p w14:paraId="09B965EA" w14:textId="77777777" w:rsidR="009747EF" w:rsidRDefault="009747EF" w:rsidP="449377F1">
      <w:pPr>
        <w:pStyle w:val="Descripcin"/>
        <w:jc w:val="center"/>
        <w:rPr>
          <w:rFonts w:ascii="Verdana Pro" w:eastAsia="Verdana Pro" w:hAnsi="Verdana Pro" w:cs="Verdana Pro"/>
          <w:sz w:val="22"/>
          <w:szCs w:val="22"/>
        </w:rPr>
      </w:pPr>
      <w:bookmarkStart w:id="19" w:name="_Toc180136786"/>
    </w:p>
    <w:p w14:paraId="7EDE643B" w14:textId="6861C46D" w:rsidR="00FA5E41" w:rsidRPr="003A11BB" w:rsidRDefault="74E267C2" w:rsidP="449377F1">
      <w:pPr>
        <w:pStyle w:val="Descripcin"/>
        <w:jc w:val="center"/>
        <w:rPr>
          <w:rFonts w:ascii="Verdana Pro" w:eastAsia="Verdana Pro" w:hAnsi="Verdana Pro" w:cs="Verdana Pro"/>
          <w:sz w:val="24"/>
          <w:szCs w:val="24"/>
        </w:rPr>
      </w:pPr>
      <w:r w:rsidRPr="449377F1">
        <w:rPr>
          <w:rFonts w:ascii="Verdana Pro" w:eastAsia="Verdana Pro" w:hAnsi="Verdana Pro" w:cs="Verdana Pro"/>
          <w:sz w:val="22"/>
          <w:szCs w:val="22"/>
        </w:rPr>
        <w:lastRenderedPageBreak/>
        <w:t xml:space="preserve">Gráfica </w:t>
      </w:r>
      <w:r w:rsidR="003A11BB" w:rsidRPr="449377F1">
        <w:rPr>
          <w:rFonts w:ascii="Verdana" w:hAnsi="Verdana"/>
          <w:sz w:val="22"/>
          <w:szCs w:val="22"/>
        </w:rPr>
        <w:fldChar w:fldCharType="begin"/>
      </w:r>
      <w:r w:rsidR="003A11BB" w:rsidRPr="449377F1">
        <w:rPr>
          <w:rFonts w:ascii="Verdana" w:hAnsi="Verdana"/>
          <w:sz w:val="22"/>
          <w:szCs w:val="22"/>
        </w:rPr>
        <w:instrText xml:space="preserve"> SEQ Gráfica \* ARABIC </w:instrText>
      </w:r>
      <w:r w:rsidR="003A11BB" w:rsidRPr="449377F1">
        <w:rPr>
          <w:rFonts w:ascii="Verdana" w:hAnsi="Verdana"/>
          <w:sz w:val="22"/>
          <w:szCs w:val="22"/>
        </w:rPr>
        <w:fldChar w:fldCharType="separate"/>
      </w:r>
      <w:r w:rsidR="01938715" w:rsidRPr="449377F1">
        <w:rPr>
          <w:rFonts w:ascii="Verdana" w:hAnsi="Verdana"/>
          <w:noProof/>
          <w:sz w:val="22"/>
          <w:szCs w:val="22"/>
        </w:rPr>
        <w:t>19</w:t>
      </w:r>
      <w:r w:rsidR="003A11BB" w:rsidRPr="449377F1">
        <w:rPr>
          <w:rFonts w:ascii="Verdana" w:hAnsi="Verdana"/>
          <w:sz w:val="22"/>
          <w:szCs w:val="22"/>
        </w:rPr>
        <w:fldChar w:fldCharType="end"/>
      </w:r>
      <w:r w:rsidRPr="449377F1">
        <w:rPr>
          <w:rFonts w:ascii="Verdana Pro" w:eastAsia="Verdana Pro" w:hAnsi="Verdana Pro" w:cs="Verdana Pro"/>
          <w:sz w:val="22"/>
          <w:szCs w:val="22"/>
        </w:rPr>
        <w:t>. Modalidades Sector Infraestructura de Seguridad</w:t>
      </w:r>
      <w:bookmarkEnd w:id="19"/>
    </w:p>
    <w:p w14:paraId="59D94469" w14:textId="34C726A6" w:rsidR="00CE265E" w:rsidRDefault="112E4905" w:rsidP="449377F1">
      <w:pPr>
        <w:ind w:left="360"/>
        <w:jc w:val="center"/>
        <w:rPr>
          <w:rFonts w:ascii="Verdana Pro" w:eastAsia="Verdana Pro" w:hAnsi="Verdana Pro" w:cs="Verdana Pro"/>
        </w:rPr>
      </w:pPr>
      <w:r>
        <w:rPr>
          <w:noProof/>
        </w:rPr>
        <w:drawing>
          <wp:inline distT="0" distB="0" distL="0" distR="0" wp14:anchorId="49BB07DF" wp14:editId="4C635888">
            <wp:extent cx="4058216" cy="2353004"/>
            <wp:effectExtent l="0" t="0" r="0" b="0"/>
            <wp:docPr id="1393779518" name="Picture 139377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058216" cy="2353004"/>
                    </a:xfrm>
                    <a:prstGeom prst="rect">
                      <a:avLst/>
                    </a:prstGeom>
                  </pic:spPr>
                </pic:pic>
              </a:graphicData>
            </a:graphic>
          </wp:inline>
        </w:drawing>
      </w:r>
    </w:p>
    <w:p w14:paraId="3765C94E" w14:textId="77777777" w:rsidR="000D5179" w:rsidRDefault="72976712"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528B3CC3" w14:textId="77777777" w:rsidR="000D5179" w:rsidRDefault="000D5179" w:rsidP="449377F1">
      <w:pPr>
        <w:ind w:left="360"/>
        <w:jc w:val="both"/>
        <w:rPr>
          <w:rFonts w:ascii="Verdana Pro" w:eastAsia="Verdana Pro" w:hAnsi="Verdana Pro" w:cs="Verdana Pro"/>
          <w:sz w:val="22"/>
          <w:szCs w:val="22"/>
        </w:rPr>
      </w:pPr>
    </w:p>
    <w:p w14:paraId="40AE44FF" w14:textId="2CDF591A" w:rsidR="000D5179" w:rsidRDefault="02A88EA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licitación pública fue la modalidad que mayores valores concentró en la tabla presentada, con un valor contratado de $1,55 billones de pesos (60,10 %), en 263 contratos (una media contractual de $5.915 millones de pesos). En términos de cuantías agregadas, le siguió la selección abreviada, con $1,01 billones de pesos (39,12 %), a través de 893 contratos (una media contractual de $1.134 millones de pesos), es decir, el número de contratos celebrados por esta modalidad representó más del 54,18% del total de contratos celebrados.</w:t>
      </w:r>
    </w:p>
    <w:p w14:paraId="05D33A79" w14:textId="69D158E2" w:rsidR="000D5179" w:rsidRDefault="000D5179" w:rsidP="00B00FCB">
      <w:pPr>
        <w:jc w:val="both"/>
        <w:rPr>
          <w:rFonts w:ascii="Verdana Pro" w:eastAsia="Verdana Pro" w:hAnsi="Verdana Pro" w:cs="Verdana Pro"/>
          <w:sz w:val="22"/>
          <w:szCs w:val="22"/>
        </w:rPr>
      </w:pPr>
    </w:p>
    <w:p w14:paraId="7D27315E" w14:textId="65D9A719" w:rsidR="000D5179" w:rsidRDefault="02A88EA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contratación mínima cuantía se posicionó como la segunda modalidad con el mayor número de contratos (492), pero con la menor participación en términos de valor, al sumar $20.552 millones de pesos (0,79 %). Esto muestra su rol como una herramienta para contratos de bajo monto, con un promedio de poco más de $42 millones de pesos por contrato.</w:t>
      </w:r>
    </w:p>
    <w:p w14:paraId="5227280E" w14:textId="1C950621" w:rsidR="000D5179" w:rsidRDefault="000D5179" w:rsidP="00B00FCB">
      <w:pPr>
        <w:jc w:val="both"/>
        <w:rPr>
          <w:rFonts w:ascii="Verdana Pro" w:eastAsia="Verdana Pro" w:hAnsi="Verdana Pro" w:cs="Verdana Pro"/>
          <w:sz w:val="22"/>
          <w:szCs w:val="22"/>
        </w:rPr>
      </w:pPr>
    </w:p>
    <w:p w14:paraId="379273DF" w14:textId="620FC2D3" w:rsidR="000D5179" w:rsidRDefault="02A88EA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licitación pública concentró los mayores valores debido a su naturaleza, relacionada con el objeto del proceso y su presupuesto. Por otro lado, la selección abreviada, aunque presenta un mayor volumen de contratos, refleja un menor promedio por contrato en comparación con la licitación pública.</w:t>
      </w:r>
    </w:p>
    <w:p w14:paraId="088321B0" w14:textId="20BA5ED5" w:rsidR="000D5179" w:rsidRDefault="02A88EA3"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 términos generales, la distribución evidencia que las modalidades de contratación están fuertemente diferenciadas, tanto por el valor contratado como por el número de procesos, respondiendo a criterios legales y de monto establecidos para cada tipo de contratación.</w:t>
      </w:r>
    </w:p>
    <w:p w14:paraId="62C020B0" w14:textId="77777777" w:rsidR="000D5179" w:rsidRDefault="000D5179" w:rsidP="449377F1">
      <w:pPr>
        <w:ind w:left="360"/>
        <w:jc w:val="both"/>
        <w:rPr>
          <w:rFonts w:ascii="Verdana Pro" w:eastAsia="Verdana Pro" w:hAnsi="Verdana Pro" w:cs="Verdana Pro"/>
          <w:sz w:val="22"/>
          <w:szCs w:val="22"/>
        </w:rPr>
      </w:pPr>
    </w:p>
    <w:p w14:paraId="666784D1" w14:textId="390462CA" w:rsidR="00FB7A1E" w:rsidRDefault="0F356B2D"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Así mismo, </w:t>
      </w:r>
      <w:r w:rsidR="667A64FB" w:rsidRPr="449377F1">
        <w:rPr>
          <w:rFonts w:ascii="Verdana Pro" w:eastAsia="Verdana Pro" w:hAnsi="Verdana Pro" w:cs="Verdana Pro"/>
          <w:sz w:val="22"/>
          <w:szCs w:val="22"/>
        </w:rPr>
        <w:t xml:space="preserve">el Informe </w:t>
      </w:r>
      <w:r w:rsidRPr="449377F1">
        <w:rPr>
          <w:rFonts w:ascii="Verdana Pro" w:eastAsia="Verdana Pro" w:hAnsi="Verdana Pro" w:cs="Verdana Pro"/>
          <w:sz w:val="22"/>
          <w:szCs w:val="22"/>
        </w:rPr>
        <w:t>realiz</w:t>
      </w:r>
      <w:r w:rsidR="667A64FB" w:rsidRPr="449377F1">
        <w:rPr>
          <w:rFonts w:ascii="Verdana Pro" w:eastAsia="Verdana Pro" w:hAnsi="Verdana Pro" w:cs="Verdana Pro"/>
          <w:sz w:val="22"/>
          <w:szCs w:val="22"/>
        </w:rPr>
        <w:t>a</w:t>
      </w:r>
      <w:r w:rsidRPr="449377F1">
        <w:rPr>
          <w:rFonts w:ascii="Verdana Pro" w:eastAsia="Verdana Pro" w:hAnsi="Verdana Pro" w:cs="Verdana Pro"/>
          <w:sz w:val="22"/>
          <w:szCs w:val="22"/>
        </w:rPr>
        <w:t xml:space="preserve"> un análisis de la demanda para </w:t>
      </w:r>
      <w:r w:rsidR="0F676788" w:rsidRPr="449377F1">
        <w:rPr>
          <w:rFonts w:ascii="Verdana Pro" w:eastAsia="Verdana Pro" w:hAnsi="Verdana Pro" w:cs="Verdana Pro"/>
          <w:sz w:val="22"/>
          <w:szCs w:val="22"/>
        </w:rPr>
        <w:t>los diferentes sectores</w:t>
      </w:r>
      <w:r w:rsidRPr="449377F1">
        <w:rPr>
          <w:rFonts w:ascii="Verdana Pro" w:eastAsia="Verdana Pro" w:hAnsi="Verdana Pro" w:cs="Verdana Pro"/>
          <w:sz w:val="22"/>
          <w:szCs w:val="22"/>
        </w:rPr>
        <w:t xml:space="preserve"> a través de un top 20 de entidades según los valores contratados,</w:t>
      </w:r>
      <w:r w:rsidR="070527E5" w:rsidRPr="449377F1">
        <w:rPr>
          <w:rFonts w:ascii="Verdana Pro" w:eastAsia="Verdana Pro" w:hAnsi="Verdana Pro" w:cs="Verdana Pro"/>
          <w:sz w:val="22"/>
          <w:szCs w:val="22"/>
        </w:rPr>
        <w:t xml:space="preserve"> </w:t>
      </w:r>
      <w:r w:rsidR="667A64FB" w:rsidRPr="449377F1">
        <w:rPr>
          <w:rFonts w:ascii="Verdana Pro" w:eastAsia="Verdana Pro" w:hAnsi="Verdana Pro" w:cs="Verdana Pro"/>
          <w:sz w:val="22"/>
          <w:szCs w:val="22"/>
        </w:rPr>
        <w:t xml:space="preserve">del cual se </w:t>
      </w:r>
      <w:r w:rsidR="070527E5" w:rsidRPr="449377F1">
        <w:rPr>
          <w:rFonts w:ascii="Verdana Pro" w:eastAsia="Verdana Pro" w:hAnsi="Verdana Pro" w:cs="Verdana Pro"/>
          <w:sz w:val="22"/>
          <w:szCs w:val="22"/>
        </w:rPr>
        <w:t>pued</w:t>
      </w:r>
      <w:r w:rsidR="667A64FB" w:rsidRPr="449377F1">
        <w:rPr>
          <w:rFonts w:ascii="Verdana Pro" w:eastAsia="Verdana Pro" w:hAnsi="Verdana Pro" w:cs="Verdana Pro"/>
          <w:sz w:val="22"/>
          <w:szCs w:val="22"/>
        </w:rPr>
        <w:t>en</w:t>
      </w:r>
      <w:r w:rsidR="070527E5" w:rsidRPr="449377F1">
        <w:rPr>
          <w:rFonts w:ascii="Verdana Pro" w:eastAsia="Verdana Pro" w:hAnsi="Verdana Pro" w:cs="Verdana Pro"/>
          <w:sz w:val="22"/>
          <w:szCs w:val="22"/>
        </w:rPr>
        <w:t xml:space="preserve"> evidenciar las siguientes conclusiones:</w:t>
      </w:r>
    </w:p>
    <w:p w14:paraId="415C77A7" w14:textId="77777777" w:rsidR="00FB7A1E" w:rsidRDefault="00FB7A1E" w:rsidP="449377F1">
      <w:pPr>
        <w:ind w:left="360"/>
        <w:jc w:val="both"/>
        <w:rPr>
          <w:rFonts w:ascii="Verdana Pro" w:eastAsia="Verdana Pro" w:hAnsi="Verdana Pro" w:cs="Verdana Pro"/>
          <w:sz w:val="22"/>
          <w:szCs w:val="22"/>
        </w:rPr>
      </w:pPr>
    </w:p>
    <w:p w14:paraId="7746487F" w14:textId="1FAD51F8" w:rsidR="00FB7A1E" w:rsidRDefault="2589EC4F" w:rsidP="449377F1">
      <w:pPr>
        <w:pStyle w:val="Prrafodelista"/>
        <w:numPr>
          <w:ilvl w:val="0"/>
          <w:numId w:val="66"/>
        </w:numPr>
        <w:rPr>
          <w:rFonts w:ascii="Verdana Pro" w:eastAsia="Verdana Pro" w:hAnsi="Verdana Pro" w:cs="Verdana Pro"/>
        </w:rPr>
      </w:pPr>
      <w:r w:rsidRPr="449377F1">
        <w:rPr>
          <w:rFonts w:ascii="Verdana Pro" w:eastAsia="Verdana Pro" w:hAnsi="Verdana Pro" w:cs="Verdana Pro"/>
        </w:rPr>
        <w:t>Con relación al sector Salud, la suma total de contratación asciende a $776.683.700.752 distribuida en 37 contratos. El Hospital Universitario del Valle Evaristo García ESE encabeza la lista con contrataciones valoradas en $117 mil millones de pesos a través de 2 contratos, lo que señala una alta concentración del valor en pocas licitaciones. Le sigue el Ministerio de Cultura con un contrato único de 106 mil millones de pesos, destacable por ser una entidad no exclusivamente de salud y sugiere un proyecto muy extendido posiblemente relacionado con la salud y la cultura</w:t>
      </w:r>
      <w:r w:rsidR="00A50270" w:rsidRPr="449377F1">
        <w:rPr>
          <w:rStyle w:val="Refdenotaalpie"/>
          <w:rFonts w:ascii="Verdana Pro" w:eastAsia="Verdana Pro" w:hAnsi="Verdana Pro" w:cs="Verdana Pro"/>
        </w:rPr>
        <w:footnoteReference w:id="20"/>
      </w:r>
      <w:r w:rsidR="34892C76" w:rsidRPr="449377F1">
        <w:rPr>
          <w:rFonts w:ascii="Verdana Pro" w:eastAsia="Verdana Pro" w:hAnsi="Verdana Pro" w:cs="Verdana Pro"/>
        </w:rPr>
        <w:t>.</w:t>
      </w:r>
    </w:p>
    <w:p w14:paraId="146DA2FB" w14:textId="77777777" w:rsidR="004A5737" w:rsidRDefault="004A5737" w:rsidP="449377F1">
      <w:pPr>
        <w:rPr>
          <w:rFonts w:ascii="Verdana Pro" w:eastAsia="Verdana Pro" w:hAnsi="Verdana Pro" w:cs="Verdana Pro"/>
        </w:rPr>
      </w:pPr>
    </w:p>
    <w:p w14:paraId="1BD286F5" w14:textId="07D03778" w:rsidR="3BCD5C0E" w:rsidRDefault="2F9715D0" w:rsidP="449377F1">
      <w:pPr>
        <w:jc w:val="center"/>
        <w:rPr>
          <w:rFonts w:ascii="Verdana Pro" w:eastAsia="Verdana Pro" w:hAnsi="Verdana Pro" w:cs="Verdana Pro"/>
          <w:b/>
          <w:bCs/>
        </w:rPr>
      </w:pPr>
      <w:r w:rsidRPr="449377F1">
        <w:rPr>
          <w:rFonts w:ascii="Verdana Pro" w:eastAsia="Verdana Pro" w:hAnsi="Verdana Pro" w:cs="Verdana Pro"/>
          <w:b/>
          <w:bCs/>
        </w:rPr>
        <w:t xml:space="preserve">DATOS DE MODALIDADES DE CONTRATACION DEL </w:t>
      </w:r>
      <w:r w:rsidR="2E750B76" w:rsidRPr="449377F1">
        <w:rPr>
          <w:rFonts w:ascii="Verdana Pro" w:eastAsia="Verdana Pro" w:hAnsi="Verdana Pro" w:cs="Verdana Pro"/>
          <w:b/>
          <w:bCs/>
        </w:rPr>
        <w:t>SECTOR SOCIAL</w:t>
      </w:r>
      <w:r w:rsidR="49750C2E" w:rsidRPr="449377F1">
        <w:rPr>
          <w:rFonts w:ascii="Verdana Pro" w:eastAsia="Verdana Pro" w:hAnsi="Verdana Pro" w:cs="Verdana Pro"/>
          <w:b/>
          <w:bCs/>
        </w:rPr>
        <w:t xml:space="preserve"> EN GENERAL</w:t>
      </w:r>
    </w:p>
    <w:p w14:paraId="15693A72" w14:textId="033BB782" w:rsidR="3BCD5C0E" w:rsidRDefault="3BCD5C0E" w:rsidP="449377F1">
      <w:pPr>
        <w:jc w:val="both"/>
        <w:rPr>
          <w:rFonts w:ascii="Verdana Pro" w:eastAsia="Verdana Pro" w:hAnsi="Verdana Pro" w:cs="Verdana Pro"/>
          <w:sz w:val="28"/>
          <w:szCs w:val="28"/>
        </w:rPr>
      </w:pPr>
    </w:p>
    <w:p w14:paraId="2839B8E5" w14:textId="7B7B97DA" w:rsidR="3BCD5C0E" w:rsidRDefault="01ED69AF"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La Ley 2022 de 2020 facultó a la Agencia Nacional de Contratación Pública –Colombia Compra Eficiente - para adoptar documentos tipo que serán de obligatorio cumplimiento en la actividad contractual de todas las entidades sometidas al Estatuto General de Contratación de la Administración Pública. Dentro de estos documentos tipo, se establecerán los requisitos habilitantes, factores técnicos, económicos y otros factores de escogencia, así como aquellos requisitos que, previa justificación, representen buenas prácticas contractuales que procuren el adecuado desarrollo de los principios que rigen la contratación pública </w:t>
      </w:r>
    </w:p>
    <w:p w14:paraId="54CB23C4" w14:textId="146700BD" w:rsidR="3BCD5C0E" w:rsidRDefault="3BCD5C0E" w:rsidP="449377F1">
      <w:pPr>
        <w:jc w:val="both"/>
        <w:rPr>
          <w:rFonts w:ascii="Verdana Pro" w:eastAsia="Verdana Pro" w:hAnsi="Verdana Pro" w:cs="Verdana Pro"/>
          <w:sz w:val="22"/>
          <w:szCs w:val="22"/>
        </w:rPr>
      </w:pPr>
    </w:p>
    <w:p w14:paraId="74ED4886" w14:textId="22BA9E61" w:rsidR="3BCD5C0E" w:rsidRDefault="67154871"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La resolución 219 de 2021, expedida el 6 de agosto de 2021 “Por la cual se adoptan los documentos tipo para los procesos de licitación de obra pública de infraestructura social” dejando como fecha de implementación el 30 de agosto de 2021.</w:t>
      </w:r>
    </w:p>
    <w:p w14:paraId="4C71B390" w14:textId="5854CF33" w:rsidR="3BCD5C0E" w:rsidRDefault="67154871" w:rsidP="449377F1">
      <w:pPr>
        <w:jc w:val="both"/>
      </w:pPr>
      <w:r w:rsidRPr="449377F1">
        <w:rPr>
          <w:rFonts w:ascii="Verdana Pro" w:eastAsia="Verdana Pro" w:hAnsi="Verdana Pro" w:cs="Verdana Pro"/>
          <w:sz w:val="22"/>
          <w:szCs w:val="22"/>
        </w:rPr>
        <w:t xml:space="preserve"> </w:t>
      </w:r>
    </w:p>
    <w:p w14:paraId="01554209" w14:textId="4AFA2605" w:rsidR="3BCD5C0E" w:rsidRDefault="67154871" w:rsidP="449377F1">
      <w:pPr>
        <w:jc w:val="both"/>
      </w:pPr>
      <w:r w:rsidRPr="449377F1">
        <w:rPr>
          <w:rFonts w:ascii="Verdana Pro" w:eastAsia="Verdana Pro" w:hAnsi="Verdana Pro" w:cs="Verdana Pro"/>
          <w:sz w:val="22"/>
          <w:szCs w:val="22"/>
        </w:rPr>
        <w:t xml:space="preserve">El mismo 6 de agosto de 2021 la Agencia expide la Resolución 220 de 2021 "Por la cual se adoptan los documentos tipo complementarios para los procesos de licitación de obra pública de infraestructura social relacionados con la obra pública de infraestructura social relacionados con el sector Educación”, indicando en su artículo cuarto que: </w:t>
      </w:r>
    </w:p>
    <w:p w14:paraId="2A81A857" w14:textId="06A3CCE9" w:rsidR="3BCD5C0E" w:rsidRDefault="67154871" w:rsidP="449377F1">
      <w:pPr>
        <w:jc w:val="both"/>
      </w:pPr>
      <w:r w:rsidRPr="449377F1">
        <w:rPr>
          <w:rFonts w:ascii="Verdana Pro" w:eastAsia="Verdana Pro" w:hAnsi="Verdana Pro" w:cs="Verdana Pro"/>
          <w:sz w:val="22"/>
          <w:szCs w:val="22"/>
        </w:rPr>
        <w:lastRenderedPageBreak/>
        <w:t xml:space="preserve"> </w:t>
      </w:r>
    </w:p>
    <w:p w14:paraId="7105395C" w14:textId="66ED1B6A" w:rsidR="3BCD5C0E" w:rsidRDefault="67154871" w:rsidP="449377F1">
      <w:pPr>
        <w:ind w:left="720"/>
        <w:jc w:val="both"/>
        <w:rPr>
          <w:rFonts w:ascii="Verdana Pro" w:eastAsia="Verdana Pro" w:hAnsi="Verdana Pro" w:cs="Verdana Pro"/>
          <w:i/>
          <w:iCs/>
          <w:sz w:val="22"/>
          <w:szCs w:val="22"/>
        </w:rPr>
      </w:pPr>
      <w:r w:rsidRPr="449377F1">
        <w:rPr>
          <w:rFonts w:ascii="Verdana Pro" w:eastAsia="Verdana Pro" w:hAnsi="Verdana Pro" w:cs="Verdana Pro"/>
          <w:i/>
          <w:iCs/>
          <w:sz w:val="22"/>
          <w:szCs w:val="22"/>
        </w:rPr>
        <w:t>“Artículo 4. Vigencia: La presente resolución rige a partir de su publicación y aplicará a los procedimientos de selección de licitación de obra pública del sector Educación, cuyo aviso de convocatoria sea publicado a partir del 30 de agosto de 2021.</w:t>
      </w:r>
    </w:p>
    <w:p w14:paraId="1EAFF62C" w14:textId="17423FBB" w:rsidR="3BCD5C0E" w:rsidRDefault="67154871" w:rsidP="449377F1">
      <w:pPr>
        <w:jc w:val="both"/>
      </w:pPr>
      <w:r w:rsidRPr="449377F1">
        <w:rPr>
          <w:rFonts w:ascii="Verdana Pro" w:eastAsia="Verdana Pro" w:hAnsi="Verdana Pro" w:cs="Verdana Pro"/>
          <w:sz w:val="22"/>
          <w:szCs w:val="22"/>
        </w:rPr>
        <w:t xml:space="preserve"> </w:t>
      </w:r>
    </w:p>
    <w:p w14:paraId="195FC8F7" w14:textId="44B1B431" w:rsidR="3BCD5C0E" w:rsidRDefault="67154871" w:rsidP="449377F1">
      <w:pPr>
        <w:jc w:val="both"/>
      </w:pPr>
      <w:r w:rsidRPr="449377F1">
        <w:rPr>
          <w:rFonts w:ascii="Verdana Pro" w:eastAsia="Verdana Pro" w:hAnsi="Verdana Pro" w:cs="Verdana Pro"/>
          <w:sz w:val="22"/>
          <w:szCs w:val="22"/>
        </w:rPr>
        <w:t xml:space="preserve">Posteriormente se expide la Resolución 261 de 2021 “Por la cual se aplaza la </w:t>
      </w:r>
      <w:proofErr w:type="gramStart"/>
      <w:r w:rsidRPr="449377F1">
        <w:rPr>
          <w:rFonts w:ascii="Verdana Pro" w:eastAsia="Verdana Pro" w:hAnsi="Verdana Pro" w:cs="Verdana Pro"/>
          <w:sz w:val="22"/>
          <w:szCs w:val="22"/>
        </w:rPr>
        <w:t>entrada en vigencia</w:t>
      </w:r>
      <w:proofErr w:type="gramEnd"/>
      <w:r w:rsidRPr="449377F1">
        <w:rPr>
          <w:rFonts w:ascii="Verdana Pro" w:eastAsia="Verdana Pro" w:hAnsi="Verdana Pro" w:cs="Verdana Pro"/>
          <w:sz w:val="22"/>
          <w:szCs w:val="22"/>
        </w:rPr>
        <w:t xml:space="preserve"> de los documentos tipo para los procesos de licitación de obra pública de infraestructura social y los documentos tipo complementarios para procesos de licitación de obra pública de infraestructura social relacionados con el sector educación modificando la Resolución 219 de 2021:</w:t>
      </w:r>
    </w:p>
    <w:p w14:paraId="1E6B36B1" w14:textId="4CD6F5D6" w:rsidR="3BCD5C0E" w:rsidRDefault="67154871" w:rsidP="449377F1">
      <w:pPr>
        <w:jc w:val="both"/>
      </w:pPr>
      <w:r w:rsidRPr="449377F1">
        <w:rPr>
          <w:rFonts w:ascii="Verdana Pro" w:eastAsia="Verdana Pro" w:hAnsi="Verdana Pro" w:cs="Verdana Pro"/>
          <w:sz w:val="22"/>
          <w:szCs w:val="22"/>
        </w:rPr>
        <w:t xml:space="preserve"> </w:t>
      </w:r>
    </w:p>
    <w:p w14:paraId="56B351C1" w14:textId="513D4A84" w:rsidR="3BCD5C0E" w:rsidRDefault="67154871" w:rsidP="449377F1">
      <w:pPr>
        <w:ind w:left="720"/>
        <w:jc w:val="both"/>
        <w:rPr>
          <w:rFonts w:ascii="Verdana Pro" w:eastAsia="Verdana Pro" w:hAnsi="Verdana Pro" w:cs="Verdana Pro"/>
          <w:i/>
          <w:iCs/>
          <w:sz w:val="22"/>
          <w:szCs w:val="22"/>
        </w:rPr>
      </w:pPr>
      <w:r w:rsidRPr="449377F1">
        <w:rPr>
          <w:rFonts w:ascii="Verdana Pro" w:eastAsia="Verdana Pro" w:hAnsi="Verdana Pro" w:cs="Verdana Pro"/>
          <w:i/>
          <w:iCs/>
          <w:sz w:val="22"/>
          <w:szCs w:val="22"/>
        </w:rPr>
        <w:t xml:space="preserve">“Artículo 6. Vigencia. La presente resolución rige a partir de su publicación y aplicará a los procedimientos de selección de licitación de obra pública de infraestructura social, cuyo aviso de convocatoria sea publicado a partir del 2 de noviembre de 2021”. </w:t>
      </w:r>
    </w:p>
    <w:p w14:paraId="14A61814" w14:textId="66C3A77A" w:rsidR="3BCD5C0E" w:rsidRDefault="67154871" w:rsidP="449377F1">
      <w:pPr>
        <w:jc w:val="both"/>
      </w:pPr>
      <w:r w:rsidRPr="449377F1">
        <w:rPr>
          <w:rFonts w:ascii="Verdana Pro" w:eastAsia="Verdana Pro" w:hAnsi="Verdana Pro" w:cs="Verdana Pro"/>
          <w:sz w:val="22"/>
          <w:szCs w:val="22"/>
        </w:rPr>
        <w:t xml:space="preserve"> </w:t>
      </w:r>
    </w:p>
    <w:p w14:paraId="26133DD9" w14:textId="4BC0A64C" w:rsidR="3BCD5C0E" w:rsidRDefault="67154871" w:rsidP="449377F1">
      <w:pPr>
        <w:jc w:val="both"/>
      </w:pPr>
      <w:r w:rsidRPr="449377F1">
        <w:rPr>
          <w:rFonts w:ascii="Verdana Pro" w:eastAsia="Verdana Pro" w:hAnsi="Verdana Pro" w:cs="Verdana Pro"/>
          <w:sz w:val="22"/>
          <w:szCs w:val="22"/>
        </w:rPr>
        <w:t>La Resolución No. 304 de 2021 del 13 de octubre de 2021 en 38 páginas, empieza a regir desde el 2 de noviembre de 2021 hasta el 28 de agosto de 2022 y modifica DT del sector transporte, saneamiento básico e Infraestructura Social, para los Documentos Tipo transversales.</w:t>
      </w:r>
    </w:p>
    <w:p w14:paraId="78186CF6" w14:textId="3B45BDD4" w:rsidR="3BCD5C0E" w:rsidRDefault="67154871" w:rsidP="449377F1">
      <w:pPr>
        <w:jc w:val="both"/>
      </w:pPr>
      <w:r w:rsidRPr="449377F1">
        <w:rPr>
          <w:rFonts w:ascii="Verdana Pro" w:eastAsia="Verdana Pro" w:hAnsi="Verdana Pro" w:cs="Verdana Pro"/>
          <w:sz w:val="22"/>
          <w:szCs w:val="22"/>
        </w:rPr>
        <w:t xml:space="preserve"> </w:t>
      </w:r>
    </w:p>
    <w:p w14:paraId="4E344AB7" w14:textId="2632E1B9" w:rsidR="3BCD5C0E" w:rsidRDefault="67154871" w:rsidP="449377F1">
      <w:pPr>
        <w:jc w:val="both"/>
      </w:pPr>
      <w:r w:rsidRPr="449377F1">
        <w:rPr>
          <w:rFonts w:ascii="Verdana Pro" w:eastAsia="Verdana Pro" w:hAnsi="Verdana Pro" w:cs="Verdana Pro"/>
          <w:sz w:val="22"/>
          <w:szCs w:val="22"/>
        </w:rPr>
        <w:t xml:space="preserve">El 2 de noviembre de 2021 se expide la Resolución 336 de 2021 “Por la cual se aplaza y se dispone la implementación gradual y progresiva de los Documentos tipo de obra pública de infraestructura social" así: Artículo 1. (...) Modifíquese el artículo 6 de la Resolución 219 del 6 de agosto de 2021, modificado por la Resolución 261 del 27 de agosto de 2021, por medio de la cual se expidieron los documentos tipo para procesos de licitación de obra pública de infraestructura social, en los siguientes términos: </w:t>
      </w:r>
    </w:p>
    <w:p w14:paraId="4E79B619" w14:textId="502C54BF" w:rsidR="3BCD5C0E" w:rsidRDefault="67154871" w:rsidP="449377F1">
      <w:pPr>
        <w:jc w:val="both"/>
      </w:pPr>
      <w:r w:rsidRPr="449377F1">
        <w:rPr>
          <w:rFonts w:ascii="Verdana Pro" w:eastAsia="Verdana Pro" w:hAnsi="Verdana Pro" w:cs="Verdana Pro"/>
          <w:sz w:val="22"/>
          <w:szCs w:val="22"/>
        </w:rPr>
        <w:t xml:space="preserve"> </w:t>
      </w:r>
    </w:p>
    <w:p w14:paraId="2D15C761" w14:textId="66959586" w:rsidR="3BCD5C0E" w:rsidRDefault="67154871" w:rsidP="449377F1">
      <w:pPr>
        <w:ind w:left="720"/>
        <w:jc w:val="both"/>
        <w:rPr>
          <w:rFonts w:ascii="Verdana Pro" w:eastAsia="Verdana Pro" w:hAnsi="Verdana Pro" w:cs="Verdana Pro"/>
          <w:i/>
          <w:iCs/>
          <w:sz w:val="22"/>
          <w:szCs w:val="22"/>
        </w:rPr>
      </w:pPr>
      <w:r w:rsidRPr="449377F1">
        <w:rPr>
          <w:rFonts w:ascii="Verdana Pro" w:eastAsia="Verdana Pro" w:hAnsi="Verdana Pro" w:cs="Verdana Pro"/>
          <w:i/>
          <w:iCs/>
          <w:sz w:val="22"/>
          <w:szCs w:val="22"/>
        </w:rPr>
        <w:t>“Articulo 6. Vigencia: La presente rige a partir de su publicación y comenzará a aplicarse, de manera gradual y progresiva, en los procedimientos de selección de licitación de obra pública de infraestructura social</w:t>
      </w:r>
      <w:r w:rsidR="43A0D1A0" w:rsidRPr="449377F1">
        <w:rPr>
          <w:rFonts w:ascii="Verdana Pro" w:eastAsia="Verdana Pro" w:hAnsi="Verdana Pro" w:cs="Verdana Pro"/>
          <w:i/>
          <w:iCs/>
          <w:sz w:val="22"/>
          <w:szCs w:val="22"/>
        </w:rPr>
        <w:t>...”</w:t>
      </w:r>
    </w:p>
    <w:p w14:paraId="7457D066" w14:textId="289C947F" w:rsidR="3BCD5C0E" w:rsidRDefault="3BCD5C0E" w:rsidP="449377F1">
      <w:pPr>
        <w:ind w:left="720"/>
        <w:jc w:val="both"/>
        <w:rPr>
          <w:rFonts w:ascii="Verdana Pro" w:eastAsia="Verdana Pro" w:hAnsi="Verdana Pro" w:cs="Verdana Pro"/>
          <w:sz w:val="22"/>
          <w:szCs w:val="22"/>
        </w:rPr>
      </w:pPr>
    </w:p>
    <w:p w14:paraId="66017749" w14:textId="2144EFF7" w:rsidR="3BCD5C0E" w:rsidRDefault="67154871" w:rsidP="449377F1">
      <w:pPr>
        <w:jc w:val="both"/>
      </w:pPr>
      <w:r w:rsidRPr="449377F1">
        <w:rPr>
          <w:rFonts w:ascii="Verdana Pro" w:eastAsia="Verdana Pro" w:hAnsi="Verdana Pro" w:cs="Verdana Pro"/>
          <w:sz w:val="22"/>
          <w:szCs w:val="22"/>
        </w:rPr>
        <w:t xml:space="preserve">El 18 de noviembre de 2021 la Agencia expide la Resolución 392 de 2021 "Por la cual se adoptan los documentos tipo complementarios para los procesos de licitación de obra pública de infraestructura social relacionados con el sector salud”, indicando que “En relación con el numeral 1 del artículo 6 de la Resolución 219 de 2021, que se refiere a las entidades de los sectores central y descentralizado de la Rama Ejecutiva del orden nacional, estas deberán aplicar los documentos tipo de licitación de obra pública de </w:t>
      </w:r>
      <w:r w:rsidRPr="449377F1">
        <w:rPr>
          <w:rFonts w:ascii="Verdana Pro" w:eastAsia="Verdana Pro" w:hAnsi="Verdana Pro" w:cs="Verdana Pro"/>
          <w:sz w:val="22"/>
          <w:szCs w:val="22"/>
        </w:rPr>
        <w:lastRenderedPageBreak/>
        <w:t>infraestructura social relacionados con el sector salud en los procedimientos de selección cuyo aviso de convocatoria sea publicado a partir del 3 de enero de 2022”</w:t>
      </w:r>
    </w:p>
    <w:p w14:paraId="76584919" w14:textId="344EE5BB" w:rsidR="3BCD5C0E" w:rsidRDefault="67154871" w:rsidP="449377F1">
      <w:pPr>
        <w:jc w:val="both"/>
      </w:pPr>
      <w:r w:rsidRPr="449377F1">
        <w:rPr>
          <w:rFonts w:ascii="Verdana Pro" w:eastAsia="Verdana Pro" w:hAnsi="Verdana Pro" w:cs="Verdana Pro"/>
          <w:sz w:val="22"/>
          <w:szCs w:val="22"/>
        </w:rPr>
        <w:t xml:space="preserve"> </w:t>
      </w:r>
    </w:p>
    <w:p w14:paraId="234ACA12" w14:textId="61513C73" w:rsidR="3BCD5C0E" w:rsidRDefault="67154871" w:rsidP="449377F1">
      <w:pPr>
        <w:jc w:val="both"/>
      </w:pPr>
      <w:r w:rsidRPr="449377F1">
        <w:rPr>
          <w:rFonts w:ascii="Verdana Pro" w:eastAsia="Verdana Pro" w:hAnsi="Verdana Pro" w:cs="Verdana Pro"/>
          <w:sz w:val="22"/>
          <w:szCs w:val="22"/>
        </w:rPr>
        <w:t xml:space="preserve">El 16 de diciembre de 2021 la Agencia expide la Resolución 454 de 2021 "Por la cual se adoptan los documentos tipo complementarios para los procesos de licitación de obra pública de infraestructura social relacionados con la obra pública de infraestructura social relacionados con el sector cultura, recreación y deporte”, indicando en su artículo cuarto que: </w:t>
      </w:r>
    </w:p>
    <w:p w14:paraId="33C4A57C" w14:textId="0C807A5D" w:rsidR="3BCD5C0E" w:rsidRDefault="67154871" w:rsidP="449377F1">
      <w:pPr>
        <w:jc w:val="both"/>
      </w:pPr>
      <w:r w:rsidRPr="449377F1">
        <w:rPr>
          <w:rFonts w:ascii="Verdana Pro" w:eastAsia="Verdana Pro" w:hAnsi="Verdana Pro" w:cs="Verdana Pro"/>
          <w:sz w:val="22"/>
          <w:szCs w:val="22"/>
        </w:rPr>
        <w:t xml:space="preserve"> </w:t>
      </w:r>
    </w:p>
    <w:p w14:paraId="703B696D" w14:textId="13E15153" w:rsidR="3BCD5C0E" w:rsidRDefault="67154871" w:rsidP="449377F1">
      <w:pPr>
        <w:ind w:left="720"/>
        <w:jc w:val="both"/>
        <w:rPr>
          <w:rFonts w:ascii="Verdana Pro" w:eastAsia="Verdana Pro" w:hAnsi="Verdana Pro" w:cs="Verdana Pro"/>
          <w:i/>
          <w:iCs/>
          <w:sz w:val="22"/>
          <w:szCs w:val="22"/>
        </w:rPr>
      </w:pPr>
      <w:r w:rsidRPr="449377F1">
        <w:rPr>
          <w:rFonts w:ascii="Verdana Pro" w:eastAsia="Verdana Pro" w:hAnsi="Verdana Pro" w:cs="Verdana Pro"/>
          <w:i/>
          <w:iCs/>
          <w:sz w:val="22"/>
          <w:szCs w:val="22"/>
        </w:rPr>
        <w:t>“Artículo 4. Vigencia: La presente resolución rige a partir de su publicación y comenzará a aplicarse, de manera gradual y progresiva, en los procedimientos de selección de licitación de obra pública de infraestructura social asociados al sector de cultura, recreación y deporte</w:t>
      </w:r>
      <w:r w:rsidR="1223C56B" w:rsidRPr="449377F1">
        <w:rPr>
          <w:rFonts w:ascii="Verdana Pro" w:eastAsia="Verdana Pro" w:hAnsi="Verdana Pro" w:cs="Verdana Pro"/>
          <w:i/>
          <w:iCs/>
          <w:sz w:val="22"/>
          <w:szCs w:val="22"/>
        </w:rPr>
        <w:t>...”</w:t>
      </w:r>
    </w:p>
    <w:p w14:paraId="705371E5" w14:textId="51C01DC0" w:rsidR="3BCD5C0E" w:rsidRDefault="3BCD5C0E" w:rsidP="449377F1">
      <w:pPr>
        <w:jc w:val="both"/>
        <w:rPr>
          <w:rFonts w:ascii="Verdana Pro" w:eastAsia="Verdana Pro" w:hAnsi="Verdana Pro" w:cs="Verdana Pro"/>
          <w:sz w:val="22"/>
          <w:szCs w:val="22"/>
        </w:rPr>
      </w:pPr>
    </w:p>
    <w:p w14:paraId="23AE1BDF" w14:textId="15DE6817" w:rsidR="3BCD5C0E" w:rsidRDefault="62E9161F"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Y finalmente </w:t>
      </w:r>
      <w:r w:rsidR="2386FE79" w:rsidRPr="449377F1">
        <w:rPr>
          <w:rFonts w:ascii="Verdana Pro" w:eastAsia="Verdana Pro" w:hAnsi="Verdana Pro" w:cs="Verdana Pro"/>
          <w:sz w:val="22"/>
          <w:szCs w:val="22"/>
        </w:rPr>
        <w:t>se expide el n</w:t>
      </w:r>
      <w:r w:rsidR="2461AE36" w:rsidRPr="449377F1">
        <w:rPr>
          <w:rFonts w:ascii="Verdana Pro" w:eastAsia="Verdana Pro" w:hAnsi="Verdana Pro" w:cs="Verdana Pro"/>
          <w:sz w:val="22"/>
          <w:szCs w:val="22"/>
        </w:rPr>
        <w:t>uevo DT - Concurso de méritos</w:t>
      </w:r>
      <w:r w:rsidR="1870D140" w:rsidRPr="449377F1">
        <w:rPr>
          <w:rFonts w:ascii="Verdana Pro" w:eastAsia="Verdana Pro" w:hAnsi="Verdana Pro" w:cs="Verdana Pro"/>
          <w:sz w:val="22"/>
          <w:szCs w:val="22"/>
        </w:rPr>
        <w:t xml:space="preserve"> para contratar la interventoría de obras públicas de infraestructura social; que agrupa los sectores de educación, salud, cultura, recreación y deporte el 29 de diciembre de 2023</w:t>
      </w:r>
      <w:r w:rsidR="5517659C" w:rsidRPr="449377F1">
        <w:rPr>
          <w:rFonts w:ascii="Verdana Pro" w:eastAsia="Verdana Pro" w:hAnsi="Verdana Pro" w:cs="Verdana Pro"/>
          <w:sz w:val="22"/>
          <w:szCs w:val="22"/>
        </w:rPr>
        <w:t>, a</w:t>
      </w:r>
      <w:r w:rsidR="1F862E38" w:rsidRPr="449377F1">
        <w:rPr>
          <w:rFonts w:ascii="Verdana Pro" w:eastAsia="Verdana Pro" w:hAnsi="Verdana Pro" w:cs="Verdana Pro"/>
          <w:sz w:val="22"/>
          <w:szCs w:val="22"/>
        </w:rPr>
        <w:t xml:space="preserve"> </w:t>
      </w:r>
      <w:r w:rsidR="5517659C" w:rsidRPr="449377F1">
        <w:rPr>
          <w:rFonts w:ascii="Verdana Pro" w:eastAsia="Verdana Pro" w:hAnsi="Verdana Pro" w:cs="Verdana Pro"/>
          <w:sz w:val="22"/>
          <w:szCs w:val="22"/>
        </w:rPr>
        <w:t xml:space="preserve">través de la </w:t>
      </w:r>
      <w:r w:rsidR="2461AE36" w:rsidRPr="449377F1">
        <w:rPr>
          <w:rFonts w:ascii="Verdana Pro" w:eastAsia="Verdana Pro" w:hAnsi="Verdana Pro" w:cs="Verdana Pro"/>
          <w:sz w:val="22"/>
          <w:szCs w:val="22"/>
        </w:rPr>
        <w:t>Res</w:t>
      </w:r>
      <w:r w:rsidR="0E14850F" w:rsidRPr="449377F1">
        <w:rPr>
          <w:rFonts w:ascii="Verdana Pro" w:eastAsia="Verdana Pro" w:hAnsi="Verdana Pro" w:cs="Verdana Pro"/>
          <w:sz w:val="22"/>
          <w:szCs w:val="22"/>
        </w:rPr>
        <w:t>olución</w:t>
      </w:r>
      <w:r w:rsidR="2461AE36" w:rsidRPr="449377F1">
        <w:rPr>
          <w:rFonts w:ascii="Verdana Pro" w:eastAsia="Verdana Pro" w:hAnsi="Verdana Pro" w:cs="Verdana Pro"/>
          <w:sz w:val="22"/>
          <w:szCs w:val="22"/>
        </w:rPr>
        <w:t xml:space="preserve"> 798/2023</w:t>
      </w:r>
      <w:r w:rsidR="0B132ADA" w:rsidRPr="449377F1">
        <w:rPr>
          <w:rFonts w:ascii="Verdana Pro" w:eastAsia="Verdana Pro" w:hAnsi="Verdana Pro" w:cs="Verdana Pro"/>
          <w:sz w:val="22"/>
          <w:szCs w:val="22"/>
        </w:rPr>
        <w:t xml:space="preserve"> que </w:t>
      </w:r>
      <w:r w:rsidR="114AB6E2" w:rsidRPr="449377F1">
        <w:rPr>
          <w:rFonts w:ascii="Verdana Pro" w:eastAsia="Verdana Pro" w:hAnsi="Verdana Pro" w:cs="Verdana Pro"/>
          <w:sz w:val="22"/>
          <w:szCs w:val="22"/>
        </w:rPr>
        <w:t>entraron en vigor</w:t>
      </w:r>
      <w:r w:rsidR="2461AE36" w:rsidRPr="449377F1">
        <w:rPr>
          <w:rFonts w:ascii="Verdana Pro" w:eastAsia="Verdana Pro" w:hAnsi="Verdana Pro" w:cs="Verdana Pro"/>
          <w:sz w:val="22"/>
          <w:szCs w:val="22"/>
        </w:rPr>
        <w:t xml:space="preserve"> el 15 de abril de 2024</w:t>
      </w:r>
      <w:r w:rsidR="71DA524E" w:rsidRPr="449377F1">
        <w:rPr>
          <w:rFonts w:ascii="Verdana Pro" w:eastAsia="Verdana Pro" w:hAnsi="Verdana Pro" w:cs="Verdana Pro"/>
          <w:sz w:val="22"/>
          <w:szCs w:val="22"/>
        </w:rPr>
        <w:t>.</w:t>
      </w:r>
      <w:r w:rsidR="2461AE36" w:rsidRPr="449377F1">
        <w:rPr>
          <w:rFonts w:ascii="Verdana Pro" w:eastAsia="Verdana Pro" w:hAnsi="Verdana Pro" w:cs="Verdana Pro"/>
          <w:sz w:val="22"/>
          <w:szCs w:val="22"/>
        </w:rPr>
        <w:t xml:space="preserve"> </w:t>
      </w:r>
    </w:p>
    <w:p w14:paraId="3D364FAD" w14:textId="33668FDA" w:rsidR="3BCD5C0E" w:rsidRDefault="3BCD5C0E" w:rsidP="449377F1">
      <w:pPr>
        <w:jc w:val="both"/>
        <w:rPr>
          <w:rFonts w:ascii="Verdana Pro" w:eastAsia="Verdana Pro" w:hAnsi="Verdana Pro" w:cs="Verdana Pro"/>
          <w:sz w:val="22"/>
          <w:szCs w:val="22"/>
        </w:rPr>
      </w:pPr>
    </w:p>
    <w:p w14:paraId="2B4D7708" w14:textId="2DACAE81" w:rsidR="3BCD5C0E" w:rsidRDefault="1E1E681C" w:rsidP="449377F1">
      <w:pPr>
        <w:jc w:val="both"/>
        <w:rPr>
          <w:rFonts w:ascii="Verdana Pro" w:eastAsia="Verdana Pro" w:hAnsi="Verdana Pro" w:cs="Verdana Pro"/>
          <w:sz w:val="20"/>
          <w:szCs w:val="20"/>
        </w:rPr>
      </w:pPr>
      <w:r w:rsidRPr="449377F1">
        <w:rPr>
          <w:rFonts w:ascii="Verdana Pro" w:eastAsia="Verdana Pro" w:hAnsi="Verdana Pro" w:cs="Verdana Pro"/>
          <w:sz w:val="22"/>
          <w:szCs w:val="22"/>
        </w:rPr>
        <w:t xml:space="preserve">Del análisis de los cubos del gasto de la Subdirección EMAE, se </w:t>
      </w:r>
      <w:r w:rsidR="6C0D3C81" w:rsidRPr="449377F1">
        <w:rPr>
          <w:rFonts w:ascii="Verdana Pro" w:eastAsia="Verdana Pro" w:hAnsi="Verdana Pro" w:cs="Verdana Pro"/>
          <w:sz w:val="22"/>
          <w:szCs w:val="22"/>
        </w:rPr>
        <w:t xml:space="preserve">encontró </w:t>
      </w:r>
      <w:r w:rsidR="6357A0CD" w:rsidRPr="449377F1">
        <w:rPr>
          <w:rFonts w:ascii="Verdana Pro" w:eastAsia="Verdana Pro" w:hAnsi="Verdana Pro" w:cs="Verdana Pro"/>
          <w:sz w:val="22"/>
          <w:szCs w:val="22"/>
        </w:rPr>
        <w:t xml:space="preserve">el siguiente comportamiento para los sectores de i) salud, ii) educación y iii) cultura, recreación y deporte por vigencia y modalidad de contratación: </w:t>
      </w:r>
    </w:p>
    <w:p w14:paraId="0D49CE08" w14:textId="4992328F" w:rsidR="449377F1" w:rsidRDefault="449377F1" w:rsidP="449377F1">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3513"/>
        <w:gridCol w:w="3540"/>
        <w:gridCol w:w="2148"/>
      </w:tblGrid>
      <w:tr w:rsidR="449377F1" w14:paraId="3C67B2C4" w14:textId="77777777" w:rsidTr="449377F1">
        <w:trPr>
          <w:trHeight w:val="300"/>
          <w:jc w:val="center"/>
        </w:trPr>
        <w:tc>
          <w:tcPr>
            <w:tcW w:w="3513" w:type="dxa"/>
            <w:tcBorders>
              <w:top w:val="nil"/>
              <w:left w:val="nil"/>
              <w:bottom w:val="nil"/>
              <w:right w:val="nil"/>
            </w:tcBorders>
            <w:shd w:val="clear" w:color="auto" w:fill="D9E1F2"/>
            <w:tcMar>
              <w:top w:w="15" w:type="dxa"/>
              <w:left w:w="15" w:type="dxa"/>
              <w:right w:w="15" w:type="dxa"/>
            </w:tcMar>
            <w:vAlign w:val="bottom"/>
          </w:tcPr>
          <w:p w14:paraId="7AE47C5A" w14:textId="64567FAF" w:rsidR="6A169020" w:rsidRDefault="6A169020"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Vigencia / Modalidad de contratación</w:t>
            </w:r>
          </w:p>
        </w:tc>
        <w:tc>
          <w:tcPr>
            <w:tcW w:w="3540" w:type="dxa"/>
            <w:tcBorders>
              <w:top w:val="nil"/>
              <w:left w:val="nil"/>
              <w:bottom w:val="nil"/>
              <w:right w:val="nil"/>
            </w:tcBorders>
            <w:shd w:val="clear" w:color="auto" w:fill="D9E1F2"/>
            <w:tcMar>
              <w:top w:w="15" w:type="dxa"/>
              <w:left w:w="15" w:type="dxa"/>
              <w:right w:w="15" w:type="dxa"/>
            </w:tcMar>
            <w:vAlign w:val="bottom"/>
          </w:tcPr>
          <w:p w14:paraId="4811FD85" w14:textId="68477F04"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Suma de Valor</w:t>
            </w:r>
          </w:p>
        </w:tc>
        <w:tc>
          <w:tcPr>
            <w:tcW w:w="2148" w:type="dxa"/>
            <w:tcBorders>
              <w:top w:val="nil"/>
              <w:left w:val="nil"/>
              <w:bottom w:val="nil"/>
              <w:right w:val="nil"/>
            </w:tcBorders>
            <w:shd w:val="clear" w:color="auto" w:fill="D9E1F2"/>
            <w:tcMar>
              <w:top w:w="15" w:type="dxa"/>
              <w:left w:w="15" w:type="dxa"/>
              <w:right w:w="15" w:type="dxa"/>
            </w:tcMar>
            <w:vAlign w:val="bottom"/>
          </w:tcPr>
          <w:p w14:paraId="6A2D5AEA" w14:textId="02F94C43" w:rsidR="6857C7AE" w:rsidRDefault="6857C7AE"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 </w:t>
            </w:r>
            <w:r w:rsidR="449377F1" w:rsidRPr="449377F1">
              <w:rPr>
                <w:rFonts w:ascii="Verdana Pro" w:eastAsia="Verdana Pro" w:hAnsi="Verdana Pro" w:cs="Verdana Pro"/>
                <w:b/>
                <w:bCs/>
                <w:color w:val="000000" w:themeColor="text1"/>
                <w:sz w:val="22"/>
                <w:szCs w:val="22"/>
              </w:rPr>
              <w:t>Contrato</w:t>
            </w:r>
            <w:r w:rsidR="01C9FA6F" w:rsidRPr="449377F1">
              <w:rPr>
                <w:rFonts w:ascii="Verdana Pro" w:eastAsia="Verdana Pro" w:hAnsi="Verdana Pro" w:cs="Verdana Pro"/>
                <w:b/>
                <w:bCs/>
                <w:color w:val="000000" w:themeColor="text1"/>
                <w:sz w:val="22"/>
                <w:szCs w:val="22"/>
              </w:rPr>
              <w:t>s</w:t>
            </w:r>
          </w:p>
        </w:tc>
      </w:tr>
      <w:tr w:rsidR="449377F1" w14:paraId="1A976C34" w14:textId="77777777" w:rsidTr="449377F1">
        <w:trPr>
          <w:trHeight w:val="300"/>
          <w:jc w:val="center"/>
        </w:trPr>
        <w:tc>
          <w:tcPr>
            <w:tcW w:w="3513" w:type="dxa"/>
            <w:tcBorders>
              <w:top w:val="nil"/>
              <w:left w:val="nil"/>
              <w:bottom w:val="nil"/>
              <w:right w:val="nil"/>
            </w:tcBorders>
            <w:tcMar>
              <w:top w:w="15" w:type="dxa"/>
              <w:left w:w="15" w:type="dxa"/>
              <w:right w:w="15" w:type="dxa"/>
            </w:tcMar>
            <w:vAlign w:val="bottom"/>
          </w:tcPr>
          <w:p w14:paraId="0162C77E" w14:textId="3643B085"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2021</w:t>
            </w:r>
          </w:p>
        </w:tc>
        <w:tc>
          <w:tcPr>
            <w:tcW w:w="3540" w:type="dxa"/>
            <w:tcBorders>
              <w:top w:val="nil"/>
              <w:left w:val="nil"/>
              <w:bottom w:val="nil"/>
              <w:right w:val="nil"/>
            </w:tcBorders>
            <w:tcMar>
              <w:top w:w="15" w:type="dxa"/>
              <w:left w:w="15" w:type="dxa"/>
              <w:right w:w="15" w:type="dxa"/>
            </w:tcMar>
            <w:vAlign w:val="bottom"/>
          </w:tcPr>
          <w:p w14:paraId="19D29B59" w14:textId="496F72DD"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$4.584.906.603.362 </w:t>
            </w:r>
          </w:p>
        </w:tc>
        <w:tc>
          <w:tcPr>
            <w:tcW w:w="2148" w:type="dxa"/>
            <w:tcBorders>
              <w:top w:val="nil"/>
              <w:left w:val="nil"/>
              <w:bottom w:val="nil"/>
              <w:right w:val="nil"/>
            </w:tcBorders>
            <w:tcMar>
              <w:top w:w="15" w:type="dxa"/>
              <w:left w:w="15" w:type="dxa"/>
              <w:right w:w="15" w:type="dxa"/>
            </w:tcMar>
            <w:vAlign w:val="bottom"/>
          </w:tcPr>
          <w:p w14:paraId="130E324F" w14:textId="23A4C4B2"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4998</w:t>
            </w:r>
          </w:p>
        </w:tc>
      </w:tr>
      <w:tr w:rsidR="449377F1" w14:paraId="3D3CE838"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0D5DA80B" w14:textId="04582BF4"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540" w:type="dxa"/>
            <w:tcBorders>
              <w:top w:val="nil"/>
              <w:left w:val="nil"/>
              <w:bottom w:val="nil"/>
              <w:right w:val="nil"/>
            </w:tcBorders>
            <w:tcMar>
              <w:top w:w="15" w:type="dxa"/>
              <w:left w:w="15" w:type="dxa"/>
              <w:right w:w="15" w:type="dxa"/>
            </w:tcMar>
            <w:vAlign w:val="bottom"/>
          </w:tcPr>
          <w:p w14:paraId="7AFA0605" w14:textId="09AED0F4"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$71.329.738.967 </w:t>
            </w:r>
          </w:p>
        </w:tc>
        <w:tc>
          <w:tcPr>
            <w:tcW w:w="2148" w:type="dxa"/>
            <w:tcBorders>
              <w:top w:val="nil"/>
              <w:left w:val="nil"/>
              <w:bottom w:val="nil"/>
              <w:right w:val="nil"/>
            </w:tcBorders>
            <w:tcMar>
              <w:top w:w="15" w:type="dxa"/>
              <w:left w:w="15" w:type="dxa"/>
              <w:right w:w="15" w:type="dxa"/>
            </w:tcMar>
            <w:vAlign w:val="bottom"/>
          </w:tcPr>
          <w:p w14:paraId="790C97C8" w14:textId="3EF97459"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2084</w:t>
            </w:r>
          </w:p>
        </w:tc>
      </w:tr>
      <w:tr w:rsidR="449377F1" w14:paraId="6896849E"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3FA06B4A" w14:textId="1C9F6975"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540" w:type="dxa"/>
            <w:tcBorders>
              <w:top w:val="nil"/>
              <w:left w:val="nil"/>
              <w:bottom w:val="nil"/>
              <w:right w:val="nil"/>
            </w:tcBorders>
            <w:tcMar>
              <w:top w:w="15" w:type="dxa"/>
              <w:left w:w="15" w:type="dxa"/>
              <w:right w:w="15" w:type="dxa"/>
            </w:tcMar>
            <w:vAlign w:val="bottom"/>
          </w:tcPr>
          <w:p w14:paraId="74DCCAF2" w14:textId="3E554E07"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$2.973.745.078 </w:t>
            </w:r>
          </w:p>
        </w:tc>
        <w:tc>
          <w:tcPr>
            <w:tcW w:w="2148" w:type="dxa"/>
            <w:tcBorders>
              <w:top w:val="nil"/>
              <w:left w:val="nil"/>
              <w:bottom w:val="nil"/>
              <w:right w:val="nil"/>
            </w:tcBorders>
            <w:tcMar>
              <w:top w:w="15" w:type="dxa"/>
              <w:left w:w="15" w:type="dxa"/>
              <w:right w:w="15" w:type="dxa"/>
            </w:tcMar>
            <w:vAlign w:val="bottom"/>
          </w:tcPr>
          <w:p w14:paraId="01BD5AFB" w14:textId="10C2C014"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w:t>
            </w:r>
          </w:p>
        </w:tc>
      </w:tr>
      <w:tr w:rsidR="449377F1" w14:paraId="0F6E99B6"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4C757408" w14:textId="63630F02"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540" w:type="dxa"/>
            <w:tcBorders>
              <w:top w:val="nil"/>
              <w:left w:val="nil"/>
              <w:bottom w:val="nil"/>
              <w:right w:val="nil"/>
            </w:tcBorders>
            <w:tcMar>
              <w:top w:w="15" w:type="dxa"/>
              <w:left w:w="15" w:type="dxa"/>
              <w:right w:w="15" w:type="dxa"/>
            </w:tcMar>
            <w:vAlign w:val="bottom"/>
          </w:tcPr>
          <w:p w14:paraId="63CB6927" w14:textId="1C76AA7D"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$4.066.051.676.157 </w:t>
            </w:r>
          </w:p>
        </w:tc>
        <w:tc>
          <w:tcPr>
            <w:tcW w:w="2148" w:type="dxa"/>
            <w:tcBorders>
              <w:top w:val="nil"/>
              <w:left w:val="nil"/>
              <w:bottom w:val="nil"/>
              <w:right w:val="nil"/>
            </w:tcBorders>
            <w:tcMar>
              <w:top w:w="15" w:type="dxa"/>
              <w:left w:w="15" w:type="dxa"/>
              <w:right w:w="15" w:type="dxa"/>
            </w:tcMar>
            <w:vAlign w:val="bottom"/>
          </w:tcPr>
          <w:p w14:paraId="7C0BB2D8" w14:textId="132A52BE"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1201</w:t>
            </w:r>
          </w:p>
        </w:tc>
      </w:tr>
      <w:tr w:rsidR="449377F1" w14:paraId="58EE047E"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1D443789" w14:textId="4A3A227D"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540" w:type="dxa"/>
            <w:tcBorders>
              <w:top w:val="nil"/>
              <w:left w:val="nil"/>
              <w:bottom w:val="nil"/>
              <w:right w:val="nil"/>
            </w:tcBorders>
            <w:tcMar>
              <w:top w:w="15" w:type="dxa"/>
              <w:left w:w="15" w:type="dxa"/>
              <w:right w:w="15" w:type="dxa"/>
            </w:tcMar>
            <w:vAlign w:val="bottom"/>
          </w:tcPr>
          <w:p w14:paraId="39B23087" w14:textId="652A3FEB"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$444.551.443.160 </w:t>
            </w:r>
          </w:p>
        </w:tc>
        <w:tc>
          <w:tcPr>
            <w:tcW w:w="2148" w:type="dxa"/>
            <w:tcBorders>
              <w:top w:val="nil"/>
              <w:left w:val="nil"/>
              <w:bottom w:val="nil"/>
              <w:right w:val="nil"/>
            </w:tcBorders>
            <w:tcMar>
              <w:top w:w="15" w:type="dxa"/>
              <w:left w:w="15" w:type="dxa"/>
              <w:right w:w="15" w:type="dxa"/>
            </w:tcMar>
            <w:vAlign w:val="bottom"/>
          </w:tcPr>
          <w:p w14:paraId="041697B4" w14:textId="06EC1A9A"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1704</w:t>
            </w:r>
          </w:p>
        </w:tc>
      </w:tr>
      <w:tr w:rsidR="449377F1" w14:paraId="1A93449A" w14:textId="77777777" w:rsidTr="449377F1">
        <w:trPr>
          <w:trHeight w:val="300"/>
          <w:jc w:val="center"/>
        </w:trPr>
        <w:tc>
          <w:tcPr>
            <w:tcW w:w="3513" w:type="dxa"/>
            <w:tcBorders>
              <w:top w:val="nil"/>
              <w:left w:val="nil"/>
              <w:bottom w:val="nil"/>
              <w:right w:val="nil"/>
            </w:tcBorders>
            <w:tcMar>
              <w:top w:w="15" w:type="dxa"/>
              <w:left w:w="15" w:type="dxa"/>
              <w:right w:w="15" w:type="dxa"/>
            </w:tcMar>
            <w:vAlign w:val="bottom"/>
          </w:tcPr>
          <w:p w14:paraId="41ACDCB4" w14:textId="06A3CF68"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2022</w:t>
            </w:r>
          </w:p>
        </w:tc>
        <w:tc>
          <w:tcPr>
            <w:tcW w:w="3540" w:type="dxa"/>
            <w:tcBorders>
              <w:top w:val="nil"/>
              <w:left w:val="nil"/>
              <w:bottom w:val="nil"/>
              <w:right w:val="nil"/>
            </w:tcBorders>
            <w:tcMar>
              <w:top w:w="15" w:type="dxa"/>
              <w:left w:w="15" w:type="dxa"/>
              <w:right w:w="15" w:type="dxa"/>
            </w:tcMar>
            <w:vAlign w:val="bottom"/>
          </w:tcPr>
          <w:p w14:paraId="6A63B74A" w14:textId="0CECFF51"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$5.187.602.703.813 </w:t>
            </w:r>
          </w:p>
        </w:tc>
        <w:tc>
          <w:tcPr>
            <w:tcW w:w="2148" w:type="dxa"/>
            <w:tcBorders>
              <w:top w:val="nil"/>
              <w:left w:val="nil"/>
              <w:bottom w:val="nil"/>
              <w:right w:val="nil"/>
            </w:tcBorders>
            <w:tcMar>
              <w:top w:w="15" w:type="dxa"/>
              <w:left w:w="15" w:type="dxa"/>
              <w:right w:w="15" w:type="dxa"/>
            </w:tcMar>
            <w:vAlign w:val="bottom"/>
          </w:tcPr>
          <w:p w14:paraId="73F91F9A" w14:textId="4746EFBA"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5183</w:t>
            </w:r>
          </w:p>
        </w:tc>
      </w:tr>
      <w:tr w:rsidR="449377F1" w14:paraId="70D9E665"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373A3162" w14:textId="1921F2DF"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540" w:type="dxa"/>
            <w:tcBorders>
              <w:top w:val="nil"/>
              <w:left w:val="nil"/>
              <w:bottom w:val="nil"/>
              <w:right w:val="nil"/>
            </w:tcBorders>
            <w:tcMar>
              <w:top w:w="15" w:type="dxa"/>
              <w:left w:w="15" w:type="dxa"/>
              <w:right w:w="15" w:type="dxa"/>
            </w:tcMar>
            <w:vAlign w:val="bottom"/>
          </w:tcPr>
          <w:p w14:paraId="03EE1A05" w14:textId="501AC789"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$279.972.190 </w:t>
            </w:r>
          </w:p>
        </w:tc>
        <w:tc>
          <w:tcPr>
            <w:tcW w:w="2148" w:type="dxa"/>
            <w:tcBorders>
              <w:top w:val="nil"/>
              <w:left w:val="nil"/>
              <w:bottom w:val="nil"/>
              <w:right w:val="nil"/>
            </w:tcBorders>
            <w:tcMar>
              <w:top w:w="15" w:type="dxa"/>
              <w:left w:w="15" w:type="dxa"/>
              <w:right w:w="15" w:type="dxa"/>
            </w:tcMar>
            <w:vAlign w:val="bottom"/>
          </w:tcPr>
          <w:p w14:paraId="34ED382D" w14:textId="065B31C1"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3223AFB1"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5E5B1815" w14:textId="5BD78EE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540" w:type="dxa"/>
            <w:tcBorders>
              <w:top w:val="nil"/>
              <w:left w:val="nil"/>
              <w:bottom w:val="nil"/>
              <w:right w:val="nil"/>
            </w:tcBorders>
            <w:tcMar>
              <w:top w:w="15" w:type="dxa"/>
              <w:left w:w="15" w:type="dxa"/>
              <w:right w:w="15" w:type="dxa"/>
            </w:tcMar>
            <w:vAlign w:val="bottom"/>
          </w:tcPr>
          <w:p w14:paraId="14DD02F5" w14:textId="4DB8C3BC"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$56.198.406.959 </w:t>
            </w:r>
          </w:p>
        </w:tc>
        <w:tc>
          <w:tcPr>
            <w:tcW w:w="2148" w:type="dxa"/>
            <w:tcBorders>
              <w:top w:val="nil"/>
              <w:left w:val="nil"/>
              <w:bottom w:val="nil"/>
              <w:right w:val="nil"/>
            </w:tcBorders>
            <w:tcMar>
              <w:top w:w="15" w:type="dxa"/>
              <w:left w:w="15" w:type="dxa"/>
              <w:right w:w="15" w:type="dxa"/>
            </w:tcMar>
            <w:vAlign w:val="bottom"/>
          </w:tcPr>
          <w:p w14:paraId="39182D03" w14:textId="4B182D02"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2116</w:t>
            </w:r>
          </w:p>
        </w:tc>
      </w:tr>
      <w:tr w:rsidR="449377F1" w14:paraId="08D7AB95"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56FDA69E" w14:textId="731209D2"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540" w:type="dxa"/>
            <w:tcBorders>
              <w:top w:val="nil"/>
              <w:left w:val="nil"/>
              <w:bottom w:val="nil"/>
              <w:right w:val="nil"/>
            </w:tcBorders>
            <w:tcMar>
              <w:top w:w="15" w:type="dxa"/>
              <w:left w:w="15" w:type="dxa"/>
              <w:right w:w="15" w:type="dxa"/>
            </w:tcMar>
            <w:vAlign w:val="bottom"/>
          </w:tcPr>
          <w:p w14:paraId="53E43D88" w14:textId="384D802E"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$594.856.214 </w:t>
            </w:r>
          </w:p>
        </w:tc>
        <w:tc>
          <w:tcPr>
            <w:tcW w:w="2148" w:type="dxa"/>
            <w:tcBorders>
              <w:top w:val="nil"/>
              <w:left w:val="nil"/>
              <w:bottom w:val="nil"/>
              <w:right w:val="nil"/>
            </w:tcBorders>
            <w:tcMar>
              <w:top w:w="15" w:type="dxa"/>
              <w:left w:w="15" w:type="dxa"/>
              <w:right w:w="15" w:type="dxa"/>
            </w:tcMar>
            <w:vAlign w:val="bottom"/>
          </w:tcPr>
          <w:p w14:paraId="7DCFC9A5" w14:textId="34526F72"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w:t>
            </w:r>
          </w:p>
        </w:tc>
      </w:tr>
      <w:tr w:rsidR="449377F1" w14:paraId="18A10045"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3283D600" w14:textId="4053AB3C"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540" w:type="dxa"/>
            <w:tcBorders>
              <w:top w:val="nil"/>
              <w:left w:val="nil"/>
              <w:bottom w:val="nil"/>
              <w:right w:val="nil"/>
            </w:tcBorders>
            <w:tcMar>
              <w:top w:w="15" w:type="dxa"/>
              <w:left w:w="15" w:type="dxa"/>
              <w:right w:w="15" w:type="dxa"/>
            </w:tcMar>
            <w:vAlign w:val="bottom"/>
          </w:tcPr>
          <w:p w14:paraId="2586E5C4" w14:textId="5548B9B2"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$4.525.697.430.074 </w:t>
            </w:r>
          </w:p>
        </w:tc>
        <w:tc>
          <w:tcPr>
            <w:tcW w:w="2148" w:type="dxa"/>
            <w:tcBorders>
              <w:top w:val="nil"/>
              <w:left w:val="nil"/>
              <w:bottom w:val="nil"/>
              <w:right w:val="nil"/>
            </w:tcBorders>
            <w:tcMar>
              <w:top w:w="15" w:type="dxa"/>
              <w:left w:w="15" w:type="dxa"/>
              <w:right w:w="15" w:type="dxa"/>
            </w:tcMar>
            <w:vAlign w:val="bottom"/>
          </w:tcPr>
          <w:p w14:paraId="056A3E07" w14:textId="6D4C2444"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1211</w:t>
            </w:r>
          </w:p>
        </w:tc>
      </w:tr>
      <w:tr w:rsidR="449377F1" w14:paraId="47CB22AF"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284A0A2A" w14:textId="42216150"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540" w:type="dxa"/>
            <w:tcBorders>
              <w:top w:val="nil"/>
              <w:left w:val="nil"/>
              <w:bottom w:val="nil"/>
              <w:right w:val="nil"/>
            </w:tcBorders>
            <w:tcMar>
              <w:top w:w="15" w:type="dxa"/>
              <w:left w:w="15" w:type="dxa"/>
              <w:right w:w="15" w:type="dxa"/>
            </w:tcMar>
            <w:vAlign w:val="bottom"/>
          </w:tcPr>
          <w:p w14:paraId="482DEF96" w14:textId="30F87533"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$604.832.038.376 </w:t>
            </w:r>
          </w:p>
        </w:tc>
        <w:tc>
          <w:tcPr>
            <w:tcW w:w="2148" w:type="dxa"/>
            <w:tcBorders>
              <w:top w:val="nil"/>
              <w:left w:val="nil"/>
              <w:bottom w:val="nil"/>
              <w:right w:val="nil"/>
            </w:tcBorders>
            <w:tcMar>
              <w:top w:w="15" w:type="dxa"/>
              <w:left w:w="15" w:type="dxa"/>
              <w:right w:w="15" w:type="dxa"/>
            </w:tcMar>
            <w:vAlign w:val="bottom"/>
          </w:tcPr>
          <w:p w14:paraId="25FA863A" w14:textId="1E552C72"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1848</w:t>
            </w:r>
          </w:p>
        </w:tc>
      </w:tr>
      <w:tr w:rsidR="449377F1" w14:paraId="1BD0228A" w14:textId="77777777" w:rsidTr="449377F1">
        <w:trPr>
          <w:trHeight w:val="300"/>
          <w:jc w:val="center"/>
        </w:trPr>
        <w:tc>
          <w:tcPr>
            <w:tcW w:w="3513" w:type="dxa"/>
            <w:tcBorders>
              <w:top w:val="nil"/>
              <w:left w:val="nil"/>
              <w:bottom w:val="nil"/>
              <w:right w:val="nil"/>
            </w:tcBorders>
            <w:tcMar>
              <w:top w:w="15" w:type="dxa"/>
              <w:left w:w="15" w:type="dxa"/>
              <w:right w:w="15" w:type="dxa"/>
            </w:tcMar>
            <w:vAlign w:val="bottom"/>
          </w:tcPr>
          <w:p w14:paraId="7EBA61EF" w14:textId="3F109B24"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2023</w:t>
            </w:r>
          </w:p>
        </w:tc>
        <w:tc>
          <w:tcPr>
            <w:tcW w:w="3540" w:type="dxa"/>
            <w:tcBorders>
              <w:top w:val="nil"/>
              <w:left w:val="nil"/>
              <w:bottom w:val="nil"/>
              <w:right w:val="nil"/>
            </w:tcBorders>
            <w:tcMar>
              <w:top w:w="15" w:type="dxa"/>
              <w:left w:w="15" w:type="dxa"/>
              <w:right w:w="15" w:type="dxa"/>
            </w:tcMar>
            <w:vAlign w:val="bottom"/>
          </w:tcPr>
          <w:p w14:paraId="4846966E" w14:textId="559E98F2"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$4.802.459.036.350 </w:t>
            </w:r>
          </w:p>
        </w:tc>
        <w:tc>
          <w:tcPr>
            <w:tcW w:w="2148" w:type="dxa"/>
            <w:tcBorders>
              <w:top w:val="nil"/>
              <w:left w:val="nil"/>
              <w:bottom w:val="nil"/>
              <w:right w:val="nil"/>
            </w:tcBorders>
            <w:tcMar>
              <w:top w:w="15" w:type="dxa"/>
              <w:left w:w="15" w:type="dxa"/>
              <w:right w:w="15" w:type="dxa"/>
            </w:tcMar>
            <w:vAlign w:val="bottom"/>
          </w:tcPr>
          <w:p w14:paraId="4BAB291F" w14:textId="7A20B974"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4751</w:t>
            </w:r>
          </w:p>
        </w:tc>
      </w:tr>
      <w:tr w:rsidR="449377F1" w14:paraId="0DE32FA4"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1AE6C71C" w14:textId="238E1E3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lastRenderedPageBreak/>
              <w:t>Concurso de Méritos</w:t>
            </w:r>
          </w:p>
        </w:tc>
        <w:tc>
          <w:tcPr>
            <w:tcW w:w="3540" w:type="dxa"/>
            <w:tcBorders>
              <w:top w:val="nil"/>
              <w:left w:val="nil"/>
              <w:bottom w:val="nil"/>
              <w:right w:val="nil"/>
            </w:tcBorders>
            <w:tcMar>
              <w:top w:w="15" w:type="dxa"/>
              <w:left w:w="15" w:type="dxa"/>
              <w:right w:w="15" w:type="dxa"/>
            </w:tcMar>
            <w:vAlign w:val="bottom"/>
          </w:tcPr>
          <w:p w14:paraId="1B016060" w14:textId="384133AA"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$50.000.000 </w:t>
            </w:r>
          </w:p>
        </w:tc>
        <w:tc>
          <w:tcPr>
            <w:tcW w:w="2148" w:type="dxa"/>
            <w:tcBorders>
              <w:top w:val="nil"/>
              <w:left w:val="nil"/>
              <w:bottom w:val="nil"/>
              <w:right w:val="nil"/>
            </w:tcBorders>
            <w:tcMar>
              <w:top w:w="15" w:type="dxa"/>
              <w:left w:w="15" w:type="dxa"/>
              <w:right w:w="15" w:type="dxa"/>
            </w:tcMar>
            <w:vAlign w:val="bottom"/>
          </w:tcPr>
          <w:p w14:paraId="47C7B156" w14:textId="613C0526"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5FA48193"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684AF5EB" w14:textId="6A199439"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540" w:type="dxa"/>
            <w:tcBorders>
              <w:top w:val="nil"/>
              <w:left w:val="nil"/>
              <w:bottom w:val="nil"/>
              <w:right w:val="nil"/>
            </w:tcBorders>
            <w:tcMar>
              <w:top w:w="15" w:type="dxa"/>
              <w:left w:w="15" w:type="dxa"/>
              <w:right w:w="15" w:type="dxa"/>
            </w:tcMar>
            <w:vAlign w:val="bottom"/>
          </w:tcPr>
          <w:p w14:paraId="0A668900" w14:textId="3AF18026"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$56.560.794.735 </w:t>
            </w:r>
          </w:p>
        </w:tc>
        <w:tc>
          <w:tcPr>
            <w:tcW w:w="2148" w:type="dxa"/>
            <w:tcBorders>
              <w:top w:val="nil"/>
              <w:left w:val="nil"/>
              <w:bottom w:val="nil"/>
              <w:right w:val="nil"/>
            </w:tcBorders>
            <w:tcMar>
              <w:top w:w="15" w:type="dxa"/>
              <w:left w:w="15" w:type="dxa"/>
              <w:right w:w="15" w:type="dxa"/>
            </w:tcMar>
            <w:vAlign w:val="bottom"/>
          </w:tcPr>
          <w:p w14:paraId="1621595E" w14:textId="432FBBD3"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1744</w:t>
            </w:r>
          </w:p>
        </w:tc>
      </w:tr>
      <w:tr w:rsidR="449377F1" w14:paraId="415C1026"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76CAACC3" w14:textId="6B4CEF9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540" w:type="dxa"/>
            <w:tcBorders>
              <w:top w:val="nil"/>
              <w:left w:val="nil"/>
              <w:bottom w:val="nil"/>
              <w:right w:val="nil"/>
            </w:tcBorders>
            <w:tcMar>
              <w:top w:w="15" w:type="dxa"/>
              <w:left w:w="15" w:type="dxa"/>
              <w:right w:w="15" w:type="dxa"/>
            </w:tcMar>
            <w:vAlign w:val="bottom"/>
          </w:tcPr>
          <w:p w14:paraId="639D3D03" w14:textId="486FF88B"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$101.618.323.849 </w:t>
            </w:r>
          </w:p>
        </w:tc>
        <w:tc>
          <w:tcPr>
            <w:tcW w:w="2148" w:type="dxa"/>
            <w:tcBorders>
              <w:top w:val="nil"/>
              <w:left w:val="nil"/>
              <w:bottom w:val="nil"/>
              <w:right w:val="nil"/>
            </w:tcBorders>
            <w:tcMar>
              <w:top w:w="15" w:type="dxa"/>
              <w:left w:w="15" w:type="dxa"/>
              <w:right w:w="15" w:type="dxa"/>
            </w:tcMar>
            <w:vAlign w:val="bottom"/>
          </w:tcPr>
          <w:p w14:paraId="2B6E8955" w14:textId="120B8B98"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15</w:t>
            </w:r>
          </w:p>
        </w:tc>
      </w:tr>
      <w:tr w:rsidR="449377F1" w14:paraId="10DBFA1D"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4B6A36A0" w14:textId="25363F9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540" w:type="dxa"/>
            <w:tcBorders>
              <w:top w:val="nil"/>
              <w:left w:val="nil"/>
              <w:bottom w:val="nil"/>
              <w:right w:val="nil"/>
            </w:tcBorders>
            <w:tcMar>
              <w:top w:w="15" w:type="dxa"/>
              <w:left w:w="15" w:type="dxa"/>
              <w:right w:w="15" w:type="dxa"/>
            </w:tcMar>
            <w:vAlign w:val="bottom"/>
          </w:tcPr>
          <w:p w14:paraId="4B72BD0A" w14:textId="4D1946CF"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$3.810.488.017.704 </w:t>
            </w:r>
          </w:p>
        </w:tc>
        <w:tc>
          <w:tcPr>
            <w:tcW w:w="2148" w:type="dxa"/>
            <w:tcBorders>
              <w:top w:val="nil"/>
              <w:left w:val="nil"/>
              <w:bottom w:val="nil"/>
              <w:right w:val="nil"/>
            </w:tcBorders>
            <w:tcMar>
              <w:top w:w="15" w:type="dxa"/>
              <w:left w:w="15" w:type="dxa"/>
              <w:right w:w="15" w:type="dxa"/>
            </w:tcMar>
            <w:vAlign w:val="bottom"/>
          </w:tcPr>
          <w:p w14:paraId="4DC1EF4C" w14:textId="10DB7254"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1131</w:t>
            </w:r>
          </w:p>
        </w:tc>
      </w:tr>
      <w:tr w:rsidR="449377F1" w14:paraId="499E7130"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5143F1EC" w14:textId="60E47A6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540" w:type="dxa"/>
            <w:tcBorders>
              <w:top w:val="nil"/>
              <w:left w:val="nil"/>
              <w:bottom w:val="nil"/>
              <w:right w:val="nil"/>
            </w:tcBorders>
            <w:tcMar>
              <w:top w:w="15" w:type="dxa"/>
              <w:left w:w="15" w:type="dxa"/>
              <w:right w:w="15" w:type="dxa"/>
            </w:tcMar>
            <w:vAlign w:val="bottom"/>
          </w:tcPr>
          <w:p w14:paraId="6E822F53" w14:textId="5FE7B08B"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$833.741.900.062 </w:t>
            </w:r>
          </w:p>
        </w:tc>
        <w:tc>
          <w:tcPr>
            <w:tcW w:w="2148" w:type="dxa"/>
            <w:tcBorders>
              <w:top w:val="nil"/>
              <w:left w:val="nil"/>
              <w:bottom w:val="nil"/>
              <w:right w:val="nil"/>
            </w:tcBorders>
            <w:tcMar>
              <w:top w:w="15" w:type="dxa"/>
              <w:left w:w="15" w:type="dxa"/>
              <w:right w:w="15" w:type="dxa"/>
            </w:tcMar>
            <w:vAlign w:val="bottom"/>
          </w:tcPr>
          <w:p w14:paraId="0BE37995" w14:textId="39F82183"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1860</w:t>
            </w:r>
          </w:p>
        </w:tc>
      </w:tr>
      <w:tr w:rsidR="449377F1" w14:paraId="18703983" w14:textId="77777777" w:rsidTr="449377F1">
        <w:trPr>
          <w:trHeight w:val="300"/>
          <w:jc w:val="center"/>
        </w:trPr>
        <w:tc>
          <w:tcPr>
            <w:tcW w:w="3513" w:type="dxa"/>
            <w:tcBorders>
              <w:top w:val="nil"/>
              <w:left w:val="nil"/>
              <w:bottom w:val="nil"/>
              <w:right w:val="nil"/>
            </w:tcBorders>
            <w:tcMar>
              <w:top w:w="15" w:type="dxa"/>
              <w:left w:w="15" w:type="dxa"/>
              <w:right w:w="15" w:type="dxa"/>
            </w:tcMar>
            <w:vAlign w:val="bottom"/>
          </w:tcPr>
          <w:p w14:paraId="5B0B0612" w14:textId="52223D0A"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2024</w:t>
            </w:r>
          </w:p>
        </w:tc>
        <w:tc>
          <w:tcPr>
            <w:tcW w:w="3540" w:type="dxa"/>
            <w:tcBorders>
              <w:top w:val="nil"/>
              <w:left w:val="nil"/>
              <w:bottom w:val="nil"/>
              <w:right w:val="nil"/>
            </w:tcBorders>
            <w:tcMar>
              <w:top w:w="15" w:type="dxa"/>
              <w:left w:w="15" w:type="dxa"/>
              <w:right w:w="15" w:type="dxa"/>
            </w:tcMar>
            <w:vAlign w:val="bottom"/>
          </w:tcPr>
          <w:p w14:paraId="095624C4" w14:textId="1054CFA5"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$427.767.182.242 </w:t>
            </w:r>
          </w:p>
        </w:tc>
        <w:tc>
          <w:tcPr>
            <w:tcW w:w="2148" w:type="dxa"/>
            <w:tcBorders>
              <w:top w:val="nil"/>
              <w:left w:val="nil"/>
              <w:bottom w:val="nil"/>
              <w:right w:val="nil"/>
            </w:tcBorders>
            <w:tcMar>
              <w:top w:w="15" w:type="dxa"/>
              <w:left w:w="15" w:type="dxa"/>
              <w:right w:w="15" w:type="dxa"/>
            </w:tcMar>
            <w:vAlign w:val="bottom"/>
          </w:tcPr>
          <w:p w14:paraId="49D21D61" w14:textId="3621AF30"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634</w:t>
            </w:r>
          </w:p>
        </w:tc>
      </w:tr>
      <w:tr w:rsidR="449377F1" w14:paraId="6F639A7D"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39E357C4" w14:textId="3069BDC7"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540" w:type="dxa"/>
            <w:tcBorders>
              <w:top w:val="nil"/>
              <w:left w:val="nil"/>
              <w:bottom w:val="nil"/>
              <w:right w:val="nil"/>
            </w:tcBorders>
            <w:tcMar>
              <w:top w:w="15" w:type="dxa"/>
              <w:left w:w="15" w:type="dxa"/>
              <w:right w:w="15" w:type="dxa"/>
            </w:tcMar>
            <w:vAlign w:val="bottom"/>
          </w:tcPr>
          <w:p w14:paraId="140AC1D4" w14:textId="75B1204D"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$45.085.272.895 </w:t>
            </w:r>
          </w:p>
        </w:tc>
        <w:tc>
          <w:tcPr>
            <w:tcW w:w="2148" w:type="dxa"/>
            <w:tcBorders>
              <w:top w:val="nil"/>
              <w:left w:val="nil"/>
              <w:bottom w:val="nil"/>
              <w:right w:val="nil"/>
            </w:tcBorders>
            <w:tcMar>
              <w:top w:w="15" w:type="dxa"/>
              <w:left w:w="15" w:type="dxa"/>
              <w:right w:w="15" w:type="dxa"/>
            </w:tcMar>
            <w:vAlign w:val="bottom"/>
          </w:tcPr>
          <w:p w14:paraId="42949A58" w14:textId="4CA8214B"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88</w:t>
            </w:r>
          </w:p>
        </w:tc>
      </w:tr>
      <w:tr w:rsidR="449377F1" w14:paraId="5A91945B"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71D09C98" w14:textId="27E9ADD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540" w:type="dxa"/>
            <w:tcBorders>
              <w:top w:val="nil"/>
              <w:left w:val="nil"/>
              <w:bottom w:val="nil"/>
              <w:right w:val="nil"/>
            </w:tcBorders>
            <w:tcMar>
              <w:top w:w="15" w:type="dxa"/>
              <w:left w:w="15" w:type="dxa"/>
              <w:right w:w="15" w:type="dxa"/>
            </w:tcMar>
            <w:vAlign w:val="bottom"/>
          </w:tcPr>
          <w:p w14:paraId="3EA31B49" w14:textId="1B3E8D7D"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$11.946.490.206 </w:t>
            </w:r>
          </w:p>
        </w:tc>
        <w:tc>
          <w:tcPr>
            <w:tcW w:w="2148" w:type="dxa"/>
            <w:tcBorders>
              <w:top w:val="nil"/>
              <w:left w:val="nil"/>
              <w:bottom w:val="nil"/>
              <w:right w:val="nil"/>
            </w:tcBorders>
            <w:tcMar>
              <w:top w:w="15" w:type="dxa"/>
              <w:left w:w="15" w:type="dxa"/>
              <w:right w:w="15" w:type="dxa"/>
            </w:tcMar>
            <w:vAlign w:val="bottom"/>
          </w:tcPr>
          <w:p w14:paraId="1F65DEA3" w14:textId="6B1EEA9A"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354</w:t>
            </w:r>
          </w:p>
        </w:tc>
      </w:tr>
      <w:tr w:rsidR="449377F1" w14:paraId="26A0C227"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37B1DCE1" w14:textId="2D39AD0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540" w:type="dxa"/>
            <w:tcBorders>
              <w:top w:val="nil"/>
              <w:left w:val="nil"/>
              <w:bottom w:val="nil"/>
              <w:right w:val="nil"/>
            </w:tcBorders>
            <w:tcMar>
              <w:top w:w="15" w:type="dxa"/>
              <w:left w:w="15" w:type="dxa"/>
              <w:right w:w="15" w:type="dxa"/>
            </w:tcMar>
            <w:vAlign w:val="bottom"/>
          </w:tcPr>
          <w:p w14:paraId="38893A5B" w14:textId="67635326"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$322.303.355.994 </w:t>
            </w:r>
          </w:p>
        </w:tc>
        <w:tc>
          <w:tcPr>
            <w:tcW w:w="2148" w:type="dxa"/>
            <w:tcBorders>
              <w:top w:val="nil"/>
              <w:left w:val="nil"/>
              <w:bottom w:val="nil"/>
              <w:right w:val="nil"/>
            </w:tcBorders>
            <w:tcMar>
              <w:top w:w="15" w:type="dxa"/>
              <w:left w:w="15" w:type="dxa"/>
              <w:right w:w="15" w:type="dxa"/>
            </w:tcMar>
            <w:vAlign w:val="bottom"/>
          </w:tcPr>
          <w:p w14:paraId="5A72A360" w14:textId="2911A945"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69</w:t>
            </w:r>
          </w:p>
        </w:tc>
      </w:tr>
      <w:tr w:rsidR="449377F1" w14:paraId="1309B1DF" w14:textId="77777777" w:rsidTr="449377F1">
        <w:trPr>
          <w:trHeight w:val="300"/>
          <w:jc w:val="center"/>
        </w:trPr>
        <w:tc>
          <w:tcPr>
            <w:tcW w:w="3513" w:type="dxa"/>
            <w:tcBorders>
              <w:top w:val="nil"/>
              <w:left w:val="nil"/>
              <w:bottom w:val="nil"/>
              <w:right w:val="nil"/>
            </w:tcBorders>
            <w:tcMar>
              <w:top w:w="15" w:type="dxa"/>
              <w:left w:w="135" w:type="dxa"/>
              <w:right w:w="15" w:type="dxa"/>
            </w:tcMar>
            <w:vAlign w:val="bottom"/>
          </w:tcPr>
          <w:p w14:paraId="0B7D6A2A" w14:textId="1B90D74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540" w:type="dxa"/>
            <w:tcBorders>
              <w:top w:val="nil"/>
              <w:left w:val="nil"/>
              <w:bottom w:val="nil"/>
              <w:right w:val="nil"/>
            </w:tcBorders>
            <w:tcMar>
              <w:top w:w="15" w:type="dxa"/>
              <w:left w:w="15" w:type="dxa"/>
              <w:right w:w="15" w:type="dxa"/>
            </w:tcMar>
            <w:vAlign w:val="bottom"/>
          </w:tcPr>
          <w:p w14:paraId="22E75165" w14:textId="2E29F81A"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$48.432.063.147 </w:t>
            </w:r>
          </w:p>
        </w:tc>
        <w:tc>
          <w:tcPr>
            <w:tcW w:w="2148" w:type="dxa"/>
            <w:tcBorders>
              <w:top w:val="nil"/>
              <w:left w:val="nil"/>
              <w:bottom w:val="nil"/>
              <w:right w:val="nil"/>
            </w:tcBorders>
            <w:tcMar>
              <w:top w:w="15" w:type="dxa"/>
              <w:left w:w="15" w:type="dxa"/>
              <w:right w:w="15" w:type="dxa"/>
            </w:tcMar>
            <w:vAlign w:val="bottom"/>
          </w:tcPr>
          <w:p w14:paraId="4C1FA18B" w14:textId="59B41DEA" w:rsidR="449377F1" w:rsidRDefault="449377F1" w:rsidP="449377F1">
            <w:pPr>
              <w:jc w:val="cente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123</w:t>
            </w:r>
          </w:p>
        </w:tc>
      </w:tr>
      <w:tr w:rsidR="449377F1" w14:paraId="06AFFA66" w14:textId="77777777" w:rsidTr="449377F1">
        <w:trPr>
          <w:trHeight w:val="300"/>
          <w:jc w:val="center"/>
        </w:trPr>
        <w:tc>
          <w:tcPr>
            <w:tcW w:w="3513" w:type="dxa"/>
            <w:tcBorders>
              <w:top w:val="nil"/>
              <w:left w:val="nil"/>
              <w:bottom w:val="nil"/>
              <w:right w:val="nil"/>
            </w:tcBorders>
            <w:shd w:val="clear" w:color="auto" w:fill="D9E1F2"/>
            <w:tcMar>
              <w:top w:w="15" w:type="dxa"/>
              <w:left w:w="15" w:type="dxa"/>
              <w:right w:w="15" w:type="dxa"/>
            </w:tcMar>
            <w:vAlign w:val="bottom"/>
          </w:tcPr>
          <w:p w14:paraId="283988EF" w14:textId="53F5600B" w:rsidR="449377F1" w:rsidRDefault="449377F1"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540" w:type="dxa"/>
            <w:tcBorders>
              <w:top w:val="nil"/>
              <w:left w:val="nil"/>
              <w:bottom w:val="nil"/>
              <w:right w:val="nil"/>
            </w:tcBorders>
            <w:shd w:val="clear" w:color="auto" w:fill="D9E1F2"/>
            <w:tcMar>
              <w:top w:w="15" w:type="dxa"/>
              <w:left w:w="15" w:type="dxa"/>
              <w:right w:w="15" w:type="dxa"/>
            </w:tcMar>
            <w:vAlign w:val="bottom"/>
          </w:tcPr>
          <w:p w14:paraId="348FECCD" w14:textId="10730F21"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$15.002.735.525.767 </w:t>
            </w:r>
          </w:p>
        </w:tc>
        <w:tc>
          <w:tcPr>
            <w:tcW w:w="2148" w:type="dxa"/>
            <w:tcBorders>
              <w:top w:val="nil"/>
              <w:left w:val="nil"/>
              <w:bottom w:val="nil"/>
              <w:right w:val="nil"/>
            </w:tcBorders>
            <w:shd w:val="clear" w:color="auto" w:fill="D9E1F2"/>
            <w:tcMar>
              <w:top w:w="15" w:type="dxa"/>
              <w:left w:w="15" w:type="dxa"/>
              <w:right w:w="15" w:type="dxa"/>
            </w:tcMar>
            <w:vAlign w:val="bottom"/>
          </w:tcPr>
          <w:p w14:paraId="4636BDB6" w14:textId="2670267E"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15566</w:t>
            </w:r>
          </w:p>
        </w:tc>
      </w:tr>
    </w:tbl>
    <w:p w14:paraId="6396B2B1" w14:textId="5BAA9F9F" w:rsidR="449377F1" w:rsidRDefault="449377F1" w:rsidP="449377F1">
      <w:pPr>
        <w:rPr>
          <w:rFonts w:ascii="Verdana Pro" w:eastAsia="Verdana Pro" w:hAnsi="Verdana Pro" w:cs="Verdana Pro"/>
        </w:rPr>
      </w:pPr>
    </w:p>
    <w:p w14:paraId="384071E6" w14:textId="53975951" w:rsidR="36C5290E" w:rsidRDefault="36C5290E"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Y de conformidad con los datos obtenidos como se mencionó anteriormente, se obtuvieron </w:t>
      </w:r>
      <w:r w:rsidR="5ED4CDB0" w:rsidRPr="449377F1">
        <w:rPr>
          <w:rFonts w:ascii="Verdana Pro" w:eastAsia="Verdana Pro" w:hAnsi="Verdana Pro" w:cs="Verdana Pro"/>
          <w:sz w:val="22"/>
          <w:szCs w:val="22"/>
        </w:rPr>
        <w:t xml:space="preserve">valores relevantes en la contratación </w:t>
      </w:r>
      <w:r w:rsidRPr="449377F1">
        <w:rPr>
          <w:rFonts w:ascii="Verdana Pro" w:eastAsia="Verdana Pro" w:hAnsi="Verdana Pro" w:cs="Verdana Pro"/>
          <w:sz w:val="22"/>
          <w:szCs w:val="22"/>
        </w:rPr>
        <w:t xml:space="preserve">para el tipo de edificaciones del sector institucional y el sector de seguridad pública: </w:t>
      </w:r>
    </w:p>
    <w:p w14:paraId="5AE4E08B" w14:textId="6F219881" w:rsidR="449377F1" w:rsidRDefault="449377F1" w:rsidP="449377F1">
      <w:pPr>
        <w:rPr>
          <w:rFonts w:ascii="Verdana Pro" w:eastAsia="Verdana Pro" w:hAnsi="Verdana Pro" w:cs="Verdana Pro"/>
        </w:rPr>
      </w:pPr>
    </w:p>
    <w:tbl>
      <w:tblPr>
        <w:tblW w:w="0" w:type="auto"/>
        <w:tblLayout w:type="fixed"/>
        <w:tblLook w:val="06A0" w:firstRow="1" w:lastRow="0" w:firstColumn="1" w:lastColumn="0" w:noHBand="1" w:noVBand="1"/>
      </w:tblPr>
      <w:tblGrid>
        <w:gridCol w:w="3518"/>
        <w:gridCol w:w="3240"/>
        <w:gridCol w:w="2546"/>
      </w:tblGrid>
      <w:tr w:rsidR="449377F1" w14:paraId="596DAAC3" w14:textId="77777777" w:rsidTr="449377F1">
        <w:trPr>
          <w:trHeight w:val="300"/>
        </w:trPr>
        <w:tc>
          <w:tcPr>
            <w:tcW w:w="3518" w:type="dxa"/>
            <w:tcBorders>
              <w:top w:val="nil"/>
              <w:left w:val="nil"/>
              <w:bottom w:val="nil"/>
              <w:right w:val="nil"/>
            </w:tcBorders>
            <w:shd w:val="clear" w:color="auto" w:fill="D9E1F2"/>
            <w:tcMar>
              <w:top w:w="15" w:type="dxa"/>
              <w:left w:w="15" w:type="dxa"/>
              <w:right w:w="15" w:type="dxa"/>
            </w:tcMar>
            <w:vAlign w:val="bottom"/>
          </w:tcPr>
          <w:p w14:paraId="1207E205" w14:textId="25912DAA" w:rsidR="21FD94FA" w:rsidRDefault="21FD94F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Vigencia / Modalidad de contratación</w:t>
            </w:r>
          </w:p>
        </w:tc>
        <w:tc>
          <w:tcPr>
            <w:tcW w:w="3240" w:type="dxa"/>
            <w:tcBorders>
              <w:top w:val="nil"/>
              <w:left w:val="nil"/>
              <w:bottom w:val="nil"/>
              <w:right w:val="nil"/>
            </w:tcBorders>
            <w:shd w:val="clear" w:color="auto" w:fill="D9E1F2"/>
            <w:tcMar>
              <w:top w:w="15" w:type="dxa"/>
              <w:left w:w="15" w:type="dxa"/>
              <w:right w:w="15" w:type="dxa"/>
            </w:tcMar>
            <w:vAlign w:val="bottom"/>
          </w:tcPr>
          <w:p w14:paraId="4CD2C76E" w14:textId="0757E423" w:rsidR="449377F1" w:rsidRDefault="449377F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w:t>
            </w:r>
          </w:p>
        </w:tc>
        <w:tc>
          <w:tcPr>
            <w:tcW w:w="2546" w:type="dxa"/>
            <w:tcBorders>
              <w:top w:val="nil"/>
              <w:left w:val="nil"/>
              <w:bottom w:val="nil"/>
              <w:right w:val="nil"/>
            </w:tcBorders>
            <w:shd w:val="clear" w:color="auto" w:fill="D9E1F2"/>
            <w:tcMar>
              <w:top w:w="15" w:type="dxa"/>
              <w:left w:w="15" w:type="dxa"/>
              <w:right w:w="15" w:type="dxa"/>
            </w:tcMar>
            <w:vAlign w:val="bottom"/>
          </w:tcPr>
          <w:p w14:paraId="7B17B084" w14:textId="6B2DB5D6" w:rsidR="43AF3970" w:rsidRDefault="43AF3970"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 </w:t>
            </w:r>
            <w:r w:rsidR="449377F1" w:rsidRPr="449377F1">
              <w:rPr>
                <w:rFonts w:ascii="Verdana Pro" w:eastAsia="Verdana Pro" w:hAnsi="Verdana Pro" w:cs="Verdana Pro"/>
                <w:b/>
                <w:bCs/>
                <w:color w:val="000000" w:themeColor="text1"/>
                <w:sz w:val="22"/>
                <w:szCs w:val="22"/>
              </w:rPr>
              <w:t>Contrato</w:t>
            </w:r>
          </w:p>
        </w:tc>
      </w:tr>
      <w:tr w:rsidR="449377F1" w14:paraId="610F915D" w14:textId="77777777" w:rsidTr="449377F1">
        <w:trPr>
          <w:trHeight w:val="300"/>
        </w:trPr>
        <w:tc>
          <w:tcPr>
            <w:tcW w:w="3518" w:type="dxa"/>
            <w:tcBorders>
              <w:top w:val="nil"/>
              <w:left w:val="nil"/>
              <w:bottom w:val="nil"/>
              <w:right w:val="nil"/>
            </w:tcBorders>
            <w:tcMar>
              <w:top w:w="15" w:type="dxa"/>
              <w:left w:w="15" w:type="dxa"/>
              <w:right w:w="15" w:type="dxa"/>
            </w:tcMar>
            <w:vAlign w:val="bottom"/>
          </w:tcPr>
          <w:p w14:paraId="608B5DCE" w14:textId="5717A995"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2021</w:t>
            </w:r>
          </w:p>
        </w:tc>
        <w:tc>
          <w:tcPr>
            <w:tcW w:w="3240" w:type="dxa"/>
            <w:tcBorders>
              <w:top w:val="nil"/>
              <w:left w:val="nil"/>
              <w:bottom w:val="nil"/>
              <w:right w:val="nil"/>
            </w:tcBorders>
            <w:tcMar>
              <w:top w:w="15" w:type="dxa"/>
              <w:left w:w="15" w:type="dxa"/>
              <w:right w:w="15" w:type="dxa"/>
            </w:tcMar>
            <w:vAlign w:val="bottom"/>
          </w:tcPr>
          <w:p w14:paraId="61D2CA25" w14:textId="00FC84E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$2.077.398.538.164 </w:t>
            </w:r>
          </w:p>
        </w:tc>
        <w:tc>
          <w:tcPr>
            <w:tcW w:w="2546" w:type="dxa"/>
            <w:tcBorders>
              <w:top w:val="nil"/>
              <w:left w:val="nil"/>
              <w:bottom w:val="nil"/>
              <w:right w:val="nil"/>
            </w:tcBorders>
            <w:tcMar>
              <w:top w:w="15" w:type="dxa"/>
              <w:left w:w="15" w:type="dxa"/>
              <w:right w:w="15" w:type="dxa"/>
            </w:tcMar>
            <w:vAlign w:val="bottom"/>
          </w:tcPr>
          <w:p w14:paraId="4EBF49C6" w14:textId="1D733A76"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2131</w:t>
            </w:r>
          </w:p>
        </w:tc>
      </w:tr>
      <w:tr w:rsidR="449377F1" w14:paraId="0024CD71"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1B08F05D" w14:textId="0F291612"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240" w:type="dxa"/>
            <w:tcBorders>
              <w:top w:val="nil"/>
              <w:left w:val="nil"/>
              <w:bottom w:val="nil"/>
              <w:right w:val="nil"/>
            </w:tcBorders>
            <w:tcMar>
              <w:top w:w="15" w:type="dxa"/>
              <w:left w:w="15" w:type="dxa"/>
              <w:right w:w="15" w:type="dxa"/>
            </w:tcMar>
            <w:vAlign w:val="bottom"/>
          </w:tcPr>
          <w:p w14:paraId="23398C68" w14:textId="04BCFD3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$26.147.597.720 </w:t>
            </w:r>
          </w:p>
        </w:tc>
        <w:tc>
          <w:tcPr>
            <w:tcW w:w="2546" w:type="dxa"/>
            <w:tcBorders>
              <w:top w:val="nil"/>
              <w:left w:val="nil"/>
              <w:bottom w:val="nil"/>
              <w:right w:val="nil"/>
            </w:tcBorders>
            <w:tcMar>
              <w:top w:w="15" w:type="dxa"/>
              <w:left w:w="15" w:type="dxa"/>
              <w:right w:w="15" w:type="dxa"/>
            </w:tcMar>
            <w:vAlign w:val="bottom"/>
          </w:tcPr>
          <w:p w14:paraId="4862C29B" w14:textId="6E5FEA9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954</w:t>
            </w:r>
          </w:p>
        </w:tc>
      </w:tr>
      <w:tr w:rsidR="449377F1" w14:paraId="22DB9388"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78C85BB4" w14:textId="0500F270"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240" w:type="dxa"/>
            <w:tcBorders>
              <w:top w:val="nil"/>
              <w:left w:val="nil"/>
              <w:bottom w:val="nil"/>
              <w:right w:val="nil"/>
            </w:tcBorders>
            <w:tcMar>
              <w:top w:w="15" w:type="dxa"/>
              <w:left w:w="15" w:type="dxa"/>
              <w:right w:w="15" w:type="dxa"/>
            </w:tcMar>
            <w:vAlign w:val="bottom"/>
          </w:tcPr>
          <w:p w14:paraId="77F9FEFD" w14:textId="4A558EF1"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$1.699.296.987.705 </w:t>
            </w:r>
          </w:p>
        </w:tc>
        <w:tc>
          <w:tcPr>
            <w:tcW w:w="2546" w:type="dxa"/>
            <w:tcBorders>
              <w:top w:val="nil"/>
              <w:left w:val="nil"/>
              <w:bottom w:val="nil"/>
              <w:right w:val="nil"/>
            </w:tcBorders>
            <w:tcMar>
              <w:top w:w="15" w:type="dxa"/>
              <w:left w:w="15" w:type="dxa"/>
              <w:right w:w="15" w:type="dxa"/>
            </w:tcMar>
            <w:vAlign w:val="bottom"/>
          </w:tcPr>
          <w:p w14:paraId="16109D34" w14:textId="18BDB51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333</w:t>
            </w:r>
          </w:p>
        </w:tc>
      </w:tr>
      <w:tr w:rsidR="449377F1" w14:paraId="29008818"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6BBF94AA" w14:textId="12FC3CC8"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240" w:type="dxa"/>
            <w:tcBorders>
              <w:top w:val="nil"/>
              <w:left w:val="nil"/>
              <w:bottom w:val="nil"/>
              <w:right w:val="nil"/>
            </w:tcBorders>
            <w:tcMar>
              <w:top w:w="15" w:type="dxa"/>
              <w:left w:w="15" w:type="dxa"/>
              <w:right w:w="15" w:type="dxa"/>
            </w:tcMar>
            <w:vAlign w:val="bottom"/>
          </w:tcPr>
          <w:p w14:paraId="4833B410" w14:textId="2965857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$351.953.952.739 </w:t>
            </w:r>
          </w:p>
        </w:tc>
        <w:tc>
          <w:tcPr>
            <w:tcW w:w="2546" w:type="dxa"/>
            <w:tcBorders>
              <w:top w:val="nil"/>
              <w:left w:val="nil"/>
              <w:bottom w:val="nil"/>
              <w:right w:val="nil"/>
            </w:tcBorders>
            <w:tcMar>
              <w:top w:w="15" w:type="dxa"/>
              <w:left w:w="15" w:type="dxa"/>
              <w:right w:w="15" w:type="dxa"/>
            </w:tcMar>
            <w:vAlign w:val="bottom"/>
          </w:tcPr>
          <w:p w14:paraId="4DCF81F2" w14:textId="440841C1"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844</w:t>
            </w:r>
          </w:p>
        </w:tc>
      </w:tr>
      <w:tr w:rsidR="449377F1" w14:paraId="1FB4EA29" w14:textId="77777777" w:rsidTr="449377F1">
        <w:trPr>
          <w:trHeight w:val="300"/>
        </w:trPr>
        <w:tc>
          <w:tcPr>
            <w:tcW w:w="3518" w:type="dxa"/>
            <w:tcBorders>
              <w:top w:val="nil"/>
              <w:left w:val="nil"/>
              <w:bottom w:val="nil"/>
              <w:right w:val="nil"/>
            </w:tcBorders>
            <w:tcMar>
              <w:top w:w="15" w:type="dxa"/>
              <w:left w:w="15" w:type="dxa"/>
              <w:right w:w="15" w:type="dxa"/>
            </w:tcMar>
            <w:vAlign w:val="bottom"/>
          </w:tcPr>
          <w:p w14:paraId="69E98DA3" w14:textId="241BA297"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2022</w:t>
            </w:r>
          </w:p>
        </w:tc>
        <w:tc>
          <w:tcPr>
            <w:tcW w:w="3240" w:type="dxa"/>
            <w:tcBorders>
              <w:top w:val="nil"/>
              <w:left w:val="nil"/>
              <w:bottom w:val="nil"/>
              <w:right w:val="nil"/>
            </w:tcBorders>
            <w:tcMar>
              <w:top w:w="15" w:type="dxa"/>
              <w:left w:w="15" w:type="dxa"/>
              <w:right w:w="15" w:type="dxa"/>
            </w:tcMar>
            <w:vAlign w:val="bottom"/>
          </w:tcPr>
          <w:p w14:paraId="5DC67ECA" w14:textId="48CB22DC"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$2.186.053.371.521 </w:t>
            </w:r>
          </w:p>
        </w:tc>
        <w:tc>
          <w:tcPr>
            <w:tcW w:w="2546" w:type="dxa"/>
            <w:tcBorders>
              <w:top w:val="nil"/>
              <w:left w:val="nil"/>
              <w:bottom w:val="nil"/>
              <w:right w:val="nil"/>
            </w:tcBorders>
            <w:tcMar>
              <w:top w:w="15" w:type="dxa"/>
              <w:left w:w="15" w:type="dxa"/>
              <w:right w:w="15" w:type="dxa"/>
            </w:tcMar>
            <w:vAlign w:val="bottom"/>
          </w:tcPr>
          <w:p w14:paraId="3A60F640" w14:textId="5FA4D50A"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2085</w:t>
            </w:r>
          </w:p>
        </w:tc>
      </w:tr>
      <w:tr w:rsidR="449377F1" w14:paraId="1F3AEF53"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2E73D922" w14:textId="1B139D92"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240" w:type="dxa"/>
            <w:tcBorders>
              <w:top w:val="nil"/>
              <w:left w:val="nil"/>
              <w:bottom w:val="nil"/>
              <w:right w:val="nil"/>
            </w:tcBorders>
            <w:tcMar>
              <w:top w:w="15" w:type="dxa"/>
              <w:left w:w="15" w:type="dxa"/>
              <w:right w:w="15" w:type="dxa"/>
            </w:tcMar>
            <w:vAlign w:val="bottom"/>
          </w:tcPr>
          <w:p w14:paraId="16DA15E7" w14:textId="0693535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$26.967.916.438 </w:t>
            </w:r>
          </w:p>
        </w:tc>
        <w:tc>
          <w:tcPr>
            <w:tcW w:w="2546" w:type="dxa"/>
            <w:tcBorders>
              <w:top w:val="nil"/>
              <w:left w:val="nil"/>
              <w:bottom w:val="nil"/>
              <w:right w:val="nil"/>
            </w:tcBorders>
            <w:tcMar>
              <w:top w:w="15" w:type="dxa"/>
              <w:left w:w="15" w:type="dxa"/>
              <w:right w:w="15" w:type="dxa"/>
            </w:tcMar>
            <w:vAlign w:val="bottom"/>
          </w:tcPr>
          <w:p w14:paraId="4211062B" w14:textId="124CACA7"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861</w:t>
            </w:r>
          </w:p>
        </w:tc>
      </w:tr>
      <w:tr w:rsidR="449377F1" w14:paraId="3E95D47C"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078683C3" w14:textId="3C11C5CE"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240" w:type="dxa"/>
            <w:tcBorders>
              <w:top w:val="nil"/>
              <w:left w:val="nil"/>
              <w:bottom w:val="nil"/>
              <w:right w:val="nil"/>
            </w:tcBorders>
            <w:tcMar>
              <w:top w:w="15" w:type="dxa"/>
              <w:left w:w="15" w:type="dxa"/>
              <w:right w:w="15" w:type="dxa"/>
            </w:tcMar>
            <w:vAlign w:val="bottom"/>
          </w:tcPr>
          <w:p w14:paraId="372BA091" w14:textId="68B2827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$8.458.237 </w:t>
            </w:r>
          </w:p>
        </w:tc>
        <w:tc>
          <w:tcPr>
            <w:tcW w:w="2546" w:type="dxa"/>
            <w:tcBorders>
              <w:top w:val="nil"/>
              <w:left w:val="nil"/>
              <w:bottom w:val="nil"/>
              <w:right w:val="nil"/>
            </w:tcBorders>
            <w:tcMar>
              <w:top w:w="15" w:type="dxa"/>
              <w:left w:w="15" w:type="dxa"/>
              <w:right w:w="15" w:type="dxa"/>
            </w:tcMar>
            <w:vAlign w:val="bottom"/>
          </w:tcPr>
          <w:p w14:paraId="3150A5BE" w14:textId="4D08C925"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45CB8BC9"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66792141" w14:textId="1950D88C"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240" w:type="dxa"/>
            <w:tcBorders>
              <w:top w:val="nil"/>
              <w:left w:val="nil"/>
              <w:bottom w:val="nil"/>
              <w:right w:val="nil"/>
            </w:tcBorders>
            <w:tcMar>
              <w:top w:w="15" w:type="dxa"/>
              <w:left w:w="15" w:type="dxa"/>
              <w:right w:w="15" w:type="dxa"/>
            </w:tcMar>
            <w:vAlign w:val="bottom"/>
          </w:tcPr>
          <w:p w14:paraId="745D4F73" w14:textId="13B0963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$1.822.955.133.902 </w:t>
            </w:r>
          </w:p>
        </w:tc>
        <w:tc>
          <w:tcPr>
            <w:tcW w:w="2546" w:type="dxa"/>
            <w:tcBorders>
              <w:top w:val="nil"/>
              <w:left w:val="nil"/>
              <w:bottom w:val="nil"/>
              <w:right w:val="nil"/>
            </w:tcBorders>
            <w:tcMar>
              <w:top w:w="15" w:type="dxa"/>
              <w:left w:w="15" w:type="dxa"/>
              <w:right w:w="15" w:type="dxa"/>
            </w:tcMar>
            <w:vAlign w:val="bottom"/>
          </w:tcPr>
          <w:p w14:paraId="523AA48C" w14:textId="099AE80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413</w:t>
            </w:r>
          </w:p>
        </w:tc>
      </w:tr>
      <w:tr w:rsidR="449377F1" w14:paraId="2959C0A4"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649AA765" w14:textId="2C396EB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240" w:type="dxa"/>
            <w:tcBorders>
              <w:top w:val="nil"/>
              <w:left w:val="nil"/>
              <w:bottom w:val="nil"/>
              <w:right w:val="nil"/>
            </w:tcBorders>
            <w:tcMar>
              <w:top w:w="15" w:type="dxa"/>
              <w:left w:w="15" w:type="dxa"/>
              <w:right w:w="15" w:type="dxa"/>
            </w:tcMar>
            <w:vAlign w:val="bottom"/>
          </w:tcPr>
          <w:p w14:paraId="6FB0C535" w14:textId="0DEA631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$336.121.862.944 </w:t>
            </w:r>
          </w:p>
        </w:tc>
        <w:tc>
          <w:tcPr>
            <w:tcW w:w="2546" w:type="dxa"/>
            <w:tcBorders>
              <w:top w:val="nil"/>
              <w:left w:val="nil"/>
              <w:bottom w:val="nil"/>
              <w:right w:val="nil"/>
            </w:tcBorders>
            <w:tcMar>
              <w:top w:w="15" w:type="dxa"/>
              <w:left w:w="15" w:type="dxa"/>
              <w:right w:w="15" w:type="dxa"/>
            </w:tcMar>
            <w:vAlign w:val="bottom"/>
          </w:tcPr>
          <w:p w14:paraId="1D428C85" w14:textId="57D51094"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810</w:t>
            </w:r>
          </w:p>
        </w:tc>
      </w:tr>
      <w:tr w:rsidR="449377F1" w14:paraId="4C692C42" w14:textId="77777777" w:rsidTr="449377F1">
        <w:trPr>
          <w:trHeight w:val="300"/>
        </w:trPr>
        <w:tc>
          <w:tcPr>
            <w:tcW w:w="3518" w:type="dxa"/>
            <w:tcBorders>
              <w:top w:val="nil"/>
              <w:left w:val="nil"/>
              <w:bottom w:val="nil"/>
              <w:right w:val="nil"/>
            </w:tcBorders>
            <w:tcMar>
              <w:top w:w="15" w:type="dxa"/>
              <w:left w:w="15" w:type="dxa"/>
              <w:right w:w="15" w:type="dxa"/>
            </w:tcMar>
            <w:vAlign w:val="bottom"/>
          </w:tcPr>
          <w:p w14:paraId="498C00D2" w14:textId="278ABBA9"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2023</w:t>
            </w:r>
          </w:p>
        </w:tc>
        <w:tc>
          <w:tcPr>
            <w:tcW w:w="3240" w:type="dxa"/>
            <w:tcBorders>
              <w:top w:val="nil"/>
              <w:left w:val="nil"/>
              <w:bottom w:val="nil"/>
              <w:right w:val="nil"/>
            </w:tcBorders>
            <w:tcMar>
              <w:top w:w="15" w:type="dxa"/>
              <w:left w:w="15" w:type="dxa"/>
              <w:right w:w="15" w:type="dxa"/>
            </w:tcMar>
            <w:vAlign w:val="bottom"/>
          </w:tcPr>
          <w:p w14:paraId="08DADD60" w14:textId="5C9E1323"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$4.592.219.957.575 </w:t>
            </w:r>
          </w:p>
        </w:tc>
        <w:tc>
          <w:tcPr>
            <w:tcW w:w="2546" w:type="dxa"/>
            <w:tcBorders>
              <w:top w:val="nil"/>
              <w:left w:val="nil"/>
              <w:bottom w:val="nil"/>
              <w:right w:val="nil"/>
            </w:tcBorders>
            <w:tcMar>
              <w:top w:w="15" w:type="dxa"/>
              <w:left w:w="15" w:type="dxa"/>
              <w:right w:w="15" w:type="dxa"/>
            </w:tcMar>
            <w:vAlign w:val="bottom"/>
          </w:tcPr>
          <w:p w14:paraId="43E35D66" w14:textId="1340DE5E"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2300</w:t>
            </w:r>
          </w:p>
        </w:tc>
      </w:tr>
      <w:tr w:rsidR="449377F1" w14:paraId="278F9386"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76AB6C44" w14:textId="4D9ED79D"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240" w:type="dxa"/>
            <w:tcBorders>
              <w:top w:val="nil"/>
              <w:left w:val="nil"/>
              <w:bottom w:val="nil"/>
              <w:right w:val="nil"/>
            </w:tcBorders>
            <w:tcMar>
              <w:top w:w="15" w:type="dxa"/>
              <w:left w:w="15" w:type="dxa"/>
              <w:right w:w="15" w:type="dxa"/>
            </w:tcMar>
            <w:vAlign w:val="bottom"/>
          </w:tcPr>
          <w:p w14:paraId="7CDD16A3" w14:textId="7A55EE9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$31.906.319.308 </w:t>
            </w:r>
          </w:p>
        </w:tc>
        <w:tc>
          <w:tcPr>
            <w:tcW w:w="2546" w:type="dxa"/>
            <w:tcBorders>
              <w:top w:val="nil"/>
              <w:left w:val="nil"/>
              <w:bottom w:val="nil"/>
              <w:right w:val="nil"/>
            </w:tcBorders>
            <w:tcMar>
              <w:top w:w="15" w:type="dxa"/>
              <w:left w:w="15" w:type="dxa"/>
              <w:right w:w="15" w:type="dxa"/>
            </w:tcMar>
            <w:vAlign w:val="bottom"/>
          </w:tcPr>
          <w:p w14:paraId="6905E3B6" w14:textId="744AF03F"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824</w:t>
            </w:r>
          </w:p>
        </w:tc>
      </w:tr>
      <w:tr w:rsidR="449377F1" w14:paraId="4BAB6B41"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71E41213" w14:textId="4F172364"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240" w:type="dxa"/>
            <w:tcBorders>
              <w:top w:val="nil"/>
              <w:left w:val="nil"/>
              <w:bottom w:val="nil"/>
              <w:right w:val="nil"/>
            </w:tcBorders>
            <w:tcMar>
              <w:top w:w="15" w:type="dxa"/>
              <w:left w:w="15" w:type="dxa"/>
              <w:right w:w="15" w:type="dxa"/>
            </w:tcMar>
            <w:vAlign w:val="bottom"/>
          </w:tcPr>
          <w:p w14:paraId="2A474E70" w14:textId="411EAAD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$207.056.108 </w:t>
            </w:r>
          </w:p>
        </w:tc>
        <w:tc>
          <w:tcPr>
            <w:tcW w:w="2546" w:type="dxa"/>
            <w:tcBorders>
              <w:top w:val="nil"/>
              <w:left w:val="nil"/>
              <w:bottom w:val="nil"/>
              <w:right w:val="nil"/>
            </w:tcBorders>
            <w:tcMar>
              <w:top w:w="15" w:type="dxa"/>
              <w:left w:w="15" w:type="dxa"/>
              <w:right w:w="15" w:type="dxa"/>
            </w:tcMar>
            <w:vAlign w:val="bottom"/>
          </w:tcPr>
          <w:p w14:paraId="383A7CF9" w14:textId="299DD4E5"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w:t>
            </w:r>
          </w:p>
        </w:tc>
      </w:tr>
      <w:tr w:rsidR="449377F1" w14:paraId="5D26BE62"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6E988923" w14:textId="5093753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240" w:type="dxa"/>
            <w:tcBorders>
              <w:top w:val="nil"/>
              <w:left w:val="nil"/>
              <w:bottom w:val="nil"/>
              <w:right w:val="nil"/>
            </w:tcBorders>
            <w:tcMar>
              <w:top w:w="15" w:type="dxa"/>
              <w:left w:w="15" w:type="dxa"/>
              <w:right w:w="15" w:type="dxa"/>
            </w:tcMar>
            <w:vAlign w:val="bottom"/>
          </w:tcPr>
          <w:p w14:paraId="45F4735C" w14:textId="58C57FB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$3.420.125.186.743 </w:t>
            </w:r>
          </w:p>
        </w:tc>
        <w:tc>
          <w:tcPr>
            <w:tcW w:w="2546" w:type="dxa"/>
            <w:tcBorders>
              <w:top w:val="nil"/>
              <w:left w:val="nil"/>
              <w:bottom w:val="nil"/>
              <w:right w:val="nil"/>
            </w:tcBorders>
            <w:tcMar>
              <w:top w:w="15" w:type="dxa"/>
              <w:left w:w="15" w:type="dxa"/>
              <w:right w:w="15" w:type="dxa"/>
            </w:tcMar>
            <w:vAlign w:val="bottom"/>
          </w:tcPr>
          <w:p w14:paraId="0B9A07F2" w14:textId="430C479C"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442</w:t>
            </w:r>
          </w:p>
        </w:tc>
      </w:tr>
      <w:tr w:rsidR="449377F1" w14:paraId="42EB64A9"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441CB8C7" w14:textId="47FB53EA"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240" w:type="dxa"/>
            <w:tcBorders>
              <w:top w:val="nil"/>
              <w:left w:val="nil"/>
              <w:bottom w:val="nil"/>
              <w:right w:val="nil"/>
            </w:tcBorders>
            <w:tcMar>
              <w:top w:w="15" w:type="dxa"/>
              <w:left w:w="15" w:type="dxa"/>
              <w:right w:w="15" w:type="dxa"/>
            </w:tcMar>
            <w:vAlign w:val="bottom"/>
          </w:tcPr>
          <w:p w14:paraId="764559BD" w14:textId="7C325C28"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$1.139.981.395.416 </w:t>
            </w:r>
          </w:p>
        </w:tc>
        <w:tc>
          <w:tcPr>
            <w:tcW w:w="2546" w:type="dxa"/>
            <w:tcBorders>
              <w:top w:val="nil"/>
              <w:left w:val="nil"/>
              <w:bottom w:val="nil"/>
              <w:right w:val="nil"/>
            </w:tcBorders>
            <w:tcMar>
              <w:top w:w="15" w:type="dxa"/>
              <w:left w:w="15" w:type="dxa"/>
              <w:right w:w="15" w:type="dxa"/>
            </w:tcMar>
            <w:vAlign w:val="bottom"/>
          </w:tcPr>
          <w:p w14:paraId="34A0AB9D" w14:textId="01CC32AD"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1031</w:t>
            </w:r>
          </w:p>
        </w:tc>
      </w:tr>
      <w:tr w:rsidR="449377F1" w14:paraId="667BFCF3" w14:textId="77777777" w:rsidTr="449377F1">
        <w:trPr>
          <w:trHeight w:val="300"/>
        </w:trPr>
        <w:tc>
          <w:tcPr>
            <w:tcW w:w="3518" w:type="dxa"/>
            <w:tcBorders>
              <w:top w:val="nil"/>
              <w:left w:val="nil"/>
              <w:bottom w:val="nil"/>
              <w:right w:val="nil"/>
            </w:tcBorders>
            <w:tcMar>
              <w:top w:w="15" w:type="dxa"/>
              <w:left w:w="15" w:type="dxa"/>
              <w:right w:w="15" w:type="dxa"/>
            </w:tcMar>
            <w:vAlign w:val="bottom"/>
          </w:tcPr>
          <w:p w14:paraId="12860ECB" w14:textId="2A32A15E" w:rsidR="449377F1" w:rsidRDefault="449377F1"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2024</w:t>
            </w:r>
          </w:p>
        </w:tc>
        <w:tc>
          <w:tcPr>
            <w:tcW w:w="3240" w:type="dxa"/>
            <w:tcBorders>
              <w:top w:val="nil"/>
              <w:left w:val="nil"/>
              <w:bottom w:val="nil"/>
              <w:right w:val="nil"/>
            </w:tcBorders>
            <w:tcMar>
              <w:top w:w="15" w:type="dxa"/>
              <w:left w:w="15" w:type="dxa"/>
              <w:right w:w="15" w:type="dxa"/>
            </w:tcMar>
            <w:vAlign w:val="bottom"/>
          </w:tcPr>
          <w:p w14:paraId="38B409DB" w14:textId="0F46323C"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$156.748.790.801 </w:t>
            </w:r>
          </w:p>
        </w:tc>
        <w:tc>
          <w:tcPr>
            <w:tcW w:w="2546" w:type="dxa"/>
            <w:tcBorders>
              <w:top w:val="nil"/>
              <w:left w:val="nil"/>
              <w:bottom w:val="nil"/>
              <w:right w:val="nil"/>
            </w:tcBorders>
            <w:tcMar>
              <w:top w:w="15" w:type="dxa"/>
              <w:left w:w="15" w:type="dxa"/>
              <w:right w:w="15" w:type="dxa"/>
            </w:tcMar>
            <w:vAlign w:val="bottom"/>
          </w:tcPr>
          <w:p w14:paraId="7F3C2E7E" w14:textId="0B40BA7A"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87</w:t>
            </w:r>
          </w:p>
        </w:tc>
      </w:tr>
      <w:tr w:rsidR="449377F1" w14:paraId="2BC0041F"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0BA0E2DF" w14:textId="58BCEC7C"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240" w:type="dxa"/>
            <w:tcBorders>
              <w:top w:val="nil"/>
              <w:left w:val="nil"/>
              <w:bottom w:val="nil"/>
              <w:right w:val="nil"/>
            </w:tcBorders>
            <w:tcMar>
              <w:top w:w="15" w:type="dxa"/>
              <w:left w:w="15" w:type="dxa"/>
              <w:right w:w="15" w:type="dxa"/>
            </w:tcMar>
            <w:vAlign w:val="bottom"/>
          </w:tcPr>
          <w:p w14:paraId="39E216D2" w14:textId="6AD7C090"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$158.965.594 </w:t>
            </w:r>
          </w:p>
        </w:tc>
        <w:tc>
          <w:tcPr>
            <w:tcW w:w="2546" w:type="dxa"/>
            <w:tcBorders>
              <w:top w:val="nil"/>
              <w:left w:val="nil"/>
              <w:bottom w:val="nil"/>
              <w:right w:val="nil"/>
            </w:tcBorders>
            <w:tcMar>
              <w:top w:w="15" w:type="dxa"/>
              <w:left w:w="15" w:type="dxa"/>
              <w:right w:w="15" w:type="dxa"/>
            </w:tcMar>
            <w:vAlign w:val="bottom"/>
          </w:tcPr>
          <w:p w14:paraId="5667C31E" w14:textId="0F5993D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449377F1" w14:paraId="26E5B7D7"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2167AEC3" w14:textId="014F4788"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lastRenderedPageBreak/>
              <w:t>Contratación Mínima Cuantía</w:t>
            </w:r>
          </w:p>
        </w:tc>
        <w:tc>
          <w:tcPr>
            <w:tcW w:w="3240" w:type="dxa"/>
            <w:tcBorders>
              <w:top w:val="nil"/>
              <w:left w:val="nil"/>
              <w:bottom w:val="nil"/>
              <w:right w:val="nil"/>
            </w:tcBorders>
            <w:tcMar>
              <w:top w:w="15" w:type="dxa"/>
              <w:left w:w="15" w:type="dxa"/>
              <w:right w:w="15" w:type="dxa"/>
            </w:tcMar>
            <w:vAlign w:val="bottom"/>
          </w:tcPr>
          <w:p w14:paraId="57B1C39E" w14:textId="746F3A2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$2.090.960.276 </w:t>
            </w:r>
          </w:p>
        </w:tc>
        <w:tc>
          <w:tcPr>
            <w:tcW w:w="2546" w:type="dxa"/>
            <w:tcBorders>
              <w:top w:val="nil"/>
              <w:left w:val="nil"/>
              <w:bottom w:val="nil"/>
              <w:right w:val="nil"/>
            </w:tcBorders>
            <w:tcMar>
              <w:top w:w="15" w:type="dxa"/>
              <w:left w:w="15" w:type="dxa"/>
              <w:right w:w="15" w:type="dxa"/>
            </w:tcMar>
            <w:vAlign w:val="bottom"/>
          </w:tcPr>
          <w:p w14:paraId="1A4A1DC5" w14:textId="532FF2B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45</w:t>
            </w:r>
          </w:p>
        </w:tc>
      </w:tr>
      <w:tr w:rsidR="449377F1" w14:paraId="4A6AB08F"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31A94DEB" w14:textId="0D4610B6"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240" w:type="dxa"/>
            <w:tcBorders>
              <w:top w:val="nil"/>
              <w:left w:val="nil"/>
              <w:bottom w:val="nil"/>
              <w:right w:val="nil"/>
            </w:tcBorders>
            <w:tcMar>
              <w:top w:w="15" w:type="dxa"/>
              <w:left w:w="15" w:type="dxa"/>
              <w:right w:w="15" w:type="dxa"/>
            </w:tcMar>
            <w:vAlign w:val="bottom"/>
          </w:tcPr>
          <w:p w14:paraId="78BA0EBF" w14:textId="370D169B"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$136.616.971.778 </w:t>
            </w:r>
          </w:p>
        </w:tc>
        <w:tc>
          <w:tcPr>
            <w:tcW w:w="2546" w:type="dxa"/>
            <w:tcBorders>
              <w:top w:val="nil"/>
              <w:left w:val="nil"/>
              <w:bottom w:val="nil"/>
              <w:right w:val="nil"/>
            </w:tcBorders>
            <w:tcMar>
              <w:top w:w="15" w:type="dxa"/>
              <w:left w:w="15" w:type="dxa"/>
              <w:right w:w="15" w:type="dxa"/>
            </w:tcMar>
            <w:vAlign w:val="bottom"/>
          </w:tcPr>
          <w:p w14:paraId="5AAEBA0B" w14:textId="563423E3"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12</w:t>
            </w:r>
          </w:p>
        </w:tc>
      </w:tr>
      <w:tr w:rsidR="449377F1" w14:paraId="5E2FA865" w14:textId="77777777" w:rsidTr="449377F1">
        <w:trPr>
          <w:trHeight w:val="300"/>
        </w:trPr>
        <w:tc>
          <w:tcPr>
            <w:tcW w:w="3518" w:type="dxa"/>
            <w:tcBorders>
              <w:top w:val="nil"/>
              <w:left w:val="nil"/>
              <w:bottom w:val="nil"/>
              <w:right w:val="nil"/>
            </w:tcBorders>
            <w:tcMar>
              <w:top w:w="15" w:type="dxa"/>
              <w:left w:w="135" w:type="dxa"/>
              <w:right w:w="15" w:type="dxa"/>
            </w:tcMar>
            <w:vAlign w:val="bottom"/>
          </w:tcPr>
          <w:p w14:paraId="480D76D0" w14:textId="46894573" w:rsidR="449377F1" w:rsidRDefault="449377F1"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240" w:type="dxa"/>
            <w:tcBorders>
              <w:top w:val="nil"/>
              <w:left w:val="nil"/>
              <w:bottom w:val="nil"/>
              <w:right w:val="nil"/>
            </w:tcBorders>
            <w:tcMar>
              <w:top w:w="15" w:type="dxa"/>
              <w:left w:w="15" w:type="dxa"/>
              <w:right w:w="15" w:type="dxa"/>
            </w:tcMar>
            <w:vAlign w:val="bottom"/>
          </w:tcPr>
          <w:p w14:paraId="3B8160C9" w14:textId="5AF6BB9A"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$17.881.893.153 </w:t>
            </w:r>
          </w:p>
        </w:tc>
        <w:tc>
          <w:tcPr>
            <w:tcW w:w="2546" w:type="dxa"/>
            <w:tcBorders>
              <w:top w:val="nil"/>
              <w:left w:val="nil"/>
              <w:bottom w:val="nil"/>
              <w:right w:val="nil"/>
            </w:tcBorders>
            <w:tcMar>
              <w:top w:w="15" w:type="dxa"/>
              <w:left w:w="15" w:type="dxa"/>
              <w:right w:w="15" w:type="dxa"/>
            </w:tcMar>
            <w:vAlign w:val="bottom"/>
          </w:tcPr>
          <w:p w14:paraId="35591E54" w14:textId="6AA333B9" w:rsidR="449377F1" w:rsidRDefault="449377F1"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29</w:t>
            </w:r>
          </w:p>
        </w:tc>
      </w:tr>
      <w:tr w:rsidR="449377F1" w14:paraId="7C08ACD0" w14:textId="77777777" w:rsidTr="449377F1">
        <w:trPr>
          <w:trHeight w:val="300"/>
        </w:trPr>
        <w:tc>
          <w:tcPr>
            <w:tcW w:w="3518" w:type="dxa"/>
            <w:tcBorders>
              <w:top w:val="nil"/>
              <w:left w:val="nil"/>
              <w:bottom w:val="nil"/>
              <w:right w:val="nil"/>
            </w:tcBorders>
            <w:shd w:val="clear" w:color="auto" w:fill="D9E1F2"/>
            <w:tcMar>
              <w:top w:w="15" w:type="dxa"/>
              <w:left w:w="15" w:type="dxa"/>
              <w:right w:w="15" w:type="dxa"/>
            </w:tcMar>
            <w:vAlign w:val="bottom"/>
          </w:tcPr>
          <w:p w14:paraId="12E8FBAA" w14:textId="33E0966D" w:rsidR="449377F1" w:rsidRDefault="449377F1"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240" w:type="dxa"/>
            <w:tcBorders>
              <w:top w:val="nil"/>
              <w:left w:val="nil"/>
              <w:bottom w:val="nil"/>
              <w:right w:val="nil"/>
            </w:tcBorders>
            <w:shd w:val="clear" w:color="auto" w:fill="D9E1F2"/>
            <w:tcMar>
              <w:top w:w="15" w:type="dxa"/>
              <w:left w:w="15" w:type="dxa"/>
              <w:right w:w="15" w:type="dxa"/>
            </w:tcMar>
            <w:vAlign w:val="bottom"/>
          </w:tcPr>
          <w:p w14:paraId="545AFF56" w14:textId="2DBE5027"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$9.012.420.658.061 </w:t>
            </w:r>
          </w:p>
        </w:tc>
        <w:tc>
          <w:tcPr>
            <w:tcW w:w="2546" w:type="dxa"/>
            <w:tcBorders>
              <w:top w:val="nil"/>
              <w:left w:val="nil"/>
              <w:bottom w:val="nil"/>
              <w:right w:val="nil"/>
            </w:tcBorders>
            <w:shd w:val="clear" w:color="auto" w:fill="D9E1F2"/>
            <w:tcMar>
              <w:top w:w="15" w:type="dxa"/>
              <w:left w:w="15" w:type="dxa"/>
              <w:right w:w="15" w:type="dxa"/>
            </w:tcMar>
            <w:vAlign w:val="bottom"/>
          </w:tcPr>
          <w:p w14:paraId="5D17A97C" w14:textId="663095D2" w:rsidR="449377F1" w:rsidRDefault="449377F1"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6603</w:t>
            </w:r>
          </w:p>
        </w:tc>
      </w:tr>
    </w:tbl>
    <w:p w14:paraId="3751893A" w14:textId="329831C5" w:rsidR="449377F1" w:rsidRDefault="449377F1" w:rsidP="449377F1">
      <w:pPr>
        <w:rPr>
          <w:rFonts w:ascii="Verdana Pro" w:eastAsia="Verdana Pro" w:hAnsi="Verdana Pro" w:cs="Verdana Pro"/>
        </w:rPr>
      </w:pPr>
    </w:p>
    <w:p w14:paraId="37AF2995" w14:textId="4F0E4349" w:rsidR="6130A9E9" w:rsidRDefault="6130A9E9" w:rsidP="449377F1">
      <w:pPr>
        <w:jc w:val="both"/>
        <w:rPr>
          <w:rFonts w:ascii="Verdana Pro" w:eastAsia="Verdana Pro" w:hAnsi="Verdana Pro" w:cs="Verdana Pro"/>
          <w:sz w:val="20"/>
          <w:szCs w:val="20"/>
        </w:rPr>
      </w:pPr>
      <w:r w:rsidRPr="449377F1">
        <w:rPr>
          <w:rFonts w:ascii="Verdana Pro" w:eastAsia="Verdana Pro" w:hAnsi="Verdana Pro" w:cs="Verdana Pro"/>
          <w:sz w:val="22"/>
          <w:szCs w:val="22"/>
        </w:rPr>
        <w:t xml:space="preserve">Así las cosas, el resumen de contratación del </w:t>
      </w:r>
      <w:r w:rsidR="181112B1" w:rsidRPr="449377F1">
        <w:rPr>
          <w:rFonts w:ascii="Verdana Pro" w:eastAsia="Verdana Pro" w:hAnsi="Verdana Pro" w:cs="Verdana Pro"/>
          <w:sz w:val="22"/>
          <w:szCs w:val="22"/>
        </w:rPr>
        <w:t>análisis</w:t>
      </w:r>
      <w:r w:rsidRPr="449377F1">
        <w:rPr>
          <w:rFonts w:ascii="Verdana Pro" w:eastAsia="Verdana Pro" w:hAnsi="Verdana Pro" w:cs="Verdana Pro"/>
          <w:sz w:val="22"/>
          <w:szCs w:val="22"/>
        </w:rPr>
        <w:t xml:space="preserve"> del informe de la Subdirección EMAE</w:t>
      </w:r>
      <w:r w:rsidR="47950EDE" w:rsidRPr="449377F1">
        <w:rPr>
          <w:rFonts w:ascii="Verdana Pro" w:eastAsia="Verdana Pro" w:hAnsi="Verdana Pro" w:cs="Verdana Pro"/>
          <w:sz w:val="22"/>
          <w:szCs w:val="22"/>
        </w:rPr>
        <w:t xml:space="preserve"> para el sector abarcado para el sector social, incluyendo las edificaciones institucionales y de seguridad publica al tener gran relevancia dentro de la contratación pública en el país.</w:t>
      </w:r>
    </w:p>
    <w:p w14:paraId="1C7F28AA" w14:textId="312B716B" w:rsidR="449377F1" w:rsidRDefault="449377F1" w:rsidP="449377F1">
      <w:pPr>
        <w:jc w:val="both"/>
        <w:rPr>
          <w:rFonts w:ascii="Verdana Pro" w:eastAsia="Verdana Pro" w:hAnsi="Verdana Pro" w:cs="Verdana Pro"/>
          <w:sz w:val="22"/>
          <w:szCs w:val="22"/>
        </w:rPr>
      </w:pPr>
    </w:p>
    <w:tbl>
      <w:tblPr>
        <w:tblW w:w="0" w:type="auto"/>
        <w:jc w:val="center"/>
        <w:tblLayout w:type="fixed"/>
        <w:tblLook w:val="06A0" w:firstRow="1" w:lastRow="0" w:firstColumn="1" w:lastColumn="0" w:noHBand="1" w:noVBand="1"/>
      </w:tblPr>
      <w:tblGrid>
        <w:gridCol w:w="3510"/>
        <w:gridCol w:w="3090"/>
        <w:gridCol w:w="2687"/>
      </w:tblGrid>
      <w:tr w:rsidR="3BCD5C0E" w14:paraId="1060F1E2" w14:textId="77777777" w:rsidTr="449377F1">
        <w:trPr>
          <w:trHeight w:val="300"/>
          <w:jc w:val="center"/>
        </w:trPr>
        <w:tc>
          <w:tcPr>
            <w:tcW w:w="3510" w:type="dxa"/>
            <w:tcBorders>
              <w:top w:val="nil"/>
              <w:left w:val="nil"/>
              <w:bottom w:val="nil"/>
              <w:right w:val="nil"/>
            </w:tcBorders>
            <w:shd w:val="clear" w:color="auto" w:fill="D9E1F2"/>
            <w:tcMar>
              <w:top w:w="15" w:type="dxa"/>
              <w:left w:w="15" w:type="dxa"/>
              <w:right w:w="15" w:type="dxa"/>
            </w:tcMar>
            <w:vAlign w:val="bottom"/>
          </w:tcPr>
          <w:p w14:paraId="1C954E14" w14:textId="7883CECB" w:rsidR="1261B9A8" w:rsidRDefault="1ABE3CF0"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090" w:type="dxa"/>
            <w:tcBorders>
              <w:top w:val="nil"/>
              <w:left w:val="nil"/>
              <w:bottom w:val="nil"/>
              <w:right w:val="nil"/>
            </w:tcBorders>
            <w:shd w:val="clear" w:color="auto" w:fill="D9E1F2"/>
            <w:tcMar>
              <w:top w:w="15" w:type="dxa"/>
              <w:left w:w="15" w:type="dxa"/>
              <w:right w:w="15" w:type="dxa"/>
            </w:tcMar>
            <w:vAlign w:val="bottom"/>
          </w:tcPr>
          <w:p w14:paraId="5A9F4F25" w14:textId="2E8DE14B"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687" w:type="dxa"/>
            <w:tcBorders>
              <w:top w:val="nil"/>
              <w:left w:val="nil"/>
              <w:bottom w:val="nil"/>
              <w:right w:val="nil"/>
            </w:tcBorders>
            <w:shd w:val="clear" w:color="auto" w:fill="D9E1F2"/>
            <w:tcMar>
              <w:top w:w="15" w:type="dxa"/>
              <w:left w:w="15" w:type="dxa"/>
              <w:right w:w="15" w:type="dxa"/>
            </w:tcMar>
            <w:vAlign w:val="bottom"/>
          </w:tcPr>
          <w:p w14:paraId="541ACE76" w14:textId="7D91C0BF"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260A40BB" w14:textId="77777777" w:rsidTr="449377F1">
        <w:trPr>
          <w:trHeight w:val="300"/>
          <w:jc w:val="center"/>
        </w:trPr>
        <w:tc>
          <w:tcPr>
            <w:tcW w:w="3510" w:type="dxa"/>
            <w:tcBorders>
              <w:top w:val="nil"/>
              <w:left w:val="nil"/>
              <w:bottom w:val="nil"/>
              <w:right w:val="nil"/>
            </w:tcBorders>
            <w:tcMar>
              <w:top w:w="15" w:type="dxa"/>
              <w:left w:w="15" w:type="dxa"/>
              <w:right w:w="15" w:type="dxa"/>
            </w:tcMar>
            <w:vAlign w:val="bottom"/>
          </w:tcPr>
          <w:p w14:paraId="0263C131" w14:textId="50EFD47D"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Consultoría</w:t>
            </w:r>
          </w:p>
        </w:tc>
        <w:tc>
          <w:tcPr>
            <w:tcW w:w="3090" w:type="dxa"/>
            <w:tcBorders>
              <w:top w:val="nil"/>
              <w:left w:val="nil"/>
              <w:bottom w:val="nil"/>
              <w:right w:val="nil"/>
            </w:tcBorders>
            <w:tcMar>
              <w:top w:w="15" w:type="dxa"/>
              <w:left w:w="15" w:type="dxa"/>
              <w:right w:w="15" w:type="dxa"/>
            </w:tcMar>
            <w:vAlign w:val="bottom"/>
          </w:tcPr>
          <w:p w14:paraId="73D29AE5" w14:textId="5298799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$13.508.595.119 </w:t>
            </w:r>
          </w:p>
        </w:tc>
        <w:tc>
          <w:tcPr>
            <w:tcW w:w="2687" w:type="dxa"/>
            <w:tcBorders>
              <w:top w:val="nil"/>
              <w:left w:val="nil"/>
              <w:bottom w:val="nil"/>
              <w:right w:val="nil"/>
            </w:tcBorders>
            <w:tcMar>
              <w:top w:w="15" w:type="dxa"/>
              <w:left w:w="15" w:type="dxa"/>
              <w:right w:w="15" w:type="dxa"/>
            </w:tcMar>
            <w:vAlign w:val="bottom"/>
          </w:tcPr>
          <w:p w14:paraId="634488FD" w14:textId="4FBDBF14"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109</w:t>
            </w:r>
          </w:p>
        </w:tc>
      </w:tr>
      <w:tr w:rsidR="3BCD5C0E" w14:paraId="47B8D6E4"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16FBE943" w14:textId="678B7B1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090" w:type="dxa"/>
            <w:tcBorders>
              <w:top w:val="nil"/>
              <w:left w:val="nil"/>
              <w:bottom w:val="nil"/>
              <w:right w:val="nil"/>
            </w:tcBorders>
            <w:tcMar>
              <w:top w:w="15" w:type="dxa"/>
              <w:left w:w="15" w:type="dxa"/>
              <w:right w:w="15" w:type="dxa"/>
            </w:tcMar>
            <w:vAlign w:val="bottom"/>
          </w:tcPr>
          <w:p w14:paraId="40AA50AD" w14:textId="294E945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$10.770.583.527 </w:t>
            </w:r>
          </w:p>
        </w:tc>
        <w:tc>
          <w:tcPr>
            <w:tcW w:w="2687" w:type="dxa"/>
            <w:tcBorders>
              <w:top w:val="nil"/>
              <w:left w:val="nil"/>
              <w:bottom w:val="nil"/>
              <w:right w:val="nil"/>
            </w:tcBorders>
            <w:tcMar>
              <w:top w:w="15" w:type="dxa"/>
              <w:left w:w="15" w:type="dxa"/>
              <w:right w:w="15" w:type="dxa"/>
            </w:tcMar>
            <w:vAlign w:val="bottom"/>
          </w:tcPr>
          <w:p w14:paraId="3FE8A179" w14:textId="323E563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21</w:t>
            </w:r>
          </w:p>
        </w:tc>
      </w:tr>
      <w:tr w:rsidR="3BCD5C0E" w14:paraId="22913387"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17897C53" w14:textId="0BCA77FF"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090" w:type="dxa"/>
            <w:tcBorders>
              <w:top w:val="nil"/>
              <w:left w:val="nil"/>
              <w:bottom w:val="nil"/>
              <w:right w:val="nil"/>
            </w:tcBorders>
            <w:tcMar>
              <w:top w:w="15" w:type="dxa"/>
              <w:left w:w="15" w:type="dxa"/>
              <w:right w:w="15" w:type="dxa"/>
            </w:tcMar>
            <w:vAlign w:val="bottom"/>
          </w:tcPr>
          <w:p w14:paraId="10AB49DC" w14:textId="23C54A2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$2.738.011.592 </w:t>
            </w:r>
          </w:p>
        </w:tc>
        <w:tc>
          <w:tcPr>
            <w:tcW w:w="2687" w:type="dxa"/>
            <w:tcBorders>
              <w:top w:val="nil"/>
              <w:left w:val="nil"/>
              <w:bottom w:val="nil"/>
              <w:right w:val="nil"/>
            </w:tcBorders>
            <w:tcMar>
              <w:top w:w="15" w:type="dxa"/>
              <w:left w:w="15" w:type="dxa"/>
              <w:right w:w="15" w:type="dxa"/>
            </w:tcMar>
            <w:vAlign w:val="bottom"/>
          </w:tcPr>
          <w:p w14:paraId="7F5C4007" w14:textId="4F1E8E0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88</w:t>
            </w:r>
          </w:p>
        </w:tc>
      </w:tr>
      <w:tr w:rsidR="3BCD5C0E" w14:paraId="5DC0C672" w14:textId="77777777" w:rsidTr="449377F1">
        <w:trPr>
          <w:trHeight w:val="300"/>
          <w:jc w:val="center"/>
        </w:trPr>
        <w:tc>
          <w:tcPr>
            <w:tcW w:w="3510" w:type="dxa"/>
            <w:tcBorders>
              <w:top w:val="nil"/>
              <w:left w:val="nil"/>
              <w:bottom w:val="nil"/>
              <w:right w:val="nil"/>
            </w:tcBorders>
            <w:tcMar>
              <w:top w:w="15" w:type="dxa"/>
              <w:left w:w="15" w:type="dxa"/>
              <w:right w:w="15" w:type="dxa"/>
            </w:tcMar>
            <w:vAlign w:val="bottom"/>
          </w:tcPr>
          <w:p w14:paraId="464A20B7" w14:textId="1DA52E48"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Interventoría</w:t>
            </w:r>
          </w:p>
        </w:tc>
        <w:tc>
          <w:tcPr>
            <w:tcW w:w="3090" w:type="dxa"/>
            <w:tcBorders>
              <w:top w:val="nil"/>
              <w:left w:val="nil"/>
              <w:bottom w:val="nil"/>
              <w:right w:val="nil"/>
            </w:tcBorders>
            <w:tcMar>
              <w:top w:w="15" w:type="dxa"/>
              <w:left w:w="15" w:type="dxa"/>
              <w:right w:w="15" w:type="dxa"/>
            </w:tcMar>
            <w:vAlign w:val="bottom"/>
          </w:tcPr>
          <w:p w14:paraId="06E29D2C" w14:textId="22CC514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$36.901.885.570 </w:t>
            </w:r>
          </w:p>
        </w:tc>
        <w:tc>
          <w:tcPr>
            <w:tcW w:w="2687" w:type="dxa"/>
            <w:tcBorders>
              <w:top w:val="nil"/>
              <w:left w:val="nil"/>
              <w:bottom w:val="nil"/>
              <w:right w:val="nil"/>
            </w:tcBorders>
            <w:tcMar>
              <w:top w:w="15" w:type="dxa"/>
              <w:left w:w="15" w:type="dxa"/>
              <w:right w:w="15" w:type="dxa"/>
            </w:tcMar>
            <w:vAlign w:val="bottom"/>
          </w:tcPr>
          <w:p w14:paraId="26485591" w14:textId="39C94A2A"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101</w:t>
            </w:r>
          </w:p>
        </w:tc>
      </w:tr>
      <w:tr w:rsidR="3BCD5C0E" w14:paraId="73B32419"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49F55862" w14:textId="7606A946"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090" w:type="dxa"/>
            <w:tcBorders>
              <w:top w:val="nil"/>
              <w:left w:val="nil"/>
              <w:bottom w:val="nil"/>
              <w:right w:val="nil"/>
            </w:tcBorders>
            <w:tcMar>
              <w:top w:w="15" w:type="dxa"/>
              <w:left w:w="15" w:type="dxa"/>
              <w:right w:w="15" w:type="dxa"/>
            </w:tcMar>
            <w:vAlign w:val="bottom"/>
          </w:tcPr>
          <w:p w14:paraId="3F697D99" w14:textId="708F9FC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$34.473.654.962 </w:t>
            </w:r>
          </w:p>
        </w:tc>
        <w:tc>
          <w:tcPr>
            <w:tcW w:w="2687" w:type="dxa"/>
            <w:tcBorders>
              <w:top w:val="nil"/>
              <w:left w:val="nil"/>
              <w:bottom w:val="nil"/>
              <w:right w:val="nil"/>
            </w:tcBorders>
            <w:tcMar>
              <w:top w:w="15" w:type="dxa"/>
              <w:left w:w="15" w:type="dxa"/>
              <w:right w:w="15" w:type="dxa"/>
            </w:tcMar>
            <w:vAlign w:val="bottom"/>
          </w:tcPr>
          <w:p w14:paraId="44F10782" w14:textId="16D5B47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68</w:t>
            </w:r>
          </w:p>
        </w:tc>
      </w:tr>
      <w:tr w:rsidR="3BCD5C0E" w14:paraId="0580BD58"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4024E2A2" w14:textId="7C278E75"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090" w:type="dxa"/>
            <w:tcBorders>
              <w:top w:val="nil"/>
              <w:left w:val="nil"/>
              <w:bottom w:val="nil"/>
              <w:right w:val="nil"/>
            </w:tcBorders>
            <w:tcMar>
              <w:top w:w="15" w:type="dxa"/>
              <w:left w:w="15" w:type="dxa"/>
              <w:right w:w="15" w:type="dxa"/>
            </w:tcMar>
            <w:vAlign w:val="bottom"/>
          </w:tcPr>
          <w:p w14:paraId="6457E537" w14:textId="7353783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$1.204.587.069 </w:t>
            </w:r>
          </w:p>
        </w:tc>
        <w:tc>
          <w:tcPr>
            <w:tcW w:w="2687" w:type="dxa"/>
            <w:tcBorders>
              <w:top w:val="nil"/>
              <w:left w:val="nil"/>
              <w:bottom w:val="nil"/>
              <w:right w:val="nil"/>
            </w:tcBorders>
            <w:tcMar>
              <w:top w:w="15" w:type="dxa"/>
              <w:left w:w="15" w:type="dxa"/>
              <w:right w:w="15" w:type="dxa"/>
            </w:tcMar>
            <w:vAlign w:val="bottom"/>
          </w:tcPr>
          <w:p w14:paraId="4B117D4A" w14:textId="389AD3B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32</w:t>
            </w:r>
          </w:p>
        </w:tc>
      </w:tr>
      <w:tr w:rsidR="3BCD5C0E" w14:paraId="7FDC8613"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09F1C716" w14:textId="51BA42EB"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090" w:type="dxa"/>
            <w:tcBorders>
              <w:top w:val="nil"/>
              <w:left w:val="nil"/>
              <w:bottom w:val="nil"/>
              <w:right w:val="nil"/>
            </w:tcBorders>
            <w:tcMar>
              <w:top w:w="15" w:type="dxa"/>
              <w:left w:w="15" w:type="dxa"/>
              <w:right w:w="15" w:type="dxa"/>
            </w:tcMar>
            <w:vAlign w:val="bottom"/>
          </w:tcPr>
          <w:p w14:paraId="332D2486" w14:textId="4B2BAAB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$1.223.643.539 </w:t>
            </w:r>
          </w:p>
        </w:tc>
        <w:tc>
          <w:tcPr>
            <w:tcW w:w="2687" w:type="dxa"/>
            <w:tcBorders>
              <w:top w:val="nil"/>
              <w:left w:val="nil"/>
              <w:bottom w:val="nil"/>
              <w:right w:val="nil"/>
            </w:tcBorders>
            <w:tcMar>
              <w:top w:w="15" w:type="dxa"/>
              <w:left w:w="15" w:type="dxa"/>
              <w:right w:w="15" w:type="dxa"/>
            </w:tcMar>
            <w:vAlign w:val="bottom"/>
          </w:tcPr>
          <w:p w14:paraId="29275D9F" w14:textId="14C51FA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37CA679B" w14:textId="77777777" w:rsidTr="449377F1">
        <w:trPr>
          <w:trHeight w:val="300"/>
          <w:jc w:val="center"/>
        </w:trPr>
        <w:tc>
          <w:tcPr>
            <w:tcW w:w="3510" w:type="dxa"/>
            <w:tcBorders>
              <w:top w:val="nil"/>
              <w:left w:val="nil"/>
              <w:bottom w:val="nil"/>
              <w:right w:val="nil"/>
            </w:tcBorders>
            <w:tcMar>
              <w:top w:w="15" w:type="dxa"/>
              <w:left w:w="15" w:type="dxa"/>
              <w:right w:w="15" w:type="dxa"/>
            </w:tcMar>
            <w:vAlign w:val="bottom"/>
          </w:tcPr>
          <w:p w14:paraId="719C9F95" w14:textId="2A81B59A"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Obra</w:t>
            </w:r>
          </w:p>
        </w:tc>
        <w:tc>
          <w:tcPr>
            <w:tcW w:w="3090" w:type="dxa"/>
            <w:tcBorders>
              <w:top w:val="nil"/>
              <w:left w:val="nil"/>
              <w:bottom w:val="nil"/>
              <w:right w:val="nil"/>
            </w:tcBorders>
            <w:tcMar>
              <w:top w:w="15" w:type="dxa"/>
              <w:left w:w="15" w:type="dxa"/>
              <w:right w:w="15" w:type="dxa"/>
            </w:tcMar>
            <w:vAlign w:val="bottom"/>
          </w:tcPr>
          <w:p w14:paraId="6E6975F2" w14:textId="55BCE5F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$23.964.745.703.139 </w:t>
            </w:r>
          </w:p>
        </w:tc>
        <w:tc>
          <w:tcPr>
            <w:tcW w:w="2687" w:type="dxa"/>
            <w:tcBorders>
              <w:top w:val="nil"/>
              <w:left w:val="nil"/>
              <w:bottom w:val="nil"/>
              <w:right w:val="nil"/>
            </w:tcBorders>
            <w:tcMar>
              <w:top w:w="15" w:type="dxa"/>
              <w:left w:w="15" w:type="dxa"/>
              <w:right w:w="15" w:type="dxa"/>
            </w:tcMar>
            <w:vAlign w:val="bottom"/>
          </w:tcPr>
          <w:p w14:paraId="1D3426EA" w14:textId="1F98FFB3"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21959</w:t>
            </w:r>
          </w:p>
        </w:tc>
      </w:tr>
      <w:tr w:rsidR="3BCD5C0E" w14:paraId="6F19CF4E"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4179E396" w14:textId="1BCB86C0"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Concurso de Méritos</w:t>
            </w:r>
          </w:p>
        </w:tc>
        <w:tc>
          <w:tcPr>
            <w:tcW w:w="3090" w:type="dxa"/>
            <w:tcBorders>
              <w:top w:val="nil"/>
              <w:left w:val="nil"/>
              <w:bottom w:val="nil"/>
              <w:right w:val="nil"/>
            </w:tcBorders>
            <w:tcMar>
              <w:top w:w="15" w:type="dxa"/>
              <w:left w:w="15" w:type="dxa"/>
              <w:right w:w="15" w:type="dxa"/>
            </w:tcMar>
            <w:vAlign w:val="bottom"/>
          </w:tcPr>
          <w:p w14:paraId="27A08B99" w14:textId="0C2EFDB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$329.972.190 </w:t>
            </w:r>
          </w:p>
        </w:tc>
        <w:tc>
          <w:tcPr>
            <w:tcW w:w="2687" w:type="dxa"/>
            <w:tcBorders>
              <w:top w:val="nil"/>
              <w:left w:val="nil"/>
              <w:bottom w:val="nil"/>
              <w:right w:val="nil"/>
            </w:tcBorders>
            <w:tcMar>
              <w:top w:w="15" w:type="dxa"/>
              <w:left w:w="15" w:type="dxa"/>
              <w:right w:w="15" w:type="dxa"/>
            </w:tcMar>
            <w:vAlign w:val="bottom"/>
          </w:tcPr>
          <w:p w14:paraId="4A6D7418" w14:textId="7BC70BF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w:t>
            </w:r>
          </w:p>
        </w:tc>
      </w:tr>
      <w:tr w:rsidR="3BCD5C0E" w14:paraId="0E39BFAE"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5764501A" w14:textId="183EEABE"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Contratación Mínima Cuantía</w:t>
            </w:r>
          </w:p>
        </w:tc>
        <w:tc>
          <w:tcPr>
            <w:tcW w:w="3090" w:type="dxa"/>
            <w:tcBorders>
              <w:top w:val="nil"/>
              <w:left w:val="nil"/>
              <w:bottom w:val="nil"/>
              <w:right w:val="nil"/>
            </w:tcBorders>
            <w:tcMar>
              <w:top w:w="15" w:type="dxa"/>
              <w:left w:w="15" w:type="dxa"/>
              <w:right w:w="15" w:type="dxa"/>
            </w:tcMar>
            <w:vAlign w:val="bottom"/>
          </w:tcPr>
          <w:p w14:paraId="1176CC87" w14:textId="28B3A46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$279.205.625.948 </w:t>
            </w:r>
          </w:p>
        </w:tc>
        <w:tc>
          <w:tcPr>
            <w:tcW w:w="2687" w:type="dxa"/>
            <w:tcBorders>
              <w:top w:val="nil"/>
              <w:left w:val="nil"/>
              <w:bottom w:val="nil"/>
              <w:right w:val="nil"/>
            </w:tcBorders>
            <w:tcMar>
              <w:top w:w="15" w:type="dxa"/>
              <w:left w:w="15" w:type="dxa"/>
              <w:right w:w="15" w:type="dxa"/>
            </w:tcMar>
            <w:vAlign w:val="bottom"/>
          </w:tcPr>
          <w:p w14:paraId="284F3159" w14:textId="7B08DAA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8862</w:t>
            </w:r>
          </w:p>
        </w:tc>
      </w:tr>
      <w:tr w:rsidR="3BCD5C0E" w14:paraId="4A06BA56"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54481A6F" w14:textId="440D924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Convenios dos Partes</w:t>
            </w:r>
          </w:p>
        </w:tc>
        <w:tc>
          <w:tcPr>
            <w:tcW w:w="3090" w:type="dxa"/>
            <w:tcBorders>
              <w:top w:val="nil"/>
              <w:left w:val="nil"/>
              <w:bottom w:val="nil"/>
              <w:right w:val="nil"/>
            </w:tcBorders>
            <w:tcMar>
              <w:top w:w="15" w:type="dxa"/>
              <w:left w:w="15" w:type="dxa"/>
              <w:right w:w="15" w:type="dxa"/>
            </w:tcMar>
            <w:vAlign w:val="bottom"/>
          </w:tcPr>
          <w:p w14:paraId="529A8163" w14:textId="618F254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$105.402.439.486 </w:t>
            </w:r>
          </w:p>
        </w:tc>
        <w:tc>
          <w:tcPr>
            <w:tcW w:w="2687" w:type="dxa"/>
            <w:tcBorders>
              <w:top w:val="nil"/>
              <w:left w:val="nil"/>
              <w:bottom w:val="nil"/>
              <w:right w:val="nil"/>
            </w:tcBorders>
            <w:tcMar>
              <w:top w:w="15" w:type="dxa"/>
              <w:left w:w="15" w:type="dxa"/>
              <w:right w:w="15" w:type="dxa"/>
            </w:tcMar>
            <w:vAlign w:val="bottom"/>
          </w:tcPr>
          <w:p w14:paraId="4F98D1BE" w14:textId="3AA4C1E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35</w:t>
            </w:r>
          </w:p>
        </w:tc>
      </w:tr>
      <w:tr w:rsidR="3BCD5C0E" w14:paraId="5D014C32"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75550DAA" w14:textId="7DAC783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Licitación Pública</w:t>
            </w:r>
          </w:p>
        </w:tc>
        <w:tc>
          <w:tcPr>
            <w:tcW w:w="3090" w:type="dxa"/>
            <w:tcBorders>
              <w:top w:val="nil"/>
              <w:left w:val="nil"/>
              <w:bottom w:val="nil"/>
              <w:right w:val="nil"/>
            </w:tcBorders>
            <w:tcMar>
              <w:top w:w="15" w:type="dxa"/>
              <w:left w:w="15" w:type="dxa"/>
              <w:right w:w="15" w:type="dxa"/>
            </w:tcMar>
            <w:vAlign w:val="bottom"/>
          </w:tcPr>
          <w:p w14:paraId="7F68B281" w14:textId="3BFDB455"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$19.802.311.116.518 </w:t>
            </w:r>
          </w:p>
        </w:tc>
        <w:tc>
          <w:tcPr>
            <w:tcW w:w="2687" w:type="dxa"/>
            <w:tcBorders>
              <w:top w:val="nil"/>
              <w:left w:val="nil"/>
              <w:bottom w:val="nil"/>
              <w:right w:val="nil"/>
            </w:tcBorders>
            <w:tcMar>
              <w:top w:w="15" w:type="dxa"/>
              <w:left w:w="15" w:type="dxa"/>
              <w:right w:w="15" w:type="dxa"/>
            </w:tcMar>
            <w:vAlign w:val="bottom"/>
          </w:tcPr>
          <w:p w14:paraId="347544D1" w14:textId="6A42A28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4811</w:t>
            </w:r>
          </w:p>
        </w:tc>
      </w:tr>
      <w:tr w:rsidR="3BCD5C0E" w14:paraId="4CF999B8" w14:textId="77777777" w:rsidTr="449377F1">
        <w:trPr>
          <w:trHeight w:val="300"/>
          <w:jc w:val="center"/>
        </w:trPr>
        <w:tc>
          <w:tcPr>
            <w:tcW w:w="3510" w:type="dxa"/>
            <w:tcBorders>
              <w:top w:val="nil"/>
              <w:left w:val="nil"/>
              <w:bottom w:val="nil"/>
              <w:right w:val="nil"/>
            </w:tcBorders>
            <w:tcMar>
              <w:top w:w="15" w:type="dxa"/>
              <w:left w:w="135" w:type="dxa"/>
              <w:right w:w="15" w:type="dxa"/>
            </w:tcMar>
            <w:vAlign w:val="bottom"/>
          </w:tcPr>
          <w:p w14:paraId="4A038B5C" w14:textId="788D4C10"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Selección Abreviada</w:t>
            </w:r>
          </w:p>
        </w:tc>
        <w:tc>
          <w:tcPr>
            <w:tcW w:w="3090" w:type="dxa"/>
            <w:tcBorders>
              <w:top w:val="nil"/>
              <w:left w:val="nil"/>
              <w:bottom w:val="nil"/>
              <w:right w:val="nil"/>
            </w:tcBorders>
            <w:tcMar>
              <w:top w:w="15" w:type="dxa"/>
              <w:left w:w="15" w:type="dxa"/>
              <w:right w:w="15" w:type="dxa"/>
            </w:tcMar>
            <w:vAlign w:val="bottom"/>
          </w:tcPr>
          <w:p w14:paraId="5186DFC5" w14:textId="1DA49DA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$3.777.496.548.997 </w:t>
            </w:r>
          </w:p>
        </w:tc>
        <w:tc>
          <w:tcPr>
            <w:tcW w:w="2687" w:type="dxa"/>
            <w:tcBorders>
              <w:top w:val="nil"/>
              <w:left w:val="nil"/>
              <w:bottom w:val="nil"/>
              <w:right w:val="nil"/>
            </w:tcBorders>
            <w:tcMar>
              <w:top w:w="15" w:type="dxa"/>
              <w:left w:w="15" w:type="dxa"/>
              <w:right w:w="15" w:type="dxa"/>
            </w:tcMar>
            <w:vAlign w:val="bottom"/>
          </w:tcPr>
          <w:p w14:paraId="6FDA1BEE" w14:textId="7EF23B4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8249</w:t>
            </w:r>
          </w:p>
        </w:tc>
      </w:tr>
      <w:tr w:rsidR="3BCD5C0E" w14:paraId="2434DB6C" w14:textId="77777777" w:rsidTr="449377F1">
        <w:trPr>
          <w:trHeight w:val="300"/>
          <w:jc w:val="center"/>
        </w:trPr>
        <w:tc>
          <w:tcPr>
            <w:tcW w:w="3510" w:type="dxa"/>
            <w:tcBorders>
              <w:top w:val="nil"/>
              <w:left w:val="nil"/>
              <w:bottom w:val="nil"/>
              <w:right w:val="nil"/>
            </w:tcBorders>
            <w:shd w:val="clear" w:color="auto" w:fill="D9E1F2"/>
            <w:tcMar>
              <w:top w:w="15" w:type="dxa"/>
              <w:left w:w="15" w:type="dxa"/>
              <w:right w:w="15" w:type="dxa"/>
            </w:tcMar>
            <w:vAlign w:val="bottom"/>
          </w:tcPr>
          <w:p w14:paraId="7866C377" w14:textId="506DA468"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090" w:type="dxa"/>
            <w:tcBorders>
              <w:top w:val="nil"/>
              <w:left w:val="nil"/>
              <w:bottom w:val="nil"/>
              <w:right w:val="nil"/>
            </w:tcBorders>
            <w:shd w:val="clear" w:color="auto" w:fill="D9E1F2"/>
            <w:tcMar>
              <w:top w:w="15" w:type="dxa"/>
              <w:left w:w="15" w:type="dxa"/>
              <w:right w:w="15" w:type="dxa"/>
            </w:tcMar>
            <w:vAlign w:val="bottom"/>
          </w:tcPr>
          <w:p w14:paraId="71D79B9C" w14:textId="05D96063"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$24.015.156.183.828 </w:t>
            </w:r>
          </w:p>
        </w:tc>
        <w:tc>
          <w:tcPr>
            <w:tcW w:w="2687" w:type="dxa"/>
            <w:tcBorders>
              <w:top w:val="nil"/>
              <w:left w:val="nil"/>
              <w:bottom w:val="nil"/>
              <w:right w:val="nil"/>
            </w:tcBorders>
            <w:shd w:val="clear" w:color="auto" w:fill="D9E1F2"/>
            <w:tcMar>
              <w:top w:w="15" w:type="dxa"/>
              <w:left w:w="15" w:type="dxa"/>
              <w:right w:w="15" w:type="dxa"/>
            </w:tcMar>
            <w:vAlign w:val="bottom"/>
          </w:tcPr>
          <w:p w14:paraId="75A475C6" w14:textId="412B5A4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22169</w:t>
            </w:r>
          </w:p>
        </w:tc>
      </w:tr>
    </w:tbl>
    <w:p w14:paraId="1D825F71" w14:textId="094D2882" w:rsidR="3BCD5C0E" w:rsidRDefault="3BCD5C0E" w:rsidP="449377F1">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365"/>
        <w:gridCol w:w="3015"/>
        <w:gridCol w:w="2599"/>
      </w:tblGrid>
      <w:tr w:rsidR="3BCD5C0E" w14:paraId="33185B89" w14:textId="77777777" w:rsidTr="449377F1">
        <w:trPr>
          <w:trHeight w:val="300"/>
          <w:jc w:val="center"/>
        </w:trPr>
        <w:tc>
          <w:tcPr>
            <w:tcW w:w="2365" w:type="dxa"/>
            <w:tcBorders>
              <w:top w:val="nil"/>
              <w:left w:val="nil"/>
              <w:bottom w:val="nil"/>
              <w:right w:val="nil"/>
            </w:tcBorders>
            <w:shd w:val="clear" w:color="auto" w:fill="D9E1F2"/>
            <w:tcMar>
              <w:top w:w="15" w:type="dxa"/>
              <w:left w:w="15" w:type="dxa"/>
              <w:right w:w="15" w:type="dxa"/>
            </w:tcMar>
            <w:vAlign w:val="bottom"/>
          </w:tcPr>
          <w:p w14:paraId="28F11F92" w14:textId="0A69F69D"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Etiquetas de fila</w:t>
            </w:r>
          </w:p>
        </w:tc>
        <w:tc>
          <w:tcPr>
            <w:tcW w:w="3015" w:type="dxa"/>
            <w:tcBorders>
              <w:top w:val="nil"/>
              <w:left w:val="nil"/>
              <w:bottom w:val="nil"/>
              <w:right w:val="nil"/>
            </w:tcBorders>
            <w:shd w:val="clear" w:color="auto" w:fill="D9E1F2"/>
            <w:tcMar>
              <w:top w:w="15" w:type="dxa"/>
              <w:left w:w="15" w:type="dxa"/>
              <w:right w:w="15" w:type="dxa"/>
            </w:tcMar>
            <w:vAlign w:val="bottom"/>
          </w:tcPr>
          <w:p w14:paraId="4493E111" w14:textId="284F22F8"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599" w:type="dxa"/>
            <w:tcBorders>
              <w:top w:val="nil"/>
              <w:left w:val="nil"/>
              <w:bottom w:val="nil"/>
              <w:right w:val="nil"/>
            </w:tcBorders>
            <w:shd w:val="clear" w:color="auto" w:fill="D9E1F2"/>
            <w:tcMar>
              <w:top w:w="15" w:type="dxa"/>
              <w:left w:w="15" w:type="dxa"/>
              <w:right w:w="15" w:type="dxa"/>
            </w:tcMar>
            <w:vAlign w:val="bottom"/>
          </w:tcPr>
          <w:p w14:paraId="43C1AA2E" w14:textId="6B0C523F"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0AE3ADBE" w14:textId="77777777" w:rsidTr="449377F1">
        <w:trPr>
          <w:trHeight w:val="300"/>
          <w:jc w:val="center"/>
        </w:trPr>
        <w:tc>
          <w:tcPr>
            <w:tcW w:w="2365" w:type="dxa"/>
            <w:tcBorders>
              <w:top w:val="nil"/>
              <w:left w:val="nil"/>
              <w:bottom w:val="nil"/>
              <w:right w:val="nil"/>
            </w:tcBorders>
            <w:tcMar>
              <w:top w:w="15" w:type="dxa"/>
              <w:left w:w="15" w:type="dxa"/>
              <w:right w:w="15" w:type="dxa"/>
            </w:tcMar>
            <w:vAlign w:val="bottom"/>
          </w:tcPr>
          <w:p w14:paraId="3529E61E" w14:textId="64294655"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3015" w:type="dxa"/>
            <w:tcBorders>
              <w:top w:val="nil"/>
              <w:left w:val="nil"/>
              <w:bottom w:val="nil"/>
              <w:right w:val="nil"/>
            </w:tcBorders>
            <w:tcMar>
              <w:top w:w="15" w:type="dxa"/>
              <w:left w:w="15" w:type="dxa"/>
              <w:right w:w="15" w:type="dxa"/>
            </w:tcMar>
            <w:vAlign w:val="bottom"/>
          </w:tcPr>
          <w:p w14:paraId="3DBB2911" w14:textId="4DF5424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$13.508.595.119 </w:t>
            </w:r>
          </w:p>
        </w:tc>
        <w:tc>
          <w:tcPr>
            <w:tcW w:w="2599" w:type="dxa"/>
            <w:tcBorders>
              <w:top w:val="nil"/>
              <w:left w:val="nil"/>
              <w:bottom w:val="nil"/>
              <w:right w:val="nil"/>
            </w:tcBorders>
            <w:tcMar>
              <w:top w:w="15" w:type="dxa"/>
              <w:left w:w="15" w:type="dxa"/>
              <w:right w:w="15" w:type="dxa"/>
            </w:tcMar>
            <w:vAlign w:val="bottom"/>
          </w:tcPr>
          <w:p w14:paraId="6B5113E3" w14:textId="69A0A20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109</w:t>
            </w:r>
          </w:p>
        </w:tc>
      </w:tr>
      <w:tr w:rsidR="3BCD5C0E" w14:paraId="362B1A20" w14:textId="77777777" w:rsidTr="449377F1">
        <w:trPr>
          <w:trHeight w:val="300"/>
          <w:jc w:val="center"/>
        </w:trPr>
        <w:tc>
          <w:tcPr>
            <w:tcW w:w="2365" w:type="dxa"/>
            <w:tcBorders>
              <w:top w:val="nil"/>
              <w:left w:val="nil"/>
              <w:bottom w:val="nil"/>
              <w:right w:val="nil"/>
            </w:tcBorders>
            <w:tcMar>
              <w:top w:w="15" w:type="dxa"/>
              <w:left w:w="15" w:type="dxa"/>
              <w:right w:w="15" w:type="dxa"/>
            </w:tcMar>
            <w:vAlign w:val="bottom"/>
          </w:tcPr>
          <w:p w14:paraId="58766430" w14:textId="3902E41C"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015" w:type="dxa"/>
            <w:tcBorders>
              <w:top w:val="nil"/>
              <w:left w:val="nil"/>
              <w:bottom w:val="nil"/>
              <w:right w:val="nil"/>
            </w:tcBorders>
            <w:tcMar>
              <w:top w:w="15" w:type="dxa"/>
              <w:left w:w="15" w:type="dxa"/>
              <w:right w:w="15" w:type="dxa"/>
            </w:tcMar>
            <w:vAlign w:val="bottom"/>
          </w:tcPr>
          <w:p w14:paraId="56B234C5" w14:textId="18239AA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$36.901.885.570 </w:t>
            </w:r>
          </w:p>
        </w:tc>
        <w:tc>
          <w:tcPr>
            <w:tcW w:w="2599" w:type="dxa"/>
            <w:tcBorders>
              <w:top w:val="nil"/>
              <w:left w:val="nil"/>
              <w:bottom w:val="nil"/>
              <w:right w:val="nil"/>
            </w:tcBorders>
            <w:tcMar>
              <w:top w:w="15" w:type="dxa"/>
              <w:left w:w="15" w:type="dxa"/>
              <w:right w:w="15" w:type="dxa"/>
            </w:tcMar>
            <w:vAlign w:val="bottom"/>
          </w:tcPr>
          <w:p w14:paraId="5F9E6F67" w14:textId="302F5B8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101</w:t>
            </w:r>
          </w:p>
        </w:tc>
      </w:tr>
      <w:tr w:rsidR="3BCD5C0E" w14:paraId="0E049966" w14:textId="77777777" w:rsidTr="449377F1">
        <w:trPr>
          <w:trHeight w:val="300"/>
          <w:jc w:val="center"/>
        </w:trPr>
        <w:tc>
          <w:tcPr>
            <w:tcW w:w="2365" w:type="dxa"/>
            <w:tcBorders>
              <w:top w:val="nil"/>
              <w:left w:val="nil"/>
              <w:bottom w:val="nil"/>
              <w:right w:val="nil"/>
            </w:tcBorders>
            <w:tcMar>
              <w:top w:w="15" w:type="dxa"/>
              <w:left w:w="15" w:type="dxa"/>
              <w:right w:w="15" w:type="dxa"/>
            </w:tcMar>
            <w:vAlign w:val="bottom"/>
          </w:tcPr>
          <w:p w14:paraId="44A43674" w14:textId="6D66BDD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015" w:type="dxa"/>
            <w:tcBorders>
              <w:top w:val="nil"/>
              <w:left w:val="nil"/>
              <w:bottom w:val="nil"/>
              <w:right w:val="nil"/>
            </w:tcBorders>
            <w:tcMar>
              <w:top w:w="15" w:type="dxa"/>
              <w:left w:w="15" w:type="dxa"/>
              <w:right w:w="15" w:type="dxa"/>
            </w:tcMar>
            <w:vAlign w:val="bottom"/>
          </w:tcPr>
          <w:p w14:paraId="3A8811DD" w14:textId="0AE3487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$23.964.745.703.139 </w:t>
            </w:r>
          </w:p>
        </w:tc>
        <w:tc>
          <w:tcPr>
            <w:tcW w:w="2599" w:type="dxa"/>
            <w:tcBorders>
              <w:top w:val="nil"/>
              <w:left w:val="nil"/>
              <w:bottom w:val="nil"/>
              <w:right w:val="nil"/>
            </w:tcBorders>
            <w:tcMar>
              <w:top w:w="15" w:type="dxa"/>
              <w:left w:w="15" w:type="dxa"/>
              <w:right w:w="15" w:type="dxa"/>
            </w:tcMar>
            <w:vAlign w:val="bottom"/>
          </w:tcPr>
          <w:p w14:paraId="60C94B5E" w14:textId="5EE6301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21959</w:t>
            </w:r>
          </w:p>
        </w:tc>
      </w:tr>
      <w:tr w:rsidR="3BCD5C0E" w14:paraId="6A4AF7A4" w14:textId="77777777" w:rsidTr="449377F1">
        <w:trPr>
          <w:trHeight w:val="300"/>
          <w:jc w:val="center"/>
        </w:trPr>
        <w:tc>
          <w:tcPr>
            <w:tcW w:w="2365" w:type="dxa"/>
            <w:tcBorders>
              <w:top w:val="nil"/>
              <w:left w:val="nil"/>
              <w:bottom w:val="nil"/>
              <w:right w:val="nil"/>
            </w:tcBorders>
            <w:shd w:val="clear" w:color="auto" w:fill="D9E1F2"/>
            <w:tcMar>
              <w:top w:w="15" w:type="dxa"/>
              <w:left w:w="15" w:type="dxa"/>
              <w:right w:w="15" w:type="dxa"/>
            </w:tcMar>
            <w:vAlign w:val="bottom"/>
          </w:tcPr>
          <w:p w14:paraId="1C5362FC" w14:textId="32B0857B"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015" w:type="dxa"/>
            <w:tcBorders>
              <w:top w:val="nil"/>
              <w:left w:val="nil"/>
              <w:bottom w:val="nil"/>
              <w:right w:val="nil"/>
            </w:tcBorders>
            <w:shd w:val="clear" w:color="auto" w:fill="D9E1F2"/>
            <w:tcMar>
              <w:top w:w="15" w:type="dxa"/>
              <w:left w:w="15" w:type="dxa"/>
              <w:right w:w="15" w:type="dxa"/>
            </w:tcMar>
            <w:vAlign w:val="bottom"/>
          </w:tcPr>
          <w:p w14:paraId="4E2364DF" w14:textId="3F86E54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$24.015.156.183.828 </w:t>
            </w:r>
          </w:p>
        </w:tc>
        <w:tc>
          <w:tcPr>
            <w:tcW w:w="2599" w:type="dxa"/>
            <w:tcBorders>
              <w:top w:val="nil"/>
              <w:left w:val="nil"/>
              <w:bottom w:val="nil"/>
              <w:right w:val="nil"/>
            </w:tcBorders>
            <w:shd w:val="clear" w:color="auto" w:fill="D9E1F2"/>
            <w:tcMar>
              <w:top w:w="15" w:type="dxa"/>
              <w:left w:w="15" w:type="dxa"/>
              <w:right w:w="15" w:type="dxa"/>
            </w:tcMar>
            <w:vAlign w:val="bottom"/>
          </w:tcPr>
          <w:p w14:paraId="4EA7E4D7" w14:textId="12E3247C"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22169</w:t>
            </w:r>
          </w:p>
        </w:tc>
      </w:tr>
    </w:tbl>
    <w:p w14:paraId="1D905E59" w14:textId="00DE2151" w:rsidR="3BCD5C0E" w:rsidRDefault="3BCD5C0E" w:rsidP="449377F1">
      <w:pPr>
        <w:rPr>
          <w:rFonts w:ascii="Verdana Pro" w:eastAsia="Verdana Pro" w:hAnsi="Verdana Pro" w:cs="Verdana Pro"/>
        </w:rPr>
      </w:pPr>
    </w:p>
    <w:p w14:paraId="6D543104" w14:textId="698FE1BB" w:rsidR="3FDF9890" w:rsidRDefault="61AFD6DA" w:rsidP="449377F1">
      <w:pPr>
        <w:jc w:val="center"/>
        <w:rPr>
          <w:rFonts w:ascii="Verdana Pro" w:eastAsia="Verdana Pro" w:hAnsi="Verdana Pro" w:cs="Verdana Pro"/>
        </w:rPr>
      </w:pPr>
      <w:r>
        <w:rPr>
          <w:noProof/>
        </w:rPr>
        <w:lastRenderedPageBreak/>
        <w:drawing>
          <wp:inline distT="0" distB="0" distL="0" distR="0" wp14:anchorId="05FAC9E7" wp14:editId="6D43A5F0">
            <wp:extent cx="5676902" cy="3257550"/>
            <wp:effectExtent l="0" t="0" r="0" b="0"/>
            <wp:docPr id="1766524865" name="Picture 176652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676902" cy="3257550"/>
                    </a:xfrm>
                    <a:prstGeom prst="rect">
                      <a:avLst/>
                    </a:prstGeom>
                  </pic:spPr>
                </pic:pic>
              </a:graphicData>
            </a:graphic>
          </wp:inline>
        </w:drawing>
      </w:r>
    </w:p>
    <w:p w14:paraId="4D3F9E06" w14:textId="77966D76" w:rsidR="449377F1" w:rsidRDefault="449377F1" w:rsidP="449377F1">
      <w:pPr>
        <w:rPr>
          <w:rFonts w:ascii="Verdana Pro" w:eastAsia="Verdana Pro" w:hAnsi="Verdana Pro" w:cs="Verdana Pro"/>
        </w:rPr>
      </w:pPr>
    </w:p>
    <w:p w14:paraId="12DADEF2" w14:textId="7F9394C9" w:rsidR="3BCD5C0E" w:rsidRDefault="32D07647" w:rsidP="449377F1">
      <w:pPr>
        <w:rPr>
          <w:rFonts w:ascii="Verdana Pro" w:eastAsia="Verdana Pro" w:hAnsi="Verdana Pro" w:cs="Verdana Pro"/>
          <w:sz w:val="20"/>
          <w:szCs w:val="20"/>
        </w:rPr>
      </w:pPr>
      <w:r w:rsidRPr="449377F1">
        <w:rPr>
          <w:rFonts w:ascii="Verdana Pro" w:eastAsia="Verdana Pro" w:hAnsi="Verdana Pro" w:cs="Verdana Pro"/>
          <w:sz w:val="22"/>
          <w:szCs w:val="22"/>
        </w:rPr>
        <w:t xml:space="preserve">Se presenta el detalle desagregado por cada uno de los cinco sectores analizados por parte de EMAE: </w:t>
      </w:r>
    </w:p>
    <w:p w14:paraId="6C8C1F51" w14:textId="4CFE6FF3" w:rsidR="449377F1" w:rsidRDefault="449377F1" w:rsidP="449377F1">
      <w:pPr>
        <w:rPr>
          <w:rFonts w:ascii="Verdana Pro" w:eastAsia="Verdana Pro" w:hAnsi="Verdana Pro" w:cs="Verdana Pro"/>
        </w:rPr>
      </w:pPr>
    </w:p>
    <w:p w14:paraId="5DE46200" w14:textId="1FE2378D" w:rsidR="3B892B39" w:rsidRDefault="32D07647" w:rsidP="449377F1">
      <w:pPr>
        <w:jc w:val="center"/>
        <w:rPr>
          <w:rFonts w:ascii="Verdana Pro" w:eastAsia="Verdana Pro" w:hAnsi="Verdana Pro" w:cs="Verdana Pro"/>
          <w:b/>
          <w:bCs/>
          <w:color w:val="242424"/>
          <w:sz w:val="28"/>
          <w:szCs w:val="28"/>
        </w:rPr>
      </w:pPr>
      <w:r w:rsidRPr="449377F1">
        <w:rPr>
          <w:rFonts w:ascii="Verdana Pro" w:eastAsia="Verdana Pro" w:hAnsi="Verdana Pro" w:cs="Verdana Pro"/>
          <w:b/>
          <w:bCs/>
          <w:color w:val="242424"/>
          <w:sz w:val="28"/>
          <w:szCs w:val="28"/>
        </w:rPr>
        <w:t xml:space="preserve">Datos detallados del Sector </w:t>
      </w:r>
      <w:r w:rsidR="123957F7" w:rsidRPr="449377F1">
        <w:rPr>
          <w:rFonts w:ascii="Verdana Pro" w:eastAsia="Verdana Pro" w:hAnsi="Verdana Pro" w:cs="Verdana Pro"/>
          <w:b/>
          <w:bCs/>
          <w:color w:val="242424"/>
          <w:sz w:val="28"/>
          <w:szCs w:val="28"/>
        </w:rPr>
        <w:t>Salud</w:t>
      </w:r>
    </w:p>
    <w:p w14:paraId="3DD8A17B" w14:textId="1DACD00D"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3615"/>
        <w:gridCol w:w="2940"/>
        <w:gridCol w:w="2325"/>
      </w:tblGrid>
      <w:tr w:rsidR="3BCD5C0E" w14:paraId="0A9F3D95" w14:textId="77777777" w:rsidTr="449377F1">
        <w:trPr>
          <w:trHeight w:val="300"/>
          <w:jc w:val="center"/>
        </w:trPr>
        <w:tc>
          <w:tcPr>
            <w:tcW w:w="3615" w:type="dxa"/>
            <w:tcBorders>
              <w:top w:val="nil"/>
              <w:left w:val="nil"/>
              <w:bottom w:val="nil"/>
              <w:right w:val="nil"/>
            </w:tcBorders>
            <w:shd w:val="clear" w:color="auto" w:fill="D9E1F2"/>
            <w:tcMar>
              <w:top w:w="15" w:type="dxa"/>
              <w:left w:w="15" w:type="dxa"/>
              <w:right w:w="15" w:type="dxa"/>
            </w:tcMar>
            <w:vAlign w:val="bottom"/>
          </w:tcPr>
          <w:p w14:paraId="62D975CA" w14:textId="17BB4CCD" w:rsidR="6F76BC4F" w:rsidRDefault="460D0679"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2940" w:type="dxa"/>
            <w:tcBorders>
              <w:top w:val="nil"/>
              <w:left w:val="nil"/>
              <w:bottom w:val="nil"/>
              <w:right w:val="nil"/>
            </w:tcBorders>
            <w:shd w:val="clear" w:color="auto" w:fill="D9E1F2"/>
            <w:tcMar>
              <w:top w:w="15" w:type="dxa"/>
              <w:left w:w="15" w:type="dxa"/>
              <w:right w:w="15" w:type="dxa"/>
            </w:tcMar>
            <w:vAlign w:val="bottom"/>
          </w:tcPr>
          <w:p w14:paraId="75EF94DE" w14:textId="3E093710"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325" w:type="dxa"/>
            <w:tcBorders>
              <w:top w:val="nil"/>
              <w:left w:val="nil"/>
              <w:bottom w:val="nil"/>
              <w:right w:val="nil"/>
            </w:tcBorders>
            <w:shd w:val="clear" w:color="auto" w:fill="D9E1F2"/>
            <w:tcMar>
              <w:top w:w="15" w:type="dxa"/>
              <w:left w:w="15" w:type="dxa"/>
              <w:right w:w="15" w:type="dxa"/>
            </w:tcMar>
            <w:vAlign w:val="bottom"/>
          </w:tcPr>
          <w:p w14:paraId="4ED6F404" w14:textId="3BB75EE2"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11942443" w14:textId="77777777" w:rsidTr="449377F1">
        <w:trPr>
          <w:trHeight w:val="300"/>
          <w:jc w:val="center"/>
        </w:trPr>
        <w:tc>
          <w:tcPr>
            <w:tcW w:w="3615" w:type="dxa"/>
            <w:tcBorders>
              <w:top w:val="nil"/>
              <w:left w:val="nil"/>
              <w:bottom w:val="nil"/>
              <w:right w:val="nil"/>
            </w:tcBorders>
            <w:tcMar>
              <w:top w:w="15" w:type="dxa"/>
              <w:left w:w="15" w:type="dxa"/>
              <w:right w:w="15" w:type="dxa"/>
            </w:tcMar>
            <w:vAlign w:val="bottom"/>
          </w:tcPr>
          <w:p w14:paraId="5AAA50AA" w14:textId="2877BB38"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2940" w:type="dxa"/>
            <w:tcBorders>
              <w:top w:val="nil"/>
              <w:left w:val="nil"/>
              <w:bottom w:val="nil"/>
              <w:right w:val="nil"/>
            </w:tcBorders>
            <w:tcMar>
              <w:top w:w="15" w:type="dxa"/>
              <w:left w:w="15" w:type="dxa"/>
              <w:right w:w="15" w:type="dxa"/>
            </w:tcMar>
            <w:vAlign w:val="bottom"/>
          </w:tcPr>
          <w:p w14:paraId="140C322F" w14:textId="6F193E03"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$7.702.878.677 </w:t>
            </w:r>
          </w:p>
        </w:tc>
        <w:tc>
          <w:tcPr>
            <w:tcW w:w="2325" w:type="dxa"/>
            <w:tcBorders>
              <w:top w:val="nil"/>
              <w:left w:val="nil"/>
              <w:bottom w:val="nil"/>
              <w:right w:val="nil"/>
            </w:tcBorders>
            <w:tcMar>
              <w:top w:w="15" w:type="dxa"/>
              <w:left w:w="15" w:type="dxa"/>
              <w:right w:w="15" w:type="dxa"/>
            </w:tcMar>
            <w:vAlign w:val="bottom"/>
          </w:tcPr>
          <w:p w14:paraId="607F48E9" w14:textId="167074A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w:t>
            </w:r>
          </w:p>
        </w:tc>
      </w:tr>
      <w:tr w:rsidR="3BCD5C0E" w14:paraId="19E94E06"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1BFB4CB1" w14:textId="732CD24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940" w:type="dxa"/>
            <w:tcBorders>
              <w:top w:val="nil"/>
              <w:left w:val="nil"/>
              <w:bottom w:val="nil"/>
              <w:right w:val="nil"/>
            </w:tcBorders>
            <w:tcMar>
              <w:top w:w="15" w:type="dxa"/>
              <w:left w:w="15" w:type="dxa"/>
              <w:right w:w="15" w:type="dxa"/>
            </w:tcMar>
            <w:vAlign w:val="bottom"/>
          </w:tcPr>
          <w:p w14:paraId="7C045E66" w14:textId="241D6FE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$6.372.661.077 </w:t>
            </w:r>
          </w:p>
        </w:tc>
        <w:tc>
          <w:tcPr>
            <w:tcW w:w="2325" w:type="dxa"/>
            <w:tcBorders>
              <w:top w:val="nil"/>
              <w:left w:val="nil"/>
              <w:bottom w:val="nil"/>
              <w:right w:val="nil"/>
            </w:tcBorders>
            <w:tcMar>
              <w:top w:w="15" w:type="dxa"/>
              <w:left w:w="15" w:type="dxa"/>
              <w:right w:w="15" w:type="dxa"/>
            </w:tcMar>
            <w:vAlign w:val="bottom"/>
          </w:tcPr>
          <w:p w14:paraId="381CEFF1" w14:textId="06A2EDD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w:t>
            </w:r>
          </w:p>
        </w:tc>
      </w:tr>
      <w:tr w:rsidR="3BCD5C0E" w14:paraId="5089B4B2"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72886D67" w14:textId="2C76CD4B"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940" w:type="dxa"/>
            <w:tcBorders>
              <w:top w:val="nil"/>
              <w:left w:val="nil"/>
              <w:bottom w:val="nil"/>
              <w:right w:val="nil"/>
            </w:tcBorders>
            <w:tcMar>
              <w:top w:w="15" w:type="dxa"/>
              <w:left w:w="15" w:type="dxa"/>
              <w:right w:w="15" w:type="dxa"/>
            </w:tcMar>
            <w:vAlign w:val="bottom"/>
          </w:tcPr>
          <w:p w14:paraId="49D46D54" w14:textId="14BD174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$1.330.217.600 </w:t>
            </w:r>
          </w:p>
        </w:tc>
        <w:tc>
          <w:tcPr>
            <w:tcW w:w="2325" w:type="dxa"/>
            <w:tcBorders>
              <w:top w:val="nil"/>
              <w:left w:val="nil"/>
              <w:bottom w:val="nil"/>
              <w:right w:val="nil"/>
            </w:tcBorders>
            <w:tcMar>
              <w:top w:w="15" w:type="dxa"/>
              <w:left w:w="15" w:type="dxa"/>
              <w:right w:w="15" w:type="dxa"/>
            </w:tcMar>
            <w:vAlign w:val="bottom"/>
          </w:tcPr>
          <w:p w14:paraId="11A002E2" w14:textId="60795F7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483DAC03" w14:textId="77777777" w:rsidTr="449377F1">
        <w:trPr>
          <w:trHeight w:val="300"/>
          <w:jc w:val="center"/>
        </w:trPr>
        <w:tc>
          <w:tcPr>
            <w:tcW w:w="3615" w:type="dxa"/>
            <w:tcBorders>
              <w:top w:val="nil"/>
              <w:left w:val="nil"/>
              <w:bottom w:val="nil"/>
              <w:right w:val="nil"/>
            </w:tcBorders>
            <w:tcMar>
              <w:top w:w="15" w:type="dxa"/>
              <w:left w:w="15" w:type="dxa"/>
              <w:right w:w="15" w:type="dxa"/>
            </w:tcMar>
            <w:vAlign w:val="bottom"/>
          </w:tcPr>
          <w:p w14:paraId="38D74E2B" w14:textId="1D2A3612"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2940" w:type="dxa"/>
            <w:tcBorders>
              <w:top w:val="nil"/>
              <w:left w:val="nil"/>
              <w:bottom w:val="nil"/>
              <w:right w:val="nil"/>
            </w:tcBorders>
            <w:tcMar>
              <w:top w:w="15" w:type="dxa"/>
              <w:left w:w="15" w:type="dxa"/>
              <w:right w:w="15" w:type="dxa"/>
            </w:tcMar>
            <w:vAlign w:val="bottom"/>
          </w:tcPr>
          <w:p w14:paraId="77DE0496" w14:textId="39F2784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$12.735.876.611 </w:t>
            </w:r>
          </w:p>
        </w:tc>
        <w:tc>
          <w:tcPr>
            <w:tcW w:w="2325" w:type="dxa"/>
            <w:tcBorders>
              <w:top w:val="nil"/>
              <w:left w:val="nil"/>
              <w:bottom w:val="nil"/>
              <w:right w:val="nil"/>
            </w:tcBorders>
            <w:tcMar>
              <w:top w:w="15" w:type="dxa"/>
              <w:left w:w="15" w:type="dxa"/>
              <w:right w:w="15" w:type="dxa"/>
            </w:tcMar>
            <w:vAlign w:val="bottom"/>
          </w:tcPr>
          <w:p w14:paraId="40754CA5" w14:textId="365A46F3"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486</w:t>
            </w:r>
          </w:p>
        </w:tc>
      </w:tr>
      <w:tr w:rsidR="3BCD5C0E" w14:paraId="21845773"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69F8861F" w14:textId="313A8E91"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940" w:type="dxa"/>
            <w:tcBorders>
              <w:top w:val="nil"/>
              <w:left w:val="nil"/>
              <w:bottom w:val="nil"/>
              <w:right w:val="nil"/>
            </w:tcBorders>
            <w:tcMar>
              <w:top w:w="15" w:type="dxa"/>
              <w:left w:w="15" w:type="dxa"/>
              <w:right w:w="15" w:type="dxa"/>
            </w:tcMar>
            <w:vAlign w:val="bottom"/>
          </w:tcPr>
          <w:p w14:paraId="6A0155C7" w14:textId="583FEFD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$39.371.500 </w:t>
            </w:r>
          </w:p>
        </w:tc>
        <w:tc>
          <w:tcPr>
            <w:tcW w:w="2325" w:type="dxa"/>
            <w:tcBorders>
              <w:top w:val="nil"/>
              <w:left w:val="nil"/>
              <w:bottom w:val="nil"/>
              <w:right w:val="nil"/>
            </w:tcBorders>
            <w:tcMar>
              <w:top w:w="15" w:type="dxa"/>
              <w:left w:w="15" w:type="dxa"/>
              <w:right w:w="15" w:type="dxa"/>
            </w:tcMar>
            <w:vAlign w:val="bottom"/>
          </w:tcPr>
          <w:p w14:paraId="4053A017" w14:textId="19DF812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w:t>
            </w:r>
          </w:p>
        </w:tc>
      </w:tr>
      <w:tr w:rsidR="3BCD5C0E" w14:paraId="0AD33DC7"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40726337" w14:textId="1E3143AB"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940" w:type="dxa"/>
            <w:tcBorders>
              <w:top w:val="nil"/>
              <w:left w:val="nil"/>
              <w:bottom w:val="nil"/>
              <w:right w:val="nil"/>
            </w:tcBorders>
            <w:tcMar>
              <w:top w:w="15" w:type="dxa"/>
              <w:left w:w="15" w:type="dxa"/>
              <w:right w:w="15" w:type="dxa"/>
            </w:tcMar>
            <w:vAlign w:val="bottom"/>
          </w:tcPr>
          <w:p w14:paraId="7A7730B5" w14:textId="30E0657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$95.590.516 </w:t>
            </w:r>
          </w:p>
        </w:tc>
        <w:tc>
          <w:tcPr>
            <w:tcW w:w="2325" w:type="dxa"/>
            <w:tcBorders>
              <w:top w:val="nil"/>
              <w:left w:val="nil"/>
              <w:bottom w:val="nil"/>
              <w:right w:val="nil"/>
            </w:tcBorders>
            <w:tcMar>
              <w:top w:w="15" w:type="dxa"/>
              <w:left w:w="15" w:type="dxa"/>
              <w:right w:w="15" w:type="dxa"/>
            </w:tcMar>
            <w:vAlign w:val="bottom"/>
          </w:tcPr>
          <w:p w14:paraId="323387BC" w14:textId="6FB4E994"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w:t>
            </w:r>
          </w:p>
        </w:tc>
      </w:tr>
      <w:tr w:rsidR="3BCD5C0E" w14:paraId="3BFEAE21"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1C039E69" w14:textId="23A49A3F"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940" w:type="dxa"/>
            <w:tcBorders>
              <w:top w:val="nil"/>
              <w:left w:val="nil"/>
              <w:bottom w:val="nil"/>
              <w:right w:val="nil"/>
            </w:tcBorders>
            <w:tcMar>
              <w:top w:w="15" w:type="dxa"/>
              <w:left w:w="15" w:type="dxa"/>
              <w:right w:w="15" w:type="dxa"/>
            </w:tcMar>
            <w:vAlign w:val="bottom"/>
          </w:tcPr>
          <w:p w14:paraId="185975C7" w14:textId="7820894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$12.600.914.595 </w:t>
            </w:r>
          </w:p>
        </w:tc>
        <w:tc>
          <w:tcPr>
            <w:tcW w:w="2325" w:type="dxa"/>
            <w:tcBorders>
              <w:top w:val="nil"/>
              <w:left w:val="nil"/>
              <w:bottom w:val="nil"/>
              <w:right w:val="nil"/>
            </w:tcBorders>
            <w:tcMar>
              <w:top w:w="15" w:type="dxa"/>
              <w:left w:w="15" w:type="dxa"/>
              <w:right w:w="15" w:type="dxa"/>
            </w:tcMar>
            <w:vAlign w:val="bottom"/>
          </w:tcPr>
          <w:p w14:paraId="4E4DE5F4" w14:textId="3C9915B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481</w:t>
            </w:r>
          </w:p>
        </w:tc>
      </w:tr>
      <w:tr w:rsidR="3BCD5C0E" w14:paraId="345EA20B" w14:textId="77777777" w:rsidTr="449377F1">
        <w:trPr>
          <w:trHeight w:val="300"/>
          <w:jc w:val="center"/>
        </w:trPr>
        <w:tc>
          <w:tcPr>
            <w:tcW w:w="3615" w:type="dxa"/>
            <w:tcBorders>
              <w:top w:val="nil"/>
              <w:left w:val="nil"/>
              <w:bottom w:val="nil"/>
              <w:right w:val="nil"/>
            </w:tcBorders>
            <w:tcMar>
              <w:top w:w="15" w:type="dxa"/>
              <w:left w:w="15" w:type="dxa"/>
              <w:right w:w="15" w:type="dxa"/>
            </w:tcMar>
            <w:vAlign w:val="bottom"/>
          </w:tcPr>
          <w:p w14:paraId="6FDAB0DB" w14:textId="63F886F4"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Convenios dos Partes</w:t>
            </w:r>
          </w:p>
        </w:tc>
        <w:tc>
          <w:tcPr>
            <w:tcW w:w="2940" w:type="dxa"/>
            <w:tcBorders>
              <w:top w:val="nil"/>
              <w:left w:val="nil"/>
              <w:bottom w:val="nil"/>
              <w:right w:val="nil"/>
            </w:tcBorders>
            <w:tcMar>
              <w:top w:w="15" w:type="dxa"/>
              <w:left w:w="15" w:type="dxa"/>
              <w:right w:w="15" w:type="dxa"/>
            </w:tcMar>
            <w:vAlign w:val="bottom"/>
          </w:tcPr>
          <w:p w14:paraId="50803818" w14:textId="3304503A"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$76.282.839.937 </w:t>
            </w:r>
          </w:p>
        </w:tc>
        <w:tc>
          <w:tcPr>
            <w:tcW w:w="2325" w:type="dxa"/>
            <w:tcBorders>
              <w:top w:val="nil"/>
              <w:left w:val="nil"/>
              <w:bottom w:val="nil"/>
              <w:right w:val="nil"/>
            </w:tcBorders>
            <w:tcMar>
              <w:top w:w="15" w:type="dxa"/>
              <w:left w:w="15" w:type="dxa"/>
              <w:right w:w="15" w:type="dxa"/>
            </w:tcMar>
            <w:vAlign w:val="bottom"/>
          </w:tcPr>
          <w:p w14:paraId="589C5BF7" w14:textId="64B777C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13</w:t>
            </w:r>
          </w:p>
        </w:tc>
      </w:tr>
      <w:tr w:rsidR="3BCD5C0E" w14:paraId="24721A58"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3AD9C609" w14:textId="55C9FAE0"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940" w:type="dxa"/>
            <w:tcBorders>
              <w:top w:val="nil"/>
              <w:left w:val="nil"/>
              <w:bottom w:val="nil"/>
              <w:right w:val="nil"/>
            </w:tcBorders>
            <w:tcMar>
              <w:top w:w="15" w:type="dxa"/>
              <w:left w:w="15" w:type="dxa"/>
              <w:right w:w="15" w:type="dxa"/>
            </w:tcMar>
            <w:vAlign w:val="bottom"/>
          </w:tcPr>
          <w:p w14:paraId="3361792E" w14:textId="2725632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$76.282.839.937 </w:t>
            </w:r>
          </w:p>
        </w:tc>
        <w:tc>
          <w:tcPr>
            <w:tcW w:w="2325" w:type="dxa"/>
            <w:tcBorders>
              <w:top w:val="nil"/>
              <w:left w:val="nil"/>
              <w:bottom w:val="nil"/>
              <w:right w:val="nil"/>
            </w:tcBorders>
            <w:tcMar>
              <w:top w:w="15" w:type="dxa"/>
              <w:left w:w="15" w:type="dxa"/>
              <w:right w:w="15" w:type="dxa"/>
            </w:tcMar>
            <w:vAlign w:val="bottom"/>
          </w:tcPr>
          <w:p w14:paraId="3170E309" w14:textId="56BEDD8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13</w:t>
            </w:r>
          </w:p>
        </w:tc>
      </w:tr>
      <w:tr w:rsidR="3BCD5C0E" w14:paraId="3EA39B5D" w14:textId="77777777" w:rsidTr="449377F1">
        <w:trPr>
          <w:trHeight w:val="300"/>
          <w:jc w:val="center"/>
        </w:trPr>
        <w:tc>
          <w:tcPr>
            <w:tcW w:w="3615" w:type="dxa"/>
            <w:tcBorders>
              <w:top w:val="nil"/>
              <w:left w:val="nil"/>
              <w:bottom w:val="nil"/>
              <w:right w:val="nil"/>
            </w:tcBorders>
            <w:tcMar>
              <w:top w:w="15" w:type="dxa"/>
              <w:left w:w="15" w:type="dxa"/>
              <w:right w:w="15" w:type="dxa"/>
            </w:tcMar>
            <w:vAlign w:val="bottom"/>
          </w:tcPr>
          <w:p w14:paraId="2F57E601" w14:textId="1C7BB139"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2940" w:type="dxa"/>
            <w:tcBorders>
              <w:top w:val="nil"/>
              <w:left w:val="nil"/>
              <w:bottom w:val="nil"/>
              <w:right w:val="nil"/>
            </w:tcBorders>
            <w:tcMar>
              <w:top w:w="15" w:type="dxa"/>
              <w:left w:w="15" w:type="dxa"/>
              <w:right w:w="15" w:type="dxa"/>
            </w:tcMar>
            <w:vAlign w:val="bottom"/>
          </w:tcPr>
          <w:p w14:paraId="2EA0C9F1" w14:textId="6856851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$1.127.119.651.669 </w:t>
            </w:r>
          </w:p>
        </w:tc>
        <w:tc>
          <w:tcPr>
            <w:tcW w:w="2325" w:type="dxa"/>
            <w:tcBorders>
              <w:top w:val="nil"/>
              <w:left w:val="nil"/>
              <w:bottom w:val="nil"/>
              <w:right w:val="nil"/>
            </w:tcBorders>
            <w:tcMar>
              <w:top w:w="15" w:type="dxa"/>
              <w:left w:w="15" w:type="dxa"/>
              <w:right w:w="15" w:type="dxa"/>
            </w:tcMar>
            <w:vAlign w:val="bottom"/>
          </w:tcPr>
          <w:p w14:paraId="2A19BE0A" w14:textId="1646037F"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236</w:t>
            </w:r>
          </w:p>
        </w:tc>
      </w:tr>
      <w:tr w:rsidR="3BCD5C0E" w14:paraId="7C731ECD"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74D4F50D" w14:textId="6541BDFA"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940" w:type="dxa"/>
            <w:tcBorders>
              <w:top w:val="nil"/>
              <w:left w:val="nil"/>
              <w:bottom w:val="nil"/>
              <w:right w:val="nil"/>
            </w:tcBorders>
            <w:tcMar>
              <w:top w:w="15" w:type="dxa"/>
              <w:left w:w="15" w:type="dxa"/>
              <w:right w:w="15" w:type="dxa"/>
            </w:tcMar>
            <w:vAlign w:val="bottom"/>
          </w:tcPr>
          <w:p w14:paraId="5DF29652" w14:textId="0E6E3AD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$1.127.119.651.669 </w:t>
            </w:r>
          </w:p>
        </w:tc>
        <w:tc>
          <w:tcPr>
            <w:tcW w:w="2325" w:type="dxa"/>
            <w:tcBorders>
              <w:top w:val="nil"/>
              <w:left w:val="nil"/>
              <w:bottom w:val="nil"/>
              <w:right w:val="nil"/>
            </w:tcBorders>
            <w:tcMar>
              <w:top w:w="15" w:type="dxa"/>
              <w:left w:w="15" w:type="dxa"/>
              <w:right w:w="15" w:type="dxa"/>
            </w:tcMar>
            <w:vAlign w:val="bottom"/>
          </w:tcPr>
          <w:p w14:paraId="0181A388" w14:textId="6D37FD0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236</w:t>
            </w:r>
          </w:p>
        </w:tc>
      </w:tr>
      <w:tr w:rsidR="3BCD5C0E" w14:paraId="60F26744" w14:textId="77777777" w:rsidTr="449377F1">
        <w:trPr>
          <w:trHeight w:val="300"/>
          <w:jc w:val="center"/>
        </w:trPr>
        <w:tc>
          <w:tcPr>
            <w:tcW w:w="3615" w:type="dxa"/>
            <w:tcBorders>
              <w:top w:val="nil"/>
              <w:left w:val="nil"/>
              <w:bottom w:val="nil"/>
              <w:right w:val="nil"/>
            </w:tcBorders>
            <w:tcMar>
              <w:top w:w="15" w:type="dxa"/>
              <w:left w:w="15" w:type="dxa"/>
              <w:right w:w="15" w:type="dxa"/>
            </w:tcMar>
            <w:vAlign w:val="bottom"/>
          </w:tcPr>
          <w:p w14:paraId="0D6FF977" w14:textId="6AD19F4A"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lastRenderedPageBreak/>
              <w:t>Selección Abreviada</w:t>
            </w:r>
          </w:p>
        </w:tc>
        <w:tc>
          <w:tcPr>
            <w:tcW w:w="2940" w:type="dxa"/>
            <w:tcBorders>
              <w:top w:val="nil"/>
              <w:left w:val="nil"/>
              <w:bottom w:val="nil"/>
              <w:right w:val="nil"/>
            </w:tcBorders>
            <w:tcMar>
              <w:top w:w="15" w:type="dxa"/>
              <w:left w:w="15" w:type="dxa"/>
              <w:right w:w="15" w:type="dxa"/>
            </w:tcMar>
            <w:vAlign w:val="bottom"/>
          </w:tcPr>
          <w:p w14:paraId="49558510" w14:textId="385C1C96"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$242.812.329.948 </w:t>
            </w:r>
          </w:p>
        </w:tc>
        <w:tc>
          <w:tcPr>
            <w:tcW w:w="2325" w:type="dxa"/>
            <w:tcBorders>
              <w:top w:val="nil"/>
              <w:left w:val="nil"/>
              <w:bottom w:val="nil"/>
              <w:right w:val="nil"/>
            </w:tcBorders>
            <w:tcMar>
              <w:top w:w="15" w:type="dxa"/>
              <w:left w:w="15" w:type="dxa"/>
              <w:right w:w="15" w:type="dxa"/>
            </w:tcMar>
            <w:vAlign w:val="bottom"/>
          </w:tcPr>
          <w:p w14:paraId="467DA3E2" w14:textId="760EEE0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446</w:t>
            </w:r>
          </w:p>
        </w:tc>
      </w:tr>
      <w:tr w:rsidR="3BCD5C0E" w14:paraId="311C5E5B" w14:textId="77777777" w:rsidTr="449377F1">
        <w:trPr>
          <w:trHeight w:val="300"/>
          <w:jc w:val="center"/>
        </w:trPr>
        <w:tc>
          <w:tcPr>
            <w:tcW w:w="3615" w:type="dxa"/>
            <w:tcBorders>
              <w:top w:val="nil"/>
              <w:left w:val="nil"/>
              <w:bottom w:val="nil"/>
              <w:right w:val="nil"/>
            </w:tcBorders>
            <w:tcMar>
              <w:top w:w="15" w:type="dxa"/>
              <w:left w:w="135" w:type="dxa"/>
              <w:right w:w="15" w:type="dxa"/>
            </w:tcMar>
            <w:vAlign w:val="bottom"/>
          </w:tcPr>
          <w:p w14:paraId="554ACC78" w14:textId="1782D47F"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940" w:type="dxa"/>
            <w:tcBorders>
              <w:top w:val="nil"/>
              <w:left w:val="nil"/>
              <w:bottom w:val="nil"/>
              <w:right w:val="nil"/>
            </w:tcBorders>
            <w:tcMar>
              <w:top w:w="15" w:type="dxa"/>
              <w:left w:w="15" w:type="dxa"/>
              <w:right w:w="15" w:type="dxa"/>
            </w:tcMar>
            <w:vAlign w:val="bottom"/>
          </w:tcPr>
          <w:p w14:paraId="498F63D8" w14:textId="60E4119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$242.812.329.948 </w:t>
            </w:r>
          </w:p>
        </w:tc>
        <w:tc>
          <w:tcPr>
            <w:tcW w:w="2325" w:type="dxa"/>
            <w:tcBorders>
              <w:top w:val="nil"/>
              <w:left w:val="nil"/>
              <w:bottom w:val="nil"/>
              <w:right w:val="nil"/>
            </w:tcBorders>
            <w:tcMar>
              <w:top w:w="15" w:type="dxa"/>
              <w:left w:w="15" w:type="dxa"/>
              <w:right w:w="15" w:type="dxa"/>
            </w:tcMar>
            <w:vAlign w:val="bottom"/>
          </w:tcPr>
          <w:p w14:paraId="0397898A" w14:textId="17EF885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446</w:t>
            </w:r>
          </w:p>
        </w:tc>
      </w:tr>
      <w:tr w:rsidR="3BCD5C0E" w14:paraId="54B5690B" w14:textId="77777777" w:rsidTr="449377F1">
        <w:trPr>
          <w:trHeight w:val="300"/>
          <w:jc w:val="center"/>
        </w:trPr>
        <w:tc>
          <w:tcPr>
            <w:tcW w:w="3615" w:type="dxa"/>
            <w:tcBorders>
              <w:top w:val="nil"/>
              <w:left w:val="nil"/>
              <w:bottom w:val="nil"/>
              <w:right w:val="nil"/>
            </w:tcBorders>
            <w:shd w:val="clear" w:color="auto" w:fill="D9E1F2"/>
            <w:tcMar>
              <w:top w:w="15" w:type="dxa"/>
              <w:left w:w="15" w:type="dxa"/>
              <w:right w:w="15" w:type="dxa"/>
            </w:tcMar>
            <w:vAlign w:val="bottom"/>
          </w:tcPr>
          <w:p w14:paraId="0F7F8E0C" w14:textId="27840F9E"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940" w:type="dxa"/>
            <w:tcBorders>
              <w:top w:val="nil"/>
              <w:left w:val="nil"/>
              <w:bottom w:val="nil"/>
              <w:right w:val="nil"/>
            </w:tcBorders>
            <w:shd w:val="clear" w:color="auto" w:fill="D9E1F2"/>
            <w:tcMar>
              <w:top w:w="15" w:type="dxa"/>
              <w:left w:w="15" w:type="dxa"/>
              <w:right w:w="15" w:type="dxa"/>
            </w:tcMar>
            <w:vAlign w:val="bottom"/>
          </w:tcPr>
          <w:p w14:paraId="40DE75C8" w14:textId="4080F02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$1.466.653.576.842 </w:t>
            </w:r>
          </w:p>
        </w:tc>
        <w:tc>
          <w:tcPr>
            <w:tcW w:w="2325" w:type="dxa"/>
            <w:tcBorders>
              <w:top w:val="nil"/>
              <w:left w:val="nil"/>
              <w:bottom w:val="nil"/>
              <w:right w:val="nil"/>
            </w:tcBorders>
            <w:shd w:val="clear" w:color="auto" w:fill="D9E1F2"/>
            <w:tcMar>
              <w:top w:w="15" w:type="dxa"/>
              <w:left w:w="15" w:type="dxa"/>
              <w:right w:w="15" w:type="dxa"/>
            </w:tcMar>
            <w:vAlign w:val="bottom"/>
          </w:tcPr>
          <w:p w14:paraId="5B6A60F5" w14:textId="60DDC575"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1185</w:t>
            </w:r>
          </w:p>
        </w:tc>
      </w:tr>
    </w:tbl>
    <w:p w14:paraId="64B97D81" w14:textId="40B8AA65"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2364"/>
        <w:gridCol w:w="2760"/>
        <w:gridCol w:w="2435"/>
      </w:tblGrid>
      <w:tr w:rsidR="3BCD5C0E" w14:paraId="3AE64151" w14:textId="77777777" w:rsidTr="449377F1">
        <w:trPr>
          <w:trHeight w:val="300"/>
          <w:jc w:val="center"/>
        </w:trPr>
        <w:tc>
          <w:tcPr>
            <w:tcW w:w="2364" w:type="dxa"/>
            <w:tcBorders>
              <w:top w:val="nil"/>
              <w:left w:val="nil"/>
              <w:bottom w:val="nil"/>
              <w:right w:val="nil"/>
            </w:tcBorders>
            <w:shd w:val="clear" w:color="auto" w:fill="D9E1F2"/>
            <w:tcMar>
              <w:top w:w="15" w:type="dxa"/>
              <w:left w:w="15" w:type="dxa"/>
              <w:right w:w="15" w:type="dxa"/>
            </w:tcMar>
            <w:vAlign w:val="bottom"/>
          </w:tcPr>
          <w:p w14:paraId="46843A38" w14:textId="7883CECB" w:rsidR="14F4775B" w:rsidRDefault="539D6A74"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p w14:paraId="6718D5C2" w14:textId="12AE100C" w:rsidR="3BCD5C0E" w:rsidRDefault="3BCD5C0E" w:rsidP="449377F1">
            <w:pPr>
              <w:rPr>
                <w:rFonts w:ascii="Verdana Pro" w:eastAsia="Verdana Pro" w:hAnsi="Verdana Pro" w:cs="Verdana Pro"/>
                <w:b/>
                <w:bCs/>
                <w:color w:val="000000" w:themeColor="text1"/>
                <w:sz w:val="22"/>
                <w:szCs w:val="22"/>
              </w:rPr>
            </w:pPr>
          </w:p>
        </w:tc>
        <w:tc>
          <w:tcPr>
            <w:tcW w:w="2760" w:type="dxa"/>
            <w:tcBorders>
              <w:top w:val="nil"/>
              <w:left w:val="nil"/>
              <w:bottom w:val="nil"/>
              <w:right w:val="nil"/>
            </w:tcBorders>
            <w:shd w:val="clear" w:color="auto" w:fill="D9E1F2"/>
            <w:tcMar>
              <w:top w:w="15" w:type="dxa"/>
              <w:left w:w="15" w:type="dxa"/>
              <w:right w:w="15" w:type="dxa"/>
            </w:tcMar>
            <w:vAlign w:val="bottom"/>
          </w:tcPr>
          <w:p w14:paraId="59689711" w14:textId="7DD747A0"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435" w:type="dxa"/>
            <w:tcBorders>
              <w:top w:val="nil"/>
              <w:left w:val="nil"/>
              <w:bottom w:val="nil"/>
              <w:right w:val="nil"/>
            </w:tcBorders>
            <w:shd w:val="clear" w:color="auto" w:fill="D9E1F2"/>
            <w:tcMar>
              <w:top w:w="15" w:type="dxa"/>
              <w:left w:w="15" w:type="dxa"/>
              <w:right w:w="15" w:type="dxa"/>
            </w:tcMar>
            <w:vAlign w:val="bottom"/>
          </w:tcPr>
          <w:p w14:paraId="704B45BB" w14:textId="22DFE883"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18E2D867"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1ADB752A" w14:textId="5DEB82B8"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760" w:type="dxa"/>
            <w:tcBorders>
              <w:top w:val="nil"/>
              <w:left w:val="nil"/>
              <w:bottom w:val="nil"/>
              <w:right w:val="nil"/>
            </w:tcBorders>
            <w:tcMar>
              <w:top w:w="15" w:type="dxa"/>
              <w:left w:w="15" w:type="dxa"/>
              <w:right w:w="15" w:type="dxa"/>
            </w:tcMar>
            <w:vAlign w:val="bottom"/>
          </w:tcPr>
          <w:p w14:paraId="262F831F" w14:textId="2B8C71D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$6.412.032.577 </w:t>
            </w:r>
          </w:p>
        </w:tc>
        <w:tc>
          <w:tcPr>
            <w:tcW w:w="2435" w:type="dxa"/>
            <w:tcBorders>
              <w:top w:val="nil"/>
              <w:left w:val="nil"/>
              <w:bottom w:val="nil"/>
              <w:right w:val="nil"/>
            </w:tcBorders>
            <w:tcMar>
              <w:top w:w="15" w:type="dxa"/>
              <w:left w:w="15" w:type="dxa"/>
              <w:right w:w="15" w:type="dxa"/>
            </w:tcMar>
            <w:vAlign w:val="bottom"/>
          </w:tcPr>
          <w:p w14:paraId="722C4D4C" w14:textId="1121FBC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5</w:t>
            </w:r>
          </w:p>
        </w:tc>
      </w:tr>
      <w:tr w:rsidR="3BCD5C0E" w14:paraId="11ACC068"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2B086E1C" w14:textId="7C05D04C"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760" w:type="dxa"/>
            <w:tcBorders>
              <w:top w:val="nil"/>
              <w:left w:val="nil"/>
              <w:bottom w:val="nil"/>
              <w:right w:val="nil"/>
            </w:tcBorders>
            <w:tcMar>
              <w:top w:w="15" w:type="dxa"/>
              <w:left w:w="15" w:type="dxa"/>
              <w:right w:w="15" w:type="dxa"/>
            </w:tcMar>
            <w:vAlign w:val="bottom"/>
          </w:tcPr>
          <w:p w14:paraId="71E45E64" w14:textId="26CF7DE4"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$1.425.808.116 </w:t>
            </w:r>
          </w:p>
        </w:tc>
        <w:tc>
          <w:tcPr>
            <w:tcW w:w="2435" w:type="dxa"/>
            <w:tcBorders>
              <w:top w:val="nil"/>
              <w:left w:val="nil"/>
              <w:bottom w:val="nil"/>
              <w:right w:val="nil"/>
            </w:tcBorders>
            <w:tcMar>
              <w:top w:w="15" w:type="dxa"/>
              <w:left w:w="15" w:type="dxa"/>
              <w:right w:w="15" w:type="dxa"/>
            </w:tcMar>
            <w:vAlign w:val="bottom"/>
          </w:tcPr>
          <w:p w14:paraId="019D2330" w14:textId="53F4A0C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w:t>
            </w:r>
          </w:p>
        </w:tc>
      </w:tr>
      <w:tr w:rsidR="3BCD5C0E" w14:paraId="353BD279"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4ACC55EC" w14:textId="2312167A"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760" w:type="dxa"/>
            <w:tcBorders>
              <w:top w:val="nil"/>
              <w:left w:val="nil"/>
              <w:bottom w:val="nil"/>
              <w:right w:val="nil"/>
            </w:tcBorders>
            <w:tcMar>
              <w:top w:w="15" w:type="dxa"/>
              <w:left w:w="15" w:type="dxa"/>
              <w:right w:w="15" w:type="dxa"/>
            </w:tcMar>
            <w:vAlign w:val="bottom"/>
          </w:tcPr>
          <w:p w14:paraId="7BCA4C9F" w14:textId="730ABC3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$1.458.815.736.149 </w:t>
            </w:r>
          </w:p>
        </w:tc>
        <w:tc>
          <w:tcPr>
            <w:tcW w:w="2435" w:type="dxa"/>
            <w:tcBorders>
              <w:top w:val="nil"/>
              <w:left w:val="nil"/>
              <w:bottom w:val="nil"/>
              <w:right w:val="nil"/>
            </w:tcBorders>
            <w:tcMar>
              <w:top w:w="15" w:type="dxa"/>
              <w:left w:w="15" w:type="dxa"/>
              <w:right w:w="15" w:type="dxa"/>
            </w:tcMar>
            <w:vAlign w:val="bottom"/>
          </w:tcPr>
          <w:p w14:paraId="1FAC0B4F" w14:textId="4712DB94"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1176</w:t>
            </w:r>
          </w:p>
        </w:tc>
      </w:tr>
      <w:tr w:rsidR="3BCD5C0E" w14:paraId="46734AC6" w14:textId="77777777" w:rsidTr="449377F1">
        <w:trPr>
          <w:trHeight w:val="300"/>
          <w:jc w:val="center"/>
        </w:trPr>
        <w:tc>
          <w:tcPr>
            <w:tcW w:w="2364" w:type="dxa"/>
            <w:tcBorders>
              <w:top w:val="nil"/>
              <w:left w:val="nil"/>
              <w:bottom w:val="nil"/>
              <w:right w:val="nil"/>
            </w:tcBorders>
            <w:shd w:val="clear" w:color="auto" w:fill="D9E1F2"/>
            <w:tcMar>
              <w:top w:w="15" w:type="dxa"/>
              <w:left w:w="15" w:type="dxa"/>
              <w:right w:w="15" w:type="dxa"/>
            </w:tcMar>
            <w:vAlign w:val="bottom"/>
          </w:tcPr>
          <w:p w14:paraId="4F1AE029" w14:textId="43BCE079"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760" w:type="dxa"/>
            <w:tcBorders>
              <w:top w:val="nil"/>
              <w:left w:val="nil"/>
              <w:bottom w:val="nil"/>
              <w:right w:val="nil"/>
            </w:tcBorders>
            <w:shd w:val="clear" w:color="auto" w:fill="D9E1F2"/>
            <w:tcMar>
              <w:top w:w="15" w:type="dxa"/>
              <w:left w:w="15" w:type="dxa"/>
              <w:right w:w="15" w:type="dxa"/>
            </w:tcMar>
            <w:vAlign w:val="bottom"/>
          </w:tcPr>
          <w:p w14:paraId="057152FC" w14:textId="27F31C1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$1.466.653.576.842 </w:t>
            </w:r>
          </w:p>
        </w:tc>
        <w:tc>
          <w:tcPr>
            <w:tcW w:w="2435" w:type="dxa"/>
            <w:tcBorders>
              <w:top w:val="nil"/>
              <w:left w:val="nil"/>
              <w:bottom w:val="nil"/>
              <w:right w:val="nil"/>
            </w:tcBorders>
            <w:shd w:val="clear" w:color="auto" w:fill="D9E1F2"/>
            <w:tcMar>
              <w:top w:w="15" w:type="dxa"/>
              <w:left w:w="15" w:type="dxa"/>
              <w:right w:w="15" w:type="dxa"/>
            </w:tcMar>
            <w:vAlign w:val="bottom"/>
          </w:tcPr>
          <w:p w14:paraId="64C3275B" w14:textId="48701EE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1185</w:t>
            </w:r>
          </w:p>
        </w:tc>
      </w:tr>
    </w:tbl>
    <w:p w14:paraId="7A5C6FC1" w14:textId="713D677E" w:rsidR="3BCD5C0E" w:rsidRDefault="3BCD5C0E" w:rsidP="449377F1">
      <w:pPr>
        <w:jc w:val="center"/>
        <w:rPr>
          <w:rFonts w:ascii="Verdana Pro" w:eastAsia="Verdana Pro" w:hAnsi="Verdana Pro" w:cs="Verdana Pro"/>
          <w:color w:val="242424"/>
          <w:sz w:val="22"/>
          <w:szCs w:val="22"/>
        </w:rPr>
      </w:pPr>
    </w:p>
    <w:p w14:paraId="4C1D19F5" w14:textId="2955D796" w:rsidR="17D9608F" w:rsidRDefault="4FB14F84" w:rsidP="3BCD5C0E">
      <w:pPr>
        <w:jc w:val="center"/>
        <w:rPr>
          <w:rFonts w:ascii="Verdana Pro" w:eastAsia="Verdana Pro" w:hAnsi="Verdana Pro" w:cs="Verdana Pro"/>
        </w:rPr>
      </w:pPr>
      <w:r>
        <w:rPr>
          <w:noProof/>
        </w:rPr>
        <w:drawing>
          <wp:inline distT="0" distB="0" distL="0" distR="0" wp14:anchorId="53738D04" wp14:editId="2D05E5E7">
            <wp:extent cx="5191126" cy="2790825"/>
            <wp:effectExtent l="0" t="0" r="0" b="0"/>
            <wp:docPr id="2131295737" name="Picture 213129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191126" cy="2790825"/>
                    </a:xfrm>
                    <a:prstGeom prst="rect">
                      <a:avLst/>
                    </a:prstGeom>
                  </pic:spPr>
                </pic:pic>
              </a:graphicData>
            </a:graphic>
          </wp:inline>
        </w:drawing>
      </w:r>
    </w:p>
    <w:p w14:paraId="4852F7AB" w14:textId="101E94BF" w:rsidR="17D9608F" w:rsidRDefault="17D9608F" w:rsidP="449377F1">
      <w:pPr>
        <w:jc w:val="center"/>
        <w:rPr>
          <w:rFonts w:ascii="Verdana Pro" w:eastAsia="Verdana Pro" w:hAnsi="Verdana Pro" w:cs="Verdana Pro"/>
          <w:b/>
          <w:bCs/>
          <w:color w:val="242424"/>
          <w:sz w:val="28"/>
          <w:szCs w:val="28"/>
        </w:rPr>
      </w:pPr>
    </w:p>
    <w:p w14:paraId="4B90365B" w14:textId="2B8088BC" w:rsidR="17D9608F" w:rsidRDefault="0A2D7467" w:rsidP="449377F1">
      <w:pPr>
        <w:jc w:val="center"/>
        <w:rPr>
          <w:rFonts w:ascii="Verdana Pro" w:eastAsia="Verdana Pro" w:hAnsi="Verdana Pro" w:cs="Verdana Pro"/>
          <w:b/>
          <w:bCs/>
          <w:color w:val="242424"/>
        </w:rPr>
      </w:pPr>
      <w:r w:rsidRPr="449377F1">
        <w:rPr>
          <w:rFonts w:ascii="Verdana Pro" w:eastAsia="Verdana Pro" w:hAnsi="Verdana Pro" w:cs="Verdana Pro"/>
          <w:b/>
          <w:bCs/>
          <w:color w:val="242424"/>
          <w:sz w:val="28"/>
          <w:szCs w:val="28"/>
        </w:rPr>
        <w:t>Datos detallados del Sector Educación</w:t>
      </w:r>
    </w:p>
    <w:p w14:paraId="5999F5BF" w14:textId="44747893"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4080"/>
        <w:gridCol w:w="2850"/>
        <w:gridCol w:w="1673"/>
      </w:tblGrid>
      <w:tr w:rsidR="3BCD5C0E" w14:paraId="3D254343" w14:textId="77777777" w:rsidTr="449377F1">
        <w:trPr>
          <w:trHeight w:val="300"/>
          <w:jc w:val="center"/>
        </w:trPr>
        <w:tc>
          <w:tcPr>
            <w:tcW w:w="4080" w:type="dxa"/>
            <w:tcBorders>
              <w:top w:val="nil"/>
              <w:left w:val="nil"/>
              <w:bottom w:val="nil"/>
              <w:right w:val="nil"/>
            </w:tcBorders>
            <w:shd w:val="clear" w:color="auto" w:fill="D9E1F2"/>
            <w:tcMar>
              <w:top w:w="15" w:type="dxa"/>
              <w:left w:w="15" w:type="dxa"/>
              <w:right w:w="15" w:type="dxa"/>
            </w:tcMar>
            <w:vAlign w:val="bottom"/>
          </w:tcPr>
          <w:p w14:paraId="1F930897" w14:textId="3CA45AFC" w:rsidR="3A982016" w:rsidRDefault="1C706D4C"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2850" w:type="dxa"/>
            <w:tcBorders>
              <w:top w:val="nil"/>
              <w:left w:val="nil"/>
              <w:bottom w:val="nil"/>
              <w:right w:val="nil"/>
            </w:tcBorders>
            <w:shd w:val="clear" w:color="auto" w:fill="D9E1F2"/>
            <w:tcMar>
              <w:top w:w="15" w:type="dxa"/>
              <w:left w:w="15" w:type="dxa"/>
              <w:right w:w="15" w:type="dxa"/>
            </w:tcMar>
            <w:vAlign w:val="bottom"/>
          </w:tcPr>
          <w:p w14:paraId="6394F437" w14:textId="74640D5B"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1673" w:type="dxa"/>
            <w:tcBorders>
              <w:top w:val="nil"/>
              <w:left w:val="nil"/>
              <w:bottom w:val="nil"/>
              <w:right w:val="nil"/>
            </w:tcBorders>
            <w:shd w:val="clear" w:color="auto" w:fill="D9E1F2"/>
            <w:tcMar>
              <w:top w:w="15" w:type="dxa"/>
              <w:left w:w="15" w:type="dxa"/>
              <w:right w:w="15" w:type="dxa"/>
            </w:tcMar>
            <w:vAlign w:val="bottom"/>
          </w:tcPr>
          <w:p w14:paraId="1E773FA9" w14:textId="398599EF"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29701786" w14:textId="77777777" w:rsidTr="449377F1">
        <w:trPr>
          <w:trHeight w:val="300"/>
          <w:jc w:val="center"/>
        </w:trPr>
        <w:tc>
          <w:tcPr>
            <w:tcW w:w="4080" w:type="dxa"/>
            <w:tcBorders>
              <w:top w:val="nil"/>
              <w:left w:val="nil"/>
              <w:bottom w:val="nil"/>
              <w:right w:val="nil"/>
            </w:tcBorders>
            <w:tcMar>
              <w:top w:w="15" w:type="dxa"/>
              <w:left w:w="15" w:type="dxa"/>
              <w:right w:w="15" w:type="dxa"/>
            </w:tcMar>
            <w:vAlign w:val="bottom"/>
          </w:tcPr>
          <w:p w14:paraId="3A110124" w14:textId="1EA88E51"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2850" w:type="dxa"/>
            <w:tcBorders>
              <w:top w:val="nil"/>
              <w:left w:val="nil"/>
              <w:bottom w:val="nil"/>
              <w:right w:val="nil"/>
            </w:tcBorders>
            <w:tcMar>
              <w:top w:w="15" w:type="dxa"/>
              <w:left w:w="15" w:type="dxa"/>
              <w:right w:w="15" w:type="dxa"/>
            </w:tcMar>
            <w:vAlign w:val="bottom"/>
          </w:tcPr>
          <w:p w14:paraId="2C0E4D99" w14:textId="7DADC6F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$14.564.046.769 </w:t>
            </w:r>
          </w:p>
        </w:tc>
        <w:tc>
          <w:tcPr>
            <w:tcW w:w="1673" w:type="dxa"/>
            <w:tcBorders>
              <w:top w:val="nil"/>
              <w:left w:val="nil"/>
              <w:bottom w:val="nil"/>
              <w:right w:val="nil"/>
            </w:tcBorders>
            <w:tcMar>
              <w:top w:w="15" w:type="dxa"/>
              <w:left w:w="15" w:type="dxa"/>
              <w:right w:w="15" w:type="dxa"/>
            </w:tcMar>
            <w:vAlign w:val="bottom"/>
          </w:tcPr>
          <w:p w14:paraId="4FB7AAA5" w14:textId="43BB2E4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25</w:t>
            </w:r>
          </w:p>
        </w:tc>
      </w:tr>
      <w:tr w:rsidR="3BCD5C0E" w14:paraId="5B838E9F"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5FEF231C" w14:textId="5A4272D1"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850" w:type="dxa"/>
            <w:tcBorders>
              <w:top w:val="nil"/>
              <w:left w:val="nil"/>
              <w:bottom w:val="nil"/>
              <w:right w:val="nil"/>
            </w:tcBorders>
            <w:tcMar>
              <w:top w:w="15" w:type="dxa"/>
              <w:left w:w="15" w:type="dxa"/>
              <w:right w:w="15" w:type="dxa"/>
            </w:tcMar>
            <w:vAlign w:val="bottom"/>
          </w:tcPr>
          <w:p w14:paraId="50532F90" w14:textId="0C117A2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$571.404.457 </w:t>
            </w:r>
          </w:p>
        </w:tc>
        <w:tc>
          <w:tcPr>
            <w:tcW w:w="1673" w:type="dxa"/>
            <w:tcBorders>
              <w:top w:val="nil"/>
              <w:left w:val="nil"/>
              <w:bottom w:val="nil"/>
              <w:right w:val="nil"/>
            </w:tcBorders>
            <w:tcMar>
              <w:top w:w="15" w:type="dxa"/>
              <w:left w:w="15" w:type="dxa"/>
              <w:right w:w="15" w:type="dxa"/>
            </w:tcMar>
            <w:vAlign w:val="bottom"/>
          </w:tcPr>
          <w:p w14:paraId="7CFAF09B" w14:textId="18456C2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w:t>
            </w:r>
          </w:p>
        </w:tc>
      </w:tr>
      <w:tr w:rsidR="3BCD5C0E" w14:paraId="4531916F"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51E030CD" w14:textId="41806667"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850" w:type="dxa"/>
            <w:tcBorders>
              <w:top w:val="nil"/>
              <w:left w:val="nil"/>
              <w:bottom w:val="nil"/>
              <w:right w:val="nil"/>
            </w:tcBorders>
            <w:tcMar>
              <w:top w:w="15" w:type="dxa"/>
              <w:left w:w="15" w:type="dxa"/>
              <w:right w:w="15" w:type="dxa"/>
            </w:tcMar>
            <w:vAlign w:val="bottom"/>
          </w:tcPr>
          <w:p w14:paraId="07243863" w14:textId="0C7FC24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$13.712.670.122 </w:t>
            </w:r>
          </w:p>
        </w:tc>
        <w:tc>
          <w:tcPr>
            <w:tcW w:w="1673" w:type="dxa"/>
            <w:tcBorders>
              <w:top w:val="nil"/>
              <w:left w:val="nil"/>
              <w:bottom w:val="nil"/>
              <w:right w:val="nil"/>
            </w:tcBorders>
            <w:tcMar>
              <w:top w:w="15" w:type="dxa"/>
              <w:left w:w="15" w:type="dxa"/>
              <w:right w:w="15" w:type="dxa"/>
            </w:tcMar>
            <w:vAlign w:val="bottom"/>
          </w:tcPr>
          <w:p w14:paraId="044BE74A" w14:textId="48AD040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20</w:t>
            </w:r>
          </w:p>
        </w:tc>
      </w:tr>
      <w:tr w:rsidR="3BCD5C0E" w14:paraId="688B0DEC"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439CCC4D" w14:textId="59FF89A3"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850" w:type="dxa"/>
            <w:tcBorders>
              <w:top w:val="nil"/>
              <w:left w:val="nil"/>
              <w:bottom w:val="nil"/>
              <w:right w:val="nil"/>
            </w:tcBorders>
            <w:tcMar>
              <w:top w:w="15" w:type="dxa"/>
              <w:left w:w="15" w:type="dxa"/>
              <w:right w:w="15" w:type="dxa"/>
            </w:tcMar>
            <w:vAlign w:val="bottom"/>
          </w:tcPr>
          <w:p w14:paraId="4ECAFA73" w14:textId="3B57A52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$279.972.190 </w:t>
            </w:r>
          </w:p>
        </w:tc>
        <w:tc>
          <w:tcPr>
            <w:tcW w:w="1673" w:type="dxa"/>
            <w:tcBorders>
              <w:top w:val="nil"/>
              <w:left w:val="nil"/>
              <w:bottom w:val="nil"/>
              <w:right w:val="nil"/>
            </w:tcBorders>
            <w:tcMar>
              <w:top w:w="15" w:type="dxa"/>
              <w:left w:w="15" w:type="dxa"/>
              <w:right w:w="15" w:type="dxa"/>
            </w:tcMar>
            <w:vAlign w:val="bottom"/>
          </w:tcPr>
          <w:p w14:paraId="456CEC05" w14:textId="50321D2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659B3690" w14:textId="77777777" w:rsidTr="449377F1">
        <w:trPr>
          <w:trHeight w:val="300"/>
          <w:jc w:val="center"/>
        </w:trPr>
        <w:tc>
          <w:tcPr>
            <w:tcW w:w="4080" w:type="dxa"/>
            <w:tcBorders>
              <w:top w:val="nil"/>
              <w:left w:val="nil"/>
              <w:bottom w:val="nil"/>
              <w:right w:val="nil"/>
            </w:tcBorders>
            <w:tcMar>
              <w:top w:w="15" w:type="dxa"/>
              <w:left w:w="15" w:type="dxa"/>
              <w:right w:w="15" w:type="dxa"/>
            </w:tcMar>
            <w:vAlign w:val="bottom"/>
          </w:tcPr>
          <w:p w14:paraId="30C0BFCF" w14:textId="34CDB093"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lastRenderedPageBreak/>
              <w:t>Contratación Mínima Cuantía</w:t>
            </w:r>
          </w:p>
        </w:tc>
        <w:tc>
          <w:tcPr>
            <w:tcW w:w="2850" w:type="dxa"/>
            <w:tcBorders>
              <w:top w:val="nil"/>
              <w:left w:val="nil"/>
              <w:bottom w:val="nil"/>
              <w:right w:val="nil"/>
            </w:tcBorders>
            <w:tcMar>
              <w:top w:w="15" w:type="dxa"/>
              <w:left w:w="15" w:type="dxa"/>
              <w:right w:w="15" w:type="dxa"/>
            </w:tcMar>
            <w:vAlign w:val="bottom"/>
          </w:tcPr>
          <w:p w14:paraId="385CBDCF" w14:textId="0AD511B8"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$94.101.987.697 </w:t>
            </w:r>
          </w:p>
        </w:tc>
        <w:tc>
          <w:tcPr>
            <w:tcW w:w="1673" w:type="dxa"/>
            <w:tcBorders>
              <w:top w:val="nil"/>
              <w:left w:val="nil"/>
              <w:bottom w:val="nil"/>
              <w:right w:val="nil"/>
            </w:tcBorders>
            <w:tcMar>
              <w:top w:w="15" w:type="dxa"/>
              <w:left w:w="15" w:type="dxa"/>
              <w:right w:w="15" w:type="dxa"/>
            </w:tcMar>
            <w:vAlign w:val="bottom"/>
          </w:tcPr>
          <w:p w14:paraId="4521A54C" w14:textId="0877D50C"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3256</w:t>
            </w:r>
          </w:p>
        </w:tc>
      </w:tr>
      <w:tr w:rsidR="3BCD5C0E" w14:paraId="7BF921ED"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5C10849A" w14:textId="2515D4AC"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850" w:type="dxa"/>
            <w:tcBorders>
              <w:top w:val="nil"/>
              <w:left w:val="nil"/>
              <w:bottom w:val="nil"/>
              <w:right w:val="nil"/>
            </w:tcBorders>
            <w:tcMar>
              <w:top w:w="15" w:type="dxa"/>
              <w:left w:w="15" w:type="dxa"/>
              <w:right w:w="15" w:type="dxa"/>
            </w:tcMar>
            <w:vAlign w:val="bottom"/>
          </w:tcPr>
          <w:p w14:paraId="228CC957" w14:textId="4721EB33"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$297.307.025 </w:t>
            </w:r>
          </w:p>
        </w:tc>
        <w:tc>
          <w:tcPr>
            <w:tcW w:w="1673" w:type="dxa"/>
            <w:tcBorders>
              <w:top w:val="nil"/>
              <w:left w:val="nil"/>
              <w:bottom w:val="nil"/>
              <w:right w:val="nil"/>
            </w:tcBorders>
            <w:tcMar>
              <w:top w:w="15" w:type="dxa"/>
              <w:left w:w="15" w:type="dxa"/>
              <w:right w:w="15" w:type="dxa"/>
            </w:tcMar>
            <w:vAlign w:val="bottom"/>
          </w:tcPr>
          <w:p w14:paraId="241D3342" w14:textId="1DBD2CD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w:t>
            </w:r>
          </w:p>
        </w:tc>
      </w:tr>
      <w:tr w:rsidR="3BCD5C0E" w14:paraId="0FCE6824"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4ACCE3E7" w14:textId="303382D3"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850" w:type="dxa"/>
            <w:tcBorders>
              <w:top w:val="nil"/>
              <w:left w:val="nil"/>
              <w:bottom w:val="nil"/>
              <w:right w:val="nil"/>
            </w:tcBorders>
            <w:tcMar>
              <w:top w:w="15" w:type="dxa"/>
              <w:left w:w="15" w:type="dxa"/>
              <w:right w:w="15" w:type="dxa"/>
            </w:tcMar>
            <w:vAlign w:val="bottom"/>
          </w:tcPr>
          <w:p w14:paraId="273F6677" w14:textId="1600E82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$300.478.678 </w:t>
            </w:r>
          </w:p>
        </w:tc>
        <w:tc>
          <w:tcPr>
            <w:tcW w:w="1673" w:type="dxa"/>
            <w:tcBorders>
              <w:top w:val="nil"/>
              <w:left w:val="nil"/>
              <w:bottom w:val="nil"/>
              <w:right w:val="nil"/>
            </w:tcBorders>
            <w:tcMar>
              <w:top w:w="15" w:type="dxa"/>
              <w:left w:w="15" w:type="dxa"/>
              <w:right w:w="15" w:type="dxa"/>
            </w:tcMar>
            <w:vAlign w:val="bottom"/>
          </w:tcPr>
          <w:p w14:paraId="6E0B2371" w14:textId="0C7D5F4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w:t>
            </w:r>
          </w:p>
        </w:tc>
      </w:tr>
      <w:tr w:rsidR="3BCD5C0E" w14:paraId="7DA7C713"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2955016A" w14:textId="5530BA16"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850" w:type="dxa"/>
            <w:tcBorders>
              <w:top w:val="nil"/>
              <w:left w:val="nil"/>
              <w:bottom w:val="nil"/>
              <w:right w:val="nil"/>
            </w:tcBorders>
            <w:tcMar>
              <w:top w:w="15" w:type="dxa"/>
              <w:left w:w="15" w:type="dxa"/>
              <w:right w:w="15" w:type="dxa"/>
            </w:tcMar>
            <w:vAlign w:val="bottom"/>
          </w:tcPr>
          <w:p w14:paraId="27B4F4B0" w14:textId="55D701F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$93.504.201.994 </w:t>
            </w:r>
          </w:p>
        </w:tc>
        <w:tc>
          <w:tcPr>
            <w:tcW w:w="1673" w:type="dxa"/>
            <w:tcBorders>
              <w:top w:val="nil"/>
              <w:left w:val="nil"/>
              <w:bottom w:val="nil"/>
              <w:right w:val="nil"/>
            </w:tcBorders>
            <w:tcMar>
              <w:top w:w="15" w:type="dxa"/>
              <w:left w:w="15" w:type="dxa"/>
              <w:right w:w="15" w:type="dxa"/>
            </w:tcMar>
            <w:vAlign w:val="bottom"/>
          </w:tcPr>
          <w:p w14:paraId="401890DD" w14:textId="310D8C8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3237</w:t>
            </w:r>
          </w:p>
        </w:tc>
      </w:tr>
      <w:tr w:rsidR="3BCD5C0E" w14:paraId="2FB58CBC" w14:textId="77777777" w:rsidTr="449377F1">
        <w:trPr>
          <w:trHeight w:val="300"/>
          <w:jc w:val="center"/>
        </w:trPr>
        <w:tc>
          <w:tcPr>
            <w:tcW w:w="4080" w:type="dxa"/>
            <w:tcBorders>
              <w:top w:val="nil"/>
              <w:left w:val="nil"/>
              <w:bottom w:val="nil"/>
              <w:right w:val="nil"/>
            </w:tcBorders>
            <w:tcMar>
              <w:top w:w="15" w:type="dxa"/>
              <w:left w:w="15" w:type="dxa"/>
              <w:right w:w="15" w:type="dxa"/>
            </w:tcMar>
            <w:vAlign w:val="bottom"/>
          </w:tcPr>
          <w:p w14:paraId="6E308331" w14:textId="51CCBA47"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Convenios dos Partes</w:t>
            </w:r>
          </w:p>
        </w:tc>
        <w:tc>
          <w:tcPr>
            <w:tcW w:w="2850" w:type="dxa"/>
            <w:tcBorders>
              <w:top w:val="nil"/>
              <w:left w:val="nil"/>
              <w:bottom w:val="nil"/>
              <w:right w:val="nil"/>
            </w:tcBorders>
            <w:tcMar>
              <w:top w:w="15" w:type="dxa"/>
              <w:left w:w="15" w:type="dxa"/>
              <w:right w:w="15" w:type="dxa"/>
            </w:tcMar>
            <w:vAlign w:val="bottom"/>
          </w:tcPr>
          <w:p w14:paraId="07648618" w14:textId="5F917D0B"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$14.739.067.978 </w:t>
            </w:r>
          </w:p>
        </w:tc>
        <w:tc>
          <w:tcPr>
            <w:tcW w:w="1673" w:type="dxa"/>
            <w:tcBorders>
              <w:top w:val="nil"/>
              <w:left w:val="nil"/>
              <w:bottom w:val="nil"/>
              <w:right w:val="nil"/>
            </w:tcBorders>
            <w:tcMar>
              <w:top w:w="15" w:type="dxa"/>
              <w:left w:w="15" w:type="dxa"/>
              <w:right w:w="15" w:type="dxa"/>
            </w:tcMar>
            <w:vAlign w:val="bottom"/>
          </w:tcPr>
          <w:p w14:paraId="7036B681" w14:textId="409A281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w:t>
            </w:r>
          </w:p>
        </w:tc>
      </w:tr>
      <w:tr w:rsidR="3BCD5C0E" w14:paraId="36E757CA"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03C547A1" w14:textId="03DE9BFF"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850" w:type="dxa"/>
            <w:tcBorders>
              <w:top w:val="nil"/>
              <w:left w:val="nil"/>
              <w:bottom w:val="nil"/>
              <w:right w:val="nil"/>
            </w:tcBorders>
            <w:tcMar>
              <w:top w:w="15" w:type="dxa"/>
              <w:left w:w="15" w:type="dxa"/>
              <w:right w:w="15" w:type="dxa"/>
            </w:tcMar>
            <w:vAlign w:val="bottom"/>
          </w:tcPr>
          <w:p w14:paraId="171F779C" w14:textId="2F40396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$14.739.067.978 </w:t>
            </w:r>
          </w:p>
        </w:tc>
        <w:tc>
          <w:tcPr>
            <w:tcW w:w="1673" w:type="dxa"/>
            <w:tcBorders>
              <w:top w:val="nil"/>
              <w:left w:val="nil"/>
              <w:bottom w:val="nil"/>
              <w:right w:val="nil"/>
            </w:tcBorders>
            <w:tcMar>
              <w:top w:w="15" w:type="dxa"/>
              <w:left w:w="15" w:type="dxa"/>
              <w:right w:w="15" w:type="dxa"/>
            </w:tcMar>
            <w:vAlign w:val="bottom"/>
          </w:tcPr>
          <w:p w14:paraId="26061B83" w14:textId="5EB25BE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w:t>
            </w:r>
          </w:p>
        </w:tc>
      </w:tr>
      <w:tr w:rsidR="3BCD5C0E" w14:paraId="3F66474C" w14:textId="77777777" w:rsidTr="449377F1">
        <w:trPr>
          <w:trHeight w:val="300"/>
          <w:jc w:val="center"/>
        </w:trPr>
        <w:tc>
          <w:tcPr>
            <w:tcW w:w="4080" w:type="dxa"/>
            <w:tcBorders>
              <w:top w:val="nil"/>
              <w:left w:val="nil"/>
              <w:bottom w:val="nil"/>
              <w:right w:val="nil"/>
            </w:tcBorders>
            <w:tcMar>
              <w:top w:w="15" w:type="dxa"/>
              <w:left w:w="15" w:type="dxa"/>
              <w:right w:w="15" w:type="dxa"/>
            </w:tcMar>
            <w:vAlign w:val="bottom"/>
          </w:tcPr>
          <w:p w14:paraId="60624DAB" w14:textId="1B87A520"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2850" w:type="dxa"/>
            <w:tcBorders>
              <w:top w:val="nil"/>
              <w:left w:val="nil"/>
              <w:bottom w:val="nil"/>
              <w:right w:val="nil"/>
            </w:tcBorders>
            <w:tcMar>
              <w:top w:w="15" w:type="dxa"/>
              <w:left w:w="15" w:type="dxa"/>
              <w:right w:w="15" w:type="dxa"/>
            </w:tcMar>
            <w:vAlign w:val="bottom"/>
          </w:tcPr>
          <w:p w14:paraId="066ECEB1" w14:textId="57D2972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$3.827.633.993.967 </w:t>
            </w:r>
          </w:p>
        </w:tc>
        <w:tc>
          <w:tcPr>
            <w:tcW w:w="1673" w:type="dxa"/>
            <w:tcBorders>
              <w:top w:val="nil"/>
              <w:left w:val="nil"/>
              <w:bottom w:val="nil"/>
              <w:right w:val="nil"/>
            </w:tcBorders>
            <w:tcMar>
              <w:top w:w="15" w:type="dxa"/>
              <w:left w:w="15" w:type="dxa"/>
              <w:right w:w="15" w:type="dxa"/>
            </w:tcMar>
            <w:vAlign w:val="bottom"/>
          </w:tcPr>
          <w:p w14:paraId="30161C73" w14:textId="3FBA4E0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1061</w:t>
            </w:r>
          </w:p>
        </w:tc>
      </w:tr>
      <w:tr w:rsidR="3BCD5C0E" w14:paraId="7E932BEE"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5ECCE207" w14:textId="645FF560"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850" w:type="dxa"/>
            <w:tcBorders>
              <w:top w:val="nil"/>
              <w:left w:val="nil"/>
              <w:bottom w:val="nil"/>
              <w:right w:val="nil"/>
            </w:tcBorders>
            <w:tcMar>
              <w:top w:w="15" w:type="dxa"/>
              <w:left w:w="15" w:type="dxa"/>
              <w:right w:w="15" w:type="dxa"/>
            </w:tcMar>
            <w:vAlign w:val="bottom"/>
          </w:tcPr>
          <w:p w14:paraId="1FABB797" w14:textId="311C696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$1.223.643.539 </w:t>
            </w:r>
          </w:p>
        </w:tc>
        <w:tc>
          <w:tcPr>
            <w:tcW w:w="1673" w:type="dxa"/>
            <w:tcBorders>
              <w:top w:val="nil"/>
              <w:left w:val="nil"/>
              <w:bottom w:val="nil"/>
              <w:right w:val="nil"/>
            </w:tcBorders>
            <w:tcMar>
              <w:top w:w="15" w:type="dxa"/>
              <w:left w:w="15" w:type="dxa"/>
              <w:right w:w="15" w:type="dxa"/>
            </w:tcMar>
            <w:vAlign w:val="bottom"/>
          </w:tcPr>
          <w:p w14:paraId="2D87B9A1" w14:textId="05850CA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2A48D7D8"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4137A1DD" w14:textId="5451C58A"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850" w:type="dxa"/>
            <w:tcBorders>
              <w:top w:val="nil"/>
              <w:left w:val="nil"/>
              <w:bottom w:val="nil"/>
              <w:right w:val="nil"/>
            </w:tcBorders>
            <w:tcMar>
              <w:top w:w="15" w:type="dxa"/>
              <w:left w:w="15" w:type="dxa"/>
              <w:right w:w="15" w:type="dxa"/>
            </w:tcMar>
            <w:vAlign w:val="bottom"/>
          </w:tcPr>
          <w:p w14:paraId="01C94691" w14:textId="2AF3F31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$3.826.410.350.428 </w:t>
            </w:r>
          </w:p>
        </w:tc>
        <w:tc>
          <w:tcPr>
            <w:tcW w:w="1673" w:type="dxa"/>
            <w:tcBorders>
              <w:top w:val="nil"/>
              <w:left w:val="nil"/>
              <w:bottom w:val="nil"/>
              <w:right w:val="nil"/>
            </w:tcBorders>
            <w:tcMar>
              <w:top w:w="15" w:type="dxa"/>
              <w:left w:w="15" w:type="dxa"/>
              <w:right w:w="15" w:type="dxa"/>
            </w:tcMar>
            <w:vAlign w:val="bottom"/>
          </w:tcPr>
          <w:p w14:paraId="7F6BBE34" w14:textId="7A01E05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1060</w:t>
            </w:r>
          </w:p>
        </w:tc>
      </w:tr>
      <w:tr w:rsidR="3BCD5C0E" w14:paraId="58151F19" w14:textId="77777777" w:rsidTr="449377F1">
        <w:trPr>
          <w:trHeight w:val="300"/>
          <w:jc w:val="center"/>
        </w:trPr>
        <w:tc>
          <w:tcPr>
            <w:tcW w:w="4080" w:type="dxa"/>
            <w:tcBorders>
              <w:top w:val="nil"/>
              <w:left w:val="nil"/>
              <w:bottom w:val="nil"/>
              <w:right w:val="nil"/>
            </w:tcBorders>
            <w:tcMar>
              <w:top w:w="15" w:type="dxa"/>
              <w:left w:w="15" w:type="dxa"/>
              <w:right w:w="15" w:type="dxa"/>
            </w:tcMar>
            <w:vAlign w:val="bottom"/>
          </w:tcPr>
          <w:p w14:paraId="394EAF8F" w14:textId="5CD755A4"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2850" w:type="dxa"/>
            <w:tcBorders>
              <w:top w:val="nil"/>
              <w:left w:val="nil"/>
              <w:bottom w:val="nil"/>
              <w:right w:val="nil"/>
            </w:tcBorders>
            <w:tcMar>
              <w:top w:w="15" w:type="dxa"/>
              <w:left w:w="15" w:type="dxa"/>
              <w:right w:w="15" w:type="dxa"/>
            </w:tcMar>
            <w:vAlign w:val="bottom"/>
          </w:tcPr>
          <w:p w14:paraId="2A10C0B9" w14:textId="3BB6FDE4"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$615.219.004.139 </w:t>
            </w:r>
          </w:p>
        </w:tc>
        <w:tc>
          <w:tcPr>
            <w:tcW w:w="1673" w:type="dxa"/>
            <w:tcBorders>
              <w:top w:val="nil"/>
              <w:left w:val="nil"/>
              <w:bottom w:val="nil"/>
              <w:right w:val="nil"/>
            </w:tcBorders>
            <w:tcMar>
              <w:top w:w="15" w:type="dxa"/>
              <w:left w:w="15" w:type="dxa"/>
              <w:right w:w="15" w:type="dxa"/>
            </w:tcMar>
            <w:vAlign w:val="bottom"/>
          </w:tcPr>
          <w:p w14:paraId="2C039F90" w14:textId="0BAE6DD5"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2731</w:t>
            </w:r>
          </w:p>
        </w:tc>
      </w:tr>
      <w:tr w:rsidR="3BCD5C0E" w14:paraId="506D3D44" w14:textId="77777777" w:rsidTr="449377F1">
        <w:trPr>
          <w:trHeight w:val="300"/>
          <w:jc w:val="center"/>
        </w:trPr>
        <w:tc>
          <w:tcPr>
            <w:tcW w:w="4080" w:type="dxa"/>
            <w:tcBorders>
              <w:top w:val="nil"/>
              <w:left w:val="nil"/>
              <w:bottom w:val="nil"/>
              <w:right w:val="nil"/>
            </w:tcBorders>
            <w:tcMar>
              <w:top w:w="15" w:type="dxa"/>
              <w:left w:w="135" w:type="dxa"/>
              <w:right w:w="15" w:type="dxa"/>
            </w:tcMar>
            <w:vAlign w:val="bottom"/>
          </w:tcPr>
          <w:p w14:paraId="39C2764A" w14:textId="4EF6BA65"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850" w:type="dxa"/>
            <w:tcBorders>
              <w:top w:val="nil"/>
              <w:left w:val="nil"/>
              <w:bottom w:val="nil"/>
              <w:right w:val="nil"/>
            </w:tcBorders>
            <w:tcMar>
              <w:top w:w="15" w:type="dxa"/>
              <w:left w:w="15" w:type="dxa"/>
              <w:right w:w="15" w:type="dxa"/>
            </w:tcMar>
            <w:vAlign w:val="bottom"/>
          </w:tcPr>
          <w:p w14:paraId="0F3B62D5" w14:textId="788EA26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$615.219.004.139 </w:t>
            </w:r>
          </w:p>
        </w:tc>
        <w:tc>
          <w:tcPr>
            <w:tcW w:w="1673" w:type="dxa"/>
            <w:tcBorders>
              <w:top w:val="nil"/>
              <w:left w:val="nil"/>
              <w:bottom w:val="nil"/>
              <w:right w:val="nil"/>
            </w:tcBorders>
            <w:tcMar>
              <w:top w:w="15" w:type="dxa"/>
              <w:left w:w="15" w:type="dxa"/>
              <w:right w:w="15" w:type="dxa"/>
            </w:tcMar>
            <w:vAlign w:val="bottom"/>
          </w:tcPr>
          <w:p w14:paraId="00E50426" w14:textId="3B85B07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2731</w:t>
            </w:r>
          </w:p>
        </w:tc>
      </w:tr>
      <w:tr w:rsidR="3BCD5C0E" w14:paraId="22AB7956" w14:textId="77777777" w:rsidTr="449377F1">
        <w:trPr>
          <w:trHeight w:val="300"/>
          <w:jc w:val="center"/>
        </w:trPr>
        <w:tc>
          <w:tcPr>
            <w:tcW w:w="4080" w:type="dxa"/>
            <w:tcBorders>
              <w:top w:val="nil"/>
              <w:left w:val="nil"/>
              <w:bottom w:val="nil"/>
              <w:right w:val="nil"/>
            </w:tcBorders>
            <w:shd w:val="clear" w:color="auto" w:fill="D9E1F2"/>
            <w:tcMar>
              <w:top w:w="15" w:type="dxa"/>
              <w:left w:w="15" w:type="dxa"/>
              <w:right w:w="15" w:type="dxa"/>
            </w:tcMar>
            <w:vAlign w:val="bottom"/>
          </w:tcPr>
          <w:p w14:paraId="04EB5466" w14:textId="3FC82C8E"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850" w:type="dxa"/>
            <w:tcBorders>
              <w:top w:val="nil"/>
              <w:left w:val="nil"/>
              <w:bottom w:val="nil"/>
              <w:right w:val="nil"/>
            </w:tcBorders>
            <w:shd w:val="clear" w:color="auto" w:fill="D9E1F2"/>
            <w:tcMar>
              <w:top w:w="15" w:type="dxa"/>
              <w:left w:w="15" w:type="dxa"/>
              <w:right w:w="15" w:type="dxa"/>
            </w:tcMar>
            <w:vAlign w:val="bottom"/>
          </w:tcPr>
          <w:p w14:paraId="443222F6" w14:textId="6A9E3AF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$4.566.258.100.550 </w:t>
            </w:r>
          </w:p>
        </w:tc>
        <w:tc>
          <w:tcPr>
            <w:tcW w:w="1673" w:type="dxa"/>
            <w:tcBorders>
              <w:top w:val="nil"/>
              <w:left w:val="nil"/>
              <w:bottom w:val="nil"/>
              <w:right w:val="nil"/>
            </w:tcBorders>
            <w:shd w:val="clear" w:color="auto" w:fill="D9E1F2"/>
            <w:tcMar>
              <w:top w:w="15" w:type="dxa"/>
              <w:left w:w="15" w:type="dxa"/>
              <w:right w:w="15" w:type="dxa"/>
            </w:tcMar>
            <w:vAlign w:val="bottom"/>
          </w:tcPr>
          <w:p w14:paraId="7C25732F" w14:textId="5C7A675B"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7080</w:t>
            </w:r>
          </w:p>
        </w:tc>
      </w:tr>
    </w:tbl>
    <w:p w14:paraId="6E016F92" w14:textId="6E833D92"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2364"/>
        <w:gridCol w:w="2715"/>
        <w:gridCol w:w="2630"/>
      </w:tblGrid>
      <w:tr w:rsidR="3BCD5C0E" w14:paraId="1974D0C1" w14:textId="77777777" w:rsidTr="449377F1">
        <w:trPr>
          <w:trHeight w:val="300"/>
          <w:jc w:val="center"/>
        </w:trPr>
        <w:tc>
          <w:tcPr>
            <w:tcW w:w="2364" w:type="dxa"/>
            <w:tcBorders>
              <w:top w:val="nil"/>
              <w:left w:val="nil"/>
              <w:bottom w:val="nil"/>
              <w:right w:val="nil"/>
            </w:tcBorders>
            <w:shd w:val="clear" w:color="auto" w:fill="D9E1F2"/>
            <w:tcMar>
              <w:top w:w="15" w:type="dxa"/>
              <w:left w:w="15" w:type="dxa"/>
              <w:right w:w="15" w:type="dxa"/>
            </w:tcMar>
            <w:vAlign w:val="bottom"/>
          </w:tcPr>
          <w:p w14:paraId="7C45CCF6" w14:textId="7FD90788" w:rsidR="594A3652" w:rsidRDefault="2C122A4E"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2715" w:type="dxa"/>
            <w:tcBorders>
              <w:top w:val="nil"/>
              <w:left w:val="nil"/>
              <w:bottom w:val="nil"/>
              <w:right w:val="nil"/>
            </w:tcBorders>
            <w:shd w:val="clear" w:color="auto" w:fill="D9E1F2"/>
            <w:tcMar>
              <w:top w:w="15" w:type="dxa"/>
              <w:left w:w="15" w:type="dxa"/>
              <w:right w:w="15" w:type="dxa"/>
            </w:tcMar>
            <w:vAlign w:val="bottom"/>
          </w:tcPr>
          <w:p w14:paraId="343A2D3F" w14:textId="24DE857D"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630" w:type="dxa"/>
            <w:tcBorders>
              <w:top w:val="nil"/>
              <w:left w:val="nil"/>
              <w:bottom w:val="nil"/>
              <w:right w:val="nil"/>
            </w:tcBorders>
            <w:shd w:val="clear" w:color="auto" w:fill="D9E1F2"/>
            <w:tcMar>
              <w:top w:w="15" w:type="dxa"/>
              <w:left w:w="15" w:type="dxa"/>
              <w:right w:w="15" w:type="dxa"/>
            </w:tcMar>
            <w:vAlign w:val="bottom"/>
          </w:tcPr>
          <w:p w14:paraId="61B2566C" w14:textId="106C9463"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2687D88A"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72B22BD2" w14:textId="6022E6D1"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715" w:type="dxa"/>
            <w:tcBorders>
              <w:top w:val="nil"/>
              <w:left w:val="nil"/>
              <w:bottom w:val="nil"/>
              <w:right w:val="nil"/>
            </w:tcBorders>
            <w:tcMar>
              <w:top w:w="15" w:type="dxa"/>
              <w:left w:w="15" w:type="dxa"/>
              <w:right w:w="15" w:type="dxa"/>
            </w:tcMar>
            <w:vAlign w:val="bottom"/>
          </w:tcPr>
          <w:p w14:paraId="5AAB3B86" w14:textId="48DAD36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$868.711.482 </w:t>
            </w:r>
          </w:p>
        </w:tc>
        <w:tc>
          <w:tcPr>
            <w:tcW w:w="2630" w:type="dxa"/>
            <w:tcBorders>
              <w:top w:val="nil"/>
              <w:left w:val="nil"/>
              <w:bottom w:val="nil"/>
              <w:right w:val="nil"/>
            </w:tcBorders>
            <w:tcMar>
              <w:top w:w="15" w:type="dxa"/>
              <w:left w:w="15" w:type="dxa"/>
              <w:right w:w="15" w:type="dxa"/>
            </w:tcMar>
            <w:vAlign w:val="bottom"/>
          </w:tcPr>
          <w:p w14:paraId="1FC242DF" w14:textId="326EE47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14</w:t>
            </w:r>
          </w:p>
        </w:tc>
      </w:tr>
      <w:tr w:rsidR="3BCD5C0E" w14:paraId="0078B280"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447CEDD7" w14:textId="1599F081"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715" w:type="dxa"/>
            <w:tcBorders>
              <w:top w:val="nil"/>
              <w:left w:val="nil"/>
              <w:bottom w:val="nil"/>
              <w:right w:val="nil"/>
            </w:tcBorders>
            <w:tcMar>
              <w:top w:w="15" w:type="dxa"/>
              <w:left w:w="15" w:type="dxa"/>
              <w:right w:w="15" w:type="dxa"/>
            </w:tcMar>
            <w:vAlign w:val="bottom"/>
          </w:tcPr>
          <w:p w14:paraId="1B65DA0B" w14:textId="3770445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$15.236.792.339 </w:t>
            </w:r>
          </w:p>
        </w:tc>
        <w:tc>
          <w:tcPr>
            <w:tcW w:w="2630" w:type="dxa"/>
            <w:tcBorders>
              <w:top w:val="nil"/>
              <w:left w:val="nil"/>
              <w:bottom w:val="nil"/>
              <w:right w:val="nil"/>
            </w:tcBorders>
            <w:tcMar>
              <w:top w:w="15" w:type="dxa"/>
              <w:left w:w="15" w:type="dxa"/>
              <w:right w:w="15" w:type="dxa"/>
            </w:tcMar>
            <w:vAlign w:val="bottom"/>
          </w:tcPr>
          <w:p w14:paraId="15CAEC75" w14:textId="78150B7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30</w:t>
            </w:r>
          </w:p>
        </w:tc>
      </w:tr>
      <w:tr w:rsidR="3BCD5C0E" w14:paraId="352CAC28" w14:textId="77777777" w:rsidTr="449377F1">
        <w:trPr>
          <w:trHeight w:val="300"/>
          <w:jc w:val="center"/>
        </w:trPr>
        <w:tc>
          <w:tcPr>
            <w:tcW w:w="2364" w:type="dxa"/>
            <w:tcBorders>
              <w:top w:val="nil"/>
              <w:left w:val="nil"/>
              <w:bottom w:val="nil"/>
              <w:right w:val="nil"/>
            </w:tcBorders>
            <w:tcMar>
              <w:top w:w="15" w:type="dxa"/>
              <w:left w:w="15" w:type="dxa"/>
              <w:right w:w="15" w:type="dxa"/>
            </w:tcMar>
            <w:vAlign w:val="bottom"/>
          </w:tcPr>
          <w:p w14:paraId="485E44E7" w14:textId="47341AC1"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715" w:type="dxa"/>
            <w:tcBorders>
              <w:top w:val="nil"/>
              <w:left w:val="nil"/>
              <w:bottom w:val="nil"/>
              <w:right w:val="nil"/>
            </w:tcBorders>
            <w:tcMar>
              <w:top w:w="15" w:type="dxa"/>
              <w:left w:w="15" w:type="dxa"/>
              <w:right w:w="15" w:type="dxa"/>
            </w:tcMar>
            <w:vAlign w:val="bottom"/>
          </w:tcPr>
          <w:p w14:paraId="0B358AEB" w14:textId="3F96F7C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$4.550.152.596.729 </w:t>
            </w:r>
          </w:p>
        </w:tc>
        <w:tc>
          <w:tcPr>
            <w:tcW w:w="2630" w:type="dxa"/>
            <w:tcBorders>
              <w:top w:val="nil"/>
              <w:left w:val="nil"/>
              <w:bottom w:val="nil"/>
              <w:right w:val="nil"/>
            </w:tcBorders>
            <w:tcMar>
              <w:top w:w="15" w:type="dxa"/>
              <w:left w:w="15" w:type="dxa"/>
              <w:right w:w="15" w:type="dxa"/>
            </w:tcMar>
            <w:vAlign w:val="bottom"/>
          </w:tcPr>
          <w:p w14:paraId="6CCBEAD2" w14:textId="302EC94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7036</w:t>
            </w:r>
          </w:p>
        </w:tc>
      </w:tr>
      <w:tr w:rsidR="3BCD5C0E" w14:paraId="43611EEC" w14:textId="77777777" w:rsidTr="449377F1">
        <w:trPr>
          <w:trHeight w:val="300"/>
          <w:jc w:val="center"/>
        </w:trPr>
        <w:tc>
          <w:tcPr>
            <w:tcW w:w="2364" w:type="dxa"/>
            <w:tcBorders>
              <w:top w:val="nil"/>
              <w:left w:val="nil"/>
              <w:bottom w:val="nil"/>
              <w:right w:val="nil"/>
            </w:tcBorders>
            <w:shd w:val="clear" w:color="auto" w:fill="D9E1F2"/>
            <w:tcMar>
              <w:top w:w="15" w:type="dxa"/>
              <w:left w:w="15" w:type="dxa"/>
              <w:right w:w="15" w:type="dxa"/>
            </w:tcMar>
            <w:vAlign w:val="bottom"/>
          </w:tcPr>
          <w:p w14:paraId="02486D14" w14:textId="4FAFF3AF"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715" w:type="dxa"/>
            <w:tcBorders>
              <w:top w:val="nil"/>
              <w:left w:val="nil"/>
              <w:bottom w:val="nil"/>
              <w:right w:val="nil"/>
            </w:tcBorders>
            <w:shd w:val="clear" w:color="auto" w:fill="D9E1F2"/>
            <w:tcMar>
              <w:top w:w="15" w:type="dxa"/>
              <w:left w:w="15" w:type="dxa"/>
              <w:right w:w="15" w:type="dxa"/>
            </w:tcMar>
            <w:vAlign w:val="bottom"/>
          </w:tcPr>
          <w:p w14:paraId="3B36285F" w14:textId="08BAF37A"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$4.566.258.100.550 </w:t>
            </w:r>
          </w:p>
        </w:tc>
        <w:tc>
          <w:tcPr>
            <w:tcW w:w="2630" w:type="dxa"/>
            <w:tcBorders>
              <w:top w:val="nil"/>
              <w:left w:val="nil"/>
              <w:bottom w:val="nil"/>
              <w:right w:val="nil"/>
            </w:tcBorders>
            <w:shd w:val="clear" w:color="auto" w:fill="D9E1F2"/>
            <w:tcMar>
              <w:top w:w="15" w:type="dxa"/>
              <w:left w:w="15" w:type="dxa"/>
              <w:right w:w="15" w:type="dxa"/>
            </w:tcMar>
            <w:vAlign w:val="bottom"/>
          </w:tcPr>
          <w:p w14:paraId="0430B66A" w14:textId="3B8BB09A"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7080</w:t>
            </w:r>
          </w:p>
        </w:tc>
      </w:tr>
    </w:tbl>
    <w:p w14:paraId="71667C71" w14:textId="7AC4BBFF" w:rsidR="3BCD5C0E" w:rsidRDefault="3BCD5C0E" w:rsidP="449377F1">
      <w:pPr>
        <w:jc w:val="center"/>
        <w:rPr>
          <w:rFonts w:ascii="Verdana Pro" w:eastAsia="Verdana Pro" w:hAnsi="Verdana Pro" w:cs="Verdana Pro"/>
          <w:color w:val="242424"/>
          <w:sz w:val="22"/>
          <w:szCs w:val="22"/>
        </w:rPr>
      </w:pPr>
    </w:p>
    <w:p w14:paraId="46E5969E" w14:textId="1829646F" w:rsidR="5B510B98" w:rsidRDefault="4850588D" w:rsidP="3BCD5C0E">
      <w:pPr>
        <w:jc w:val="center"/>
        <w:rPr>
          <w:rFonts w:ascii="Verdana Pro" w:eastAsia="Verdana Pro" w:hAnsi="Verdana Pro" w:cs="Verdana Pro"/>
        </w:rPr>
      </w:pPr>
      <w:r>
        <w:rPr>
          <w:noProof/>
        </w:rPr>
        <w:drawing>
          <wp:inline distT="0" distB="0" distL="0" distR="0" wp14:anchorId="64130DDC" wp14:editId="397EDD1A">
            <wp:extent cx="5191126" cy="2790825"/>
            <wp:effectExtent l="0" t="0" r="0" b="0"/>
            <wp:docPr id="476604686" name="Picture 47660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191126" cy="2790825"/>
                    </a:xfrm>
                    <a:prstGeom prst="rect">
                      <a:avLst/>
                    </a:prstGeom>
                  </pic:spPr>
                </pic:pic>
              </a:graphicData>
            </a:graphic>
          </wp:inline>
        </w:drawing>
      </w:r>
    </w:p>
    <w:p w14:paraId="449D4E72" w14:textId="27456212" w:rsidR="3BCD5C0E" w:rsidRDefault="3BCD5C0E" w:rsidP="449377F1">
      <w:pPr>
        <w:jc w:val="center"/>
        <w:rPr>
          <w:rFonts w:ascii="Verdana Pro" w:eastAsia="Verdana Pro" w:hAnsi="Verdana Pro" w:cs="Verdana Pro"/>
          <w:b/>
          <w:bCs/>
          <w:color w:val="242424"/>
        </w:rPr>
      </w:pPr>
    </w:p>
    <w:p w14:paraId="1F0855E8" w14:textId="538760F3" w:rsidR="5B510B98" w:rsidRDefault="0112AFAD" w:rsidP="449377F1">
      <w:pPr>
        <w:jc w:val="center"/>
        <w:rPr>
          <w:rFonts w:ascii="Verdana Pro" w:eastAsia="Verdana Pro" w:hAnsi="Verdana Pro" w:cs="Verdana Pro"/>
          <w:b/>
          <w:bCs/>
          <w:color w:val="242424"/>
        </w:rPr>
      </w:pPr>
      <w:r w:rsidRPr="449377F1">
        <w:rPr>
          <w:rFonts w:ascii="Verdana Pro" w:eastAsia="Verdana Pro" w:hAnsi="Verdana Pro" w:cs="Verdana Pro"/>
          <w:b/>
          <w:bCs/>
          <w:color w:val="242424"/>
          <w:sz w:val="28"/>
          <w:szCs w:val="28"/>
        </w:rPr>
        <w:lastRenderedPageBreak/>
        <w:t xml:space="preserve">Datos detallados del Sector </w:t>
      </w:r>
      <w:r w:rsidR="4850588D" w:rsidRPr="449377F1">
        <w:rPr>
          <w:rFonts w:ascii="Verdana Pro" w:eastAsia="Verdana Pro" w:hAnsi="Verdana Pro" w:cs="Verdana Pro"/>
          <w:b/>
          <w:bCs/>
          <w:color w:val="242424"/>
          <w:sz w:val="28"/>
          <w:szCs w:val="28"/>
        </w:rPr>
        <w:t>Cultura Recreación Y Deporte</w:t>
      </w:r>
    </w:p>
    <w:p w14:paraId="7B5D3443" w14:textId="6757CCBD"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4215"/>
        <w:gridCol w:w="3121"/>
        <w:gridCol w:w="2175"/>
      </w:tblGrid>
      <w:tr w:rsidR="3BCD5C0E" w14:paraId="0E4382FF" w14:textId="77777777" w:rsidTr="449377F1">
        <w:trPr>
          <w:trHeight w:val="300"/>
          <w:jc w:val="center"/>
        </w:trPr>
        <w:tc>
          <w:tcPr>
            <w:tcW w:w="4215" w:type="dxa"/>
            <w:tcBorders>
              <w:top w:val="nil"/>
              <w:left w:val="nil"/>
              <w:bottom w:val="nil"/>
              <w:right w:val="nil"/>
            </w:tcBorders>
            <w:shd w:val="clear" w:color="auto" w:fill="D9E1F2"/>
            <w:tcMar>
              <w:top w:w="15" w:type="dxa"/>
              <w:left w:w="15" w:type="dxa"/>
              <w:right w:w="15" w:type="dxa"/>
            </w:tcMar>
            <w:vAlign w:val="bottom"/>
          </w:tcPr>
          <w:p w14:paraId="184D3E30" w14:textId="0253FD03" w:rsidR="36A3175C" w:rsidRDefault="2D6E19D8"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121" w:type="dxa"/>
            <w:tcBorders>
              <w:top w:val="nil"/>
              <w:left w:val="nil"/>
              <w:bottom w:val="nil"/>
              <w:right w:val="nil"/>
            </w:tcBorders>
            <w:shd w:val="clear" w:color="auto" w:fill="D9E1F2"/>
            <w:tcMar>
              <w:top w:w="15" w:type="dxa"/>
              <w:left w:w="15" w:type="dxa"/>
              <w:right w:w="15" w:type="dxa"/>
            </w:tcMar>
            <w:vAlign w:val="bottom"/>
          </w:tcPr>
          <w:p w14:paraId="4D7FDB05" w14:textId="17C86C54"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175" w:type="dxa"/>
            <w:tcBorders>
              <w:top w:val="nil"/>
              <w:left w:val="nil"/>
              <w:bottom w:val="nil"/>
              <w:right w:val="nil"/>
            </w:tcBorders>
            <w:shd w:val="clear" w:color="auto" w:fill="D9E1F2"/>
            <w:tcMar>
              <w:top w:w="15" w:type="dxa"/>
              <w:left w:w="15" w:type="dxa"/>
              <w:right w:w="15" w:type="dxa"/>
            </w:tcMar>
            <w:vAlign w:val="bottom"/>
          </w:tcPr>
          <w:p w14:paraId="01ADF54B" w14:textId="454C99FE"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5223E5A7" w14:textId="77777777" w:rsidTr="449377F1">
        <w:trPr>
          <w:trHeight w:val="300"/>
          <w:jc w:val="center"/>
        </w:trPr>
        <w:tc>
          <w:tcPr>
            <w:tcW w:w="4215" w:type="dxa"/>
            <w:tcBorders>
              <w:top w:val="nil"/>
              <w:left w:val="nil"/>
              <w:bottom w:val="nil"/>
              <w:right w:val="nil"/>
            </w:tcBorders>
            <w:tcMar>
              <w:top w:w="15" w:type="dxa"/>
              <w:left w:w="15" w:type="dxa"/>
              <w:right w:w="15" w:type="dxa"/>
            </w:tcMar>
            <w:vAlign w:val="bottom"/>
          </w:tcPr>
          <w:p w14:paraId="51524FC3" w14:textId="45ED047C"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3121" w:type="dxa"/>
            <w:tcBorders>
              <w:top w:val="nil"/>
              <w:left w:val="nil"/>
              <w:bottom w:val="nil"/>
              <w:right w:val="nil"/>
            </w:tcBorders>
            <w:tcMar>
              <w:top w:w="15" w:type="dxa"/>
              <w:left w:w="15" w:type="dxa"/>
              <w:right w:w="15" w:type="dxa"/>
            </w:tcMar>
            <w:vAlign w:val="bottom"/>
          </w:tcPr>
          <w:p w14:paraId="64E28CFE" w14:textId="6D5CC0E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$23.148.319.639 </w:t>
            </w:r>
          </w:p>
        </w:tc>
        <w:tc>
          <w:tcPr>
            <w:tcW w:w="2175" w:type="dxa"/>
            <w:tcBorders>
              <w:top w:val="nil"/>
              <w:left w:val="nil"/>
              <w:bottom w:val="nil"/>
              <w:right w:val="nil"/>
            </w:tcBorders>
            <w:tcMar>
              <w:top w:w="15" w:type="dxa"/>
              <w:left w:w="15" w:type="dxa"/>
              <w:right w:w="15" w:type="dxa"/>
            </w:tcMar>
            <w:vAlign w:val="bottom"/>
          </w:tcPr>
          <w:p w14:paraId="650C8BD3" w14:textId="4F1B5C8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61</w:t>
            </w:r>
          </w:p>
        </w:tc>
      </w:tr>
      <w:tr w:rsidR="3BCD5C0E" w14:paraId="62EC437D"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036AC21E" w14:textId="251853C6"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3121" w:type="dxa"/>
            <w:tcBorders>
              <w:top w:val="nil"/>
              <w:left w:val="nil"/>
              <w:bottom w:val="nil"/>
              <w:right w:val="nil"/>
            </w:tcBorders>
            <w:tcMar>
              <w:top w:w="15" w:type="dxa"/>
              <w:left w:w="15" w:type="dxa"/>
              <w:right w:w="15" w:type="dxa"/>
            </w:tcMar>
            <w:vAlign w:val="bottom"/>
          </w:tcPr>
          <w:p w14:paraId="79E781E4" w14:textId="703987A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$3.826.517.993 </w:t>
            </w:r>
          </w:p>
        </w:tc>
        <w:tc>
          <w:tcPr>
            <w:tcW w:w="2175" w:type="dxa"/>
            <w:tcBorders>
              <w:top w:val="nil"/>
              <w:left w:val="nil"/>
              <w:bottom w:val="nil"/>
              <w:right w:val="nil"/>
            </w:tcBorders>
            <w:tcMar>
              <w:top w:w="15" w:type="dxa"/>
              <w:left w:w="15" w:type="dxa"/>
              <w:right w:w="15" w:type="dxa"/>
            </w:tcMar>
            <w:vAlign w:val="bottom"/>
          </w:tcPr>
          <w:p w14:paraId="02ECBDFB" w14:textId="5B5D5CB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14</w:t>
            </w:r>
          </w:p>
        </w:tc>
      </w:tr>
      <w:tr w:rsidR="3BCD5C0E" w14:paraId="2E89473D"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33B4A466" w14:textId="49E3E496"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121" w:type="dxa"/>
            <w:tcBorders>
              <w:top w:val="nil"/>
              <w:left w:val="nil"/>
              <w:bottom w:val="nil"/>
              <w:right w:val="nil"/>
            </w:tcBorders>
            <w:tcMar>
              <w:top w:w="15" w:type="dxa"/>
              <w:left w:w="15" w:type="dxa"/>
              <w:right w:w="15" w:type="dxa"/>
            </w:tcMar>
            <w:vAlign w:val="bottom"/>
          </w:tcPr>
          <w:p w14:paraId="71671AC0" w14:textId="4952AC8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$19.271.801.646 </w:t>
            </w:r>
          </w:p>
        </w:tc>
        <w:tc>
          <w:tcPr>
            <w:tcW w:w="2175" w:type="dxa"/>
            <w:tcBorders>
              <w:top w:val="nil"/>
              <w:left w:val="nil"/>
              <w:bottom w:val="nil"/>
              <w:right w:val="nil"/>
            </w:tcBorders>
            <w:tcMar>
              <w:top w:w="15" w:type="dxa"/>
              <w:left w:w="15" w:type="dxa"/>
              <w:right w:w="15" w:type="dxa"/>
            </w:tcMar>
            <w:vAlign w:val="bottom"/>
          </w:tcPr>
          <w:p w14:paraId="162AB1DB" w14:textId="0FEA6DE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46</w:t>
            </w:r>
          </w:p>
        </w:tc>
      </w:tr>
      <w:tr w:rsidR="3BCD5C0E" w14:paraId="5BEC872F"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23CFF450" w14:textId="64A307BD"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121" w:type="dxa"/>
            <w:tcBorders>
              <w:top w:val="nil"/>
              <w:left w:val="nil"/>
              <w:bottom w:val="nil"/>
              <w:right w:val="nil"/>
            </w:tcBorders>
            <w:tcMar>
              <w:top w:w="15" w:type="dxa"/>
              <w:left w:w="15" w:type="dxa"/>
              <w:right w:w="15" w:type="dxa"/>
            </w:tcMar>
            <w:vAlign w:val="bottom"/>
          </w:tcPr>
          <w:p w14:paraId="0BD195FB" w14:textId="717A18E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$50.000.000 </w:t>
            </w:r>
          </w:p>
        </w:tc>
        <w:tc>
          <w:tcPr>
            <w:tcW w:w="2175" w:type="dxa"/>
            <w:tcBorders>
              <w:top w:val="nil"/>
              <w:left w:val="nil"/>
              <w:bottom w:val="nil"/>
              <w:right w:val="nil"/>
            </w:tcBorders>
            <w:tcMar>
              <w:top w:w="15" w:type="dxa"/>
              <w:left w:w="15" w:type="dxa"/>
              <w:right w:w="15" w:type="dxa"/>
            </w:tcMar>
            <w:vAlign w:val="bottom"/>
          </w:tcPr>
          <w:p w14:paraId="15A74404" w14:textId="0C5C14EF"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48B45B7C" w14:textId="77777777" w:rsidTr="449377F1">
        <w:trPr>
          <w:trHeight w:val="300"/>
          <w:jc w:val="center"/>
        </w:trPr>
        <w:tc>
          <w:tcPr>
            <w:tcW w:w="4215" w:type="dxa"/>
            <w:tcBorders>
              <w:top w:val="nil"/>
              <w:left w:val="nil"/>
              <w:bottom w:val="nil"/>
              <w:right w:val="nil"/>
            </w:tcBorders>
            <w:tcMar>
              <w:top w:w="15" w:type="dxa"/>
              <w:left w:w="15" w:type="dxa"/>
              <w:right w:w="15" w:type="dxa"/>
            </w:tcMar>
            <w:vAlign w:val="bottom"/>
          </w:tcPr>
          <w:p w14:paraId="4B2BEBDD" w14:textId="3B13F0B0"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3121" w:type="dxa"/>
            <w:tcBorders>
              <w:top w:val="nil"/>
              <w:left w:val="nil"/>
              <w:bottom w:val="nil"/>
              <w:right w:val="nil"/>
            </w:tcBorders>
            <w:tcMar>
              <w:top w:w="15" w:type="dxa"/>
              <w:left w:w="15" w:type="dxa"/>
              <w:right w:w="15" w:type="dxa"/>
            </w:tcMar>
            <w:vAlign w:val="bottom"/>
          </w:tcPr>
          <w:p w14:paraId="52C3742F" w14:textId="0F651F9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$89.197.566.559 </w:t>
            </w:r>
          </w:p>
        </w:tc>
        <w:tc>
          <w:tcPr>
            <w:tcW w:w="2175" w:type="dxa"/>
            <w:tcBorders>
              <w:top w:val="nil"/>
              <w:left w:val="nil"/>
              <w:bottom w:val="nil"/>
              <w:right w:val="nil"/>
            </w:tcBorders>
            <w:tcMar>
              <w:top w:w="15" w:type="dxa"/>
              <w:left w:w="15" w:type="dxa"/>
              <w:right w:w="15" w:type="dxa"/>
            </w:tcMar>
            <w:vAlign w:val="bottom"/>
          </w:tcPr>
          <w:p w14:paraId="012EC61C" w14:textId="05D9EEA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2556</w:t>
            </w:r>
          </w:p>
        </w:tc>
      </w:tr>
      <w:tr w:rsidR="3BCD5C0E" w14:paraId="42A360A4"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36A620A5" w14:textId="35C75007"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3121" w:type="dxa"/>
            <w:tcBorders>
              <w:top w:val="nil"/>
              <w:left w:val="nil"/>
              <w:bottom w:val="nil"/>
              <w:right w:val="nil"/>
            </w:tcBorders>
            <w:tcMar>
              <w:top w:w="15" w:type="dxa"/>
              <w:left w:w="15" w:type="dxa"/>
              <w:right w:w="15" w:type="dxa"/>
            </w:tcMar>
            <w:vAlign w:val="bottom"/>
          </w:tcPr>
          <w:p w14:paraId="7CF734DD" w14:textId="53DAB7B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$2.364.978.567 </w:t>
            </w:r>
          </w:p>
        </w:tc>
        <w:tc>
          <w:tcPr>
            <w:tcW w:w="2175" w:type="dxa"/>
            <w:tcBorders>
              <w:top w:val="nil"/>
              <w:left w:val="nil"/>
              <w:bottom w:val="nil"/>
              <w:right w:val="nil"/>
            </w:tcBorders>
            <w:tcMar>
              <w:top w:w="15" w:type="dxa"/>
              <w:left w:w="15" w:type="dxa"/>
              <w:right w:w="15" w:type="dxa"/>
            </w:tcMar>
            <w:vAlign w:val="bottom"/>
          </w:tcPr>
          <w:p w14:paraId="44D44F0B" w14:textId="5B1EE3A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75</w:t>
            </w:r>
          </w:p>
        </w:tc>
      </w:tr>
      <w:tr w:rsidR="3BCD5C0E" w14:paraId="4F76168B"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3E1FE06B" w14:textId="7ED066CA"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121" w:type="dxa"/>
            <w:tcBorders>
              <w:top w:val="nil"/>
              <w:left w:val="nil"/>
              <w:bottom w:val="nil"/>
              <w:right w:val="nil"/>
            </w:tcBorders>
            <w:tcMar>
              <w:top w:w="15" w:type="dxa"/>
              <w:left w:w="15" w:type="dxa"/>
              <w:right w:w="15" w:type="dxa"/>
            </w:tcMar>
            <w:vAlign w:val="bottom"/>
          </w:tcPr>
          <w:p w14:paraId="18978AD0" w14:textId="6CDB30BF"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$604.032.595 </w:t>
            </w:r>
          </w:p>
        </w:tc>
        <w:tc>
          <w:tcPr>
            <w:tcW w:w="2175" w:type="dxa"/>
            <w:tcBorders>
              <w:top w:val="nil"/>
              <w:left w:val="nil"/>
              <w:bottom w:val="nil"/>
              <w:right w:val="nil"/>
            </w:tcBorders>
            <w:tcMar>
              <w:top w:w="15" w:type="dxa"/>
              <w:left w:w="15" w:type="dxa"/>
              <w:right w:w="15" w:type="dxa"/>
            </w:tcMar>
            <w:vAlign w:val="bottom"/>
          </w:tcPr>
          <w:p w14:paraId="747D78C3" w14:textId="0FC867A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19</w:t>
            </w:r>
          </w:p>
        </w:tc>
      </w:tr>
      <w:tr w:rsidR="3BCD5C0E" w14:paraId="071B7B16"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372AEFA1" w14:textId="61C9B5D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121" w:type="dxa"/>
            <w:tcBorders>
              <w:top w:val="nil"/>
              <w:left w:val="nil"/>
              <w:bottom w:val="nil"/>
              <w:right w:val="nil"/>
            </w:tcBorders>
            <w:tcMar>
              <w:top w:w="15" w:type="dxa"/>
              <w:left w:w="15" w:type="dxa"/>
              <w:right w:w="15" w:type="dxa"/>
            </w:tcMar>
            <w:vAlign w:val="bottom"/>
          </w:tcPr>
          <w:p w14:paraId="731A7F79" w14:textId="7A48925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$86.228.555.397 </w:t>
            </w:r>
          </w:p>
        </w:tc>
        <w:tc>
          <w:tcPr>
            <w:tcW w:w="2175" w:type="dxa"/>
            <w:tcBorders>
              <w:top w:val="nil"/>
              <w:left w:val="nil"/>
              <w:bottom w:val="nil"/>
              <w:right w:val="nil"/>
            </w:tcBorders>
            <w:tcMar>
              <w:top w:w="15" w:type="dxa"/>
              <w:left w:w="15" w:type="dxa"/>
              <w:right w:w="15" w:type="dxa"/>
            </w:tcMar>
            <w:vAlign w:val="bottom"/>
          </w:tcPr>
          <w:p w14:paraId="01D40657" w14:textId="373F885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2462</w:t>
            </w:r>
          </w:p>
        </w:tc>
      </w:tr>
      <w:tr w:rsidR="3BCD5C0E" w14:paraId="6C958F4A" w14:textId="77777777" w:rsidTr="449377F1">
        <w:trPr>
          <w:trHeight w:val="300"/>
          <w:jc w:val="center"/>
        </w:trPr>
        <w:tc>
          <w:tcPr>
            <w:tcW w:w="4215" w:type="dxa"/>
            <w:tcBorders>
              <w:top w:val="nil"/>
              <w:left w:val="nil"/>
              <w:bottom w:val="nil"/>
              <w:right w:val="nil"/>
            </w:tcBorders>
            <w:tcMar>
              <w:top w:w="15" w:type="dxa"/>
              <w:left w:w="15" w:type="dxa"/>
              <w:right w:w="15" w:type="dxa"/>
            </w:tcMar>
            <w:vAlign w:val="bottom"/>
          </w:tcPr>
          <w:p w14:paraId="7E2CACBA" w14:textId="7A24DD8D"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Convenios dos Partes</w:t>
            </w:r>
          </w:p>
        </w:tc>
        <w:tc>
          <w:tcPr>
            <w:tcW w:w="3121" w:type="dxa"/>
            <w:tcBorders>
              <w:top w:val="nil"/>
              <w:left w:val="nil"/>
              <w:bottom w:val="nil"/>
              <w:right w:val="nil"/>
            </w:tcBorders>
            <w:tcMar>
              <w:top w:w="15" w:type="dxa"/>
              <w:left w:w="15" w:type="dxa"/>
              <w:right w:w="15" w:type="dxa"/>
            </w:tcMar>
            <w:vAlign w:val="bottom"/>
          </w:tcPr>
          <w:p w14:paraId="6DF6D509" w14:textId="189B3AE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$14.165.017.226 </w:t>
            </w:r>
          </w:p>
        </w:tc>
        <w:tc>
          <w:tcPr>
            <w:tcW w:w="2175" w:type="dxa"/>
            <w:tcBorders>
              <w:top w:val="nil"/>
              <w:left w:val="nil"/>
              <w:bottom w:val="nil"/>
              <w:right w:val="nil"/>
            </w:tcBorders>
            <w:tcMar>
              <w:top w:w="15" w:type="dxa"/>
              <w:left w:w="15" w:type="dxa"/>
              <w:right w:w="15" w:type="dxa"/>
            </w:tcMar>
            <w:vAlign w:val="bottom"/>
          </w:tcPr>
          <w:p w14:paraId="7C545AFC" w14:textId="74D0059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11</w:t>
            </w:r>
          </w:p>
        </w:tc>
      </w:tr>
      <w:tr w:rsidR="3BCD5C0E" w14:paraId="48027D47"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07B007B8" w14:textId="04ED12C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121" w:type="dxa"/>
            <w:tcBorders>
              <w:top w:val="nil"/>
              <w:left w:val="nil"/>
              <w:bottom w:val="nil"/>
              <w:right w:val="nil"/>
            </w:tcBorders>
            <w:tcMar>
              <w:top w:w="15" w:type="dxa"/>
              <w:left w:w="15" w:type="dxa"/>
              <w:right w:w="15" w:type="dxa"/>
            </w:tcMar>
            <w:vAlign w:val="bottom"/>
          </w:tcPr>
          <w:p w14:paraId="6F399514" w14:textId="196B8B74"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$14.165.017.226 </w:t>
            </w:r>
          </w:p>
        </w:tc>
        <w:tc>
          <w:tcPr>
            <w:tcW w:w="2175" w:type="dxa"/>
            <w:tcBorders>
              <w:top w:val="nil"/>
              <w:left w:val="nil"/>
              <w:bottom w:val="nil"/>
              <w:right w:val="nil"/>
            </w:tcBorders>
            <w:tcMar>
              <w:top w:w="15" w:type="dxa"/>
              <w:left w:w="15" w:type="dxa"/>
              <w:right w:w="15" w:type="dxa"/>
            </w:tcMar>
            <w:vAlign w:val="bottom"/>
          </w:tcPr>
          <w:p w14:paraId="183BD239" w14:textId="4F50673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11</w:t>
            </w:r>
          </w:p>
        </w:tc>
      </w:tr>
      <w:tr w:rsidR="3BCD5C0E" w14:paraId="2B1C001F" w14:textId="77777777" w:rsidTr="449377F1">
        <w:trPr>
          <w:trHeight w:val="300"/>
          <w:jc w:val="center"/>
        </w:trPr>
        <w:tc>
          <w:tcPr>
            <w:tcW w:w="4215" w:type="dxa"/>
            <w:tcBorders>
              <w:top w:val="nil"/>
              <w:left w:val="nil"/>
              <w:bottom w:val="nil"/>
              <w:right w:val="nil"/>
            </w:tcBorders>
            <w:tcMar>
              <w:top w:w="15" w:type="dxa"/>
              <w:left w:w="15" w:type="dxa"/>
              <w:right w:w="15" w:type="dxa"/>
            </w:tcMar>
            <w:vAlign w:val="bottom"/>
          </w:tcPr>
          <w:p w14:paraId="32936571" w14:textId="3F258DA8"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3121" w:type="dxa"/>
            <w:tcBorders>
              <w:top w:val="nil"/>
              <w:left w:val="nil"/>
              <w:bottom w:val="nil"/>
              <w:right w:val="nil"/>
            </w:tcBorders>
            <w:tcMar>
              <w:top w:w="15" w:type="dxa"/>
              <w:left w:w="15" w:type="dxa"/>
              <w:right w:w="15" w:type="dxa"/>
            </w:tcMar>
            <w:vAlign w:val="bottom"/>
          </w:tcPr>
          <w:p w14:paraId="2A0870F2" w14:textId="68C939FF"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$7.769.786.834.293 </w:t>
            </w:r>
          </w:p>
        </w:tc>
        <w:tc>
          <w:tcPr>
            <w:tcW w:w="2175" w:type="dxa"/>
            <w:tcBorders>
              <w:top w:val="nil"/>
              <w:left w:val="nil"/>
              <w:bottom w:val="nil"/>
              <w:right w:val="nil"/>
            </w:tcBorders>
            <w:tcMar>
              <w:top w:w="15" w:type="dxa"/>
              <w:left w:w="15" w:type="dxa"/>
              <w:right w:w="15" w:type="dxa"/>
            </w:tcMar>
            <w:vAlign w:val="bottom"/>
          </w:tcPr>
          <w:p w14:paraId="5BA843A3" w14:textId="3876D2EB"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2315</w:t>
            </w:r>
          </w:p>
        </w:tc>
      </w:tr>
      <w:tr w:rsidR="3BCD5C0E" w14:paraId="767D472A"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4E73D7CD" w14:textId="0412BF7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121" w:type="dxa"/>
            <w:tcBorders>
              <w:top w:val="nil"/>
              <w:left w:val="nil"/>
              <w:bottom w:val="nil"/>
              <w:right w:val="nil"/>
            </w:tcBorders>
            <w:tcMar>
              <w:top w:w="15" w:type="dxa"/>
              <w:left w:w="15" w:type="dxa"/>
              <w:right w:w="15" w:type="dxa"/>
            </w:tcMar>
            <w:vAlign w:val="bottom"/>
          </w:tcPr>
          <w:p w14:paraId="3FAF2577" w14:textId="49869F3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$7.769.786.834.293 </w:t>
            </w:r>
          </w:p>
        </w:tc>
        <w:tc>
          <w:tcPr>
            <w:tcW w:w="2175" w:type="dxa"/>
            <w:tcBorders>
              <w:top w:val="nil"/>
              <w:left w:val="nil"/>
              <w:bottom w:val="nil"/>
              <w:right w:val="nil"/>
            </w:tcBorders>
            <w:tcMar>
              <w:top w:w="15" w:type="dxa"/>
              <w:left w:w="15" w:type="dxa"/>
              <w:right w:w="15" w:type="dxa"/>
            </w:tcMar>
            <w:vAlign w:val="bottom"/>
          </w:tcPr>
          <w:p w14:paraId="5DCFDA9D" w14:textId="594572E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2315</w:t>
            </w:r>
          </w:p>
        </w:tc>
      </w:tr>
      <w:tr w:rsidR="3BCD5C0E" w14:paraId="236A4CFC" w14:textId="77777777" w:rsidTr="449377F1">
        <w:trPr>
          <w:trHeight w:val="300"/>
          <w:jc w:val="center"/>
        </w:trPr>
        <w:tc>
          <w:tcPr>
            <w:tcW w:w="4215" w:type="dxa"/>
            <w:tcBorders>
              <w:top w:val="nil"/>
              <w:left w:val="nil"/>
              <w:bottom w:val="nil"/>
              <w:right w:val="nil"/>
            </w:tcBorders>
            <w:tcMar>
              <w:top w:w="15" w:type="dxa"/>
              <w:left w:w="15" w:type="dxa"/>
              <w:right w:w="15" w:type="dxa"/>
            </w:tcMar>
            <w:vAlign w:val="bottom"/>
          </w:tcPr>
          <w:p w14:paraId="3A5CD329" w14:textId="73AD23D9"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3121" w:type="dxa"/>
            <w:tcBorders>
              <w:top w:val="nil"/>
              <w:left w:val="nil"/>
              <w:bottom w:val="nil"/>
              <w:right w:val="nil"/>
            </w:tcBorders>
            <w:tcMar>
              <w:top w:w="15" w:type="dxa"/>
              <w:left w:w="15" w:type="dxa"/>
              <w:right w:w="15" w:type="dxa"/>
            </w:tcMar>
            <w:vAlign w:val="bottom"/>
          </w:tcPr>
          <w:p w14:paraId="7F5AE362" w14:textId="39DD900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$1.073.526.110.658 </w:t>
            </w:r>
          </w:p>
        </w:tc>
        <w:tc>
          <w:tcPr>
            <w:tcW w:w="2175" w:type="dxa"/>
            <w:tcBorders>
              <w:top w:val="nil"/>
              <w:left w:val="nil"/>
              <w:bottom w:val="nil"/>
              <w:right w:val="nil"/>
            </w:tcBorders>
            <w:tcMar>
              <w:top w:w="15" w:type="dxa"/>
              <w:left w:w="15" w:type="dxa"/>
              <w:right w:w="15" w:type="dxa"/>
            </w:tcMar>
            <w:vAlign w:val="bottom"/>
          </w:tcPr>
          <w:p w14:paraId="015B5DAD" w14:textId="7556014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2358</w:t>
            </w:r>
          </w:p>
        </w:tc>
      </w:tr>
      <w:tr w:rsidR="3BCD5C0E" w14:paraId="4AB5133F" w14:textId="77777777" w:rsidTr="449377F1">
        <w:trPr>
          <w:trHeight w:val="300"/>
          <w:jc w:val="center"/>
        </w:trPr>
        <w:tc>
          <w:tcPr>
            <w:tcW w:w="4215" w:type="dxa"/>
            <w:tcBorders>
              <w:top w:val="nil"/>
              <w:left w:val="nil"/>
              <w:bottom w:val="nil"/>
              <w:right w:val="nil"/>
            </w:tcBorders>
            <w:tcMar>
              <w:top w:w="15" w:type="dxa"/>
              <w:left w:w="135" w:type="dxa"/>
              <w:right w:w="15" w:type="dxa"/>
            </w:tcMar>
            <w:vAlign w:val="bottom"/>
          </w:tcPr>
          <w:p w14:paraId="3DE46D44" w14:textId="49AB886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121" w:type="dxa"/>
            <w:tcBorders>
              <w:top w:val="nil"/>
              <w:left w:val="nil"/>
              <w:bottom w:val="nil"/>
              <w:right w:val="nil"/>
            </w:tcBorders>
            <w:tcMar>
              <w:top w:w="15" w:type="dxa"/>
              <w:left w:w="15" w:type="dxa"/>
              <w:right w:w="15" w:type="dxa"/>
            </w:tcMar>
            <w:vAlign w:val="bottom"/>
          </w:tcPr>
          <w:p w14:paraId="166EF5A6" w14:textId="258D8BB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$1.073.526.110.658 </w:t>
            </w:r>
          </w:p>
        </w:tc>
        <w:tc>
          <w:tcPr>
            <w:tcW w:w="2175" w:type="dxa"/>
            <w:tcBorders>
              <w:top w:val="nil"/>
              <w:left w:val="nil"/>
              <w:bottom w:val="nil"/>
              <w:right w:val="nil"/>
            </w:tcBorders>
            <w:tcMar>
              <w:top w:w="15" w:type="dxa"/>
              <w:left w:w="15" w:type="dxa"/>
              <w:right w:w="15" w:type="dxa"/>
            </w:tcMar>
            <w:vAlign w:val="bottom"/>
          </w:tcPr>
          <w:p w14:paraId="54CD4883" w14:textId="57EA4E0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2358</w:t>
            </w:r>
          </w:p>
        </w:tc>
      </w:tr>
      <w:tr w:rsidR="3BCD5C0E" w14:paraId="0B49F1C6" w14:textId="77777777" w:rsidTr="449377F1">
        <w:trPr>
          <w:trHeight w:val="300"/>
          <w:jc w:val="center"/>
        </w:trPr>
        <w:tc>
          <w:tcPr>
            <w:tcW w:w="4215" w:type="dxa"/>
            <w:tcBorders>
              <w:top w:val="nil"/>
              <w:left w:val="nil"/>
              <w:bottom w:val="nil"/>
              <w:right w:val="nil"/>
            </w:tcBorders>
            <w:shd w:val="clear" w:color="auto" w:fill="D9E1F2"/>
            <w:tcMar>
              <w:top w:w="15" w:type="dxa"/>
              <w:left w:w="15" w:type="dxa"/>
              <w:right w:w="15" w:type="dxa"/>
            </w:tcMar>
            <w:vAlign w:val="bottom"/>
          </w:tcPr>
          <w:p w14:paraId="775D6393" w14:textId="294CC11F"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121" w:type="dxa"/>
            <w:tcBorders>
              <w:top w:val="nil"/>
              <w:left w:val="nil"/>
              <w:bottom w:val="nil"/>
              <w:right w:val="nil"/>
            </w:tcBorders>
            <w:shd w:val="clear" w:color="auto" w:fill="D9E1F2"/>
            <w:tcMar>
              <w:top w:w="15" w:type="dxa"/>
              <w:left w:w="15" w:type="dxa"/>
              <w:right w:w="15" w:type="dxa"/>
            </w:tcMar>
            <w:vAlign w:val="bottom"/>
          </w:tcPr>
          <w:p w14:paraId="27BA647C" w14:textId="6E558C37"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$8.969.823.848.375 </w:t>
            </w:r>
          </w:p>
        </w:tc>
        <w:tc>
          <w:tcPr>
            <w:tcW w:w="2175" w:type="dxa"/>
            <w:tcBorders>
              <w:top w:val="nil"/>
              <w:left w:val="nil"/>
              <w:bottom w:val="nil"/>
              <w:right w:val="nil"/>
            </w:tcBorders>
            <w:shd w:val="clear" w:color="auto" w:fill="D9E1F2"/>
            <w:tcMar>
              <w:top w:w="15" w:type="dxa"/>
              <w:left w:w="15" w:type="dxa"/>
              <w:right w:w="15" w:type="dxa"/>
            </w:tcMar>
            <w:vAlign w:val="bottom"/>
          </w:tcPr>
          <w:p w14:paraId="3D896AA4" w14:textId="7179257B"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7301</w:t>
            </w:r>
          </w:p>
        </w:tc>
      </w:tr>
    </w:tbl>
    <w:p w14:paraId="11CF33A4" w14:textId="60BC2E8B"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2398"/>
        <w:gridCol w:w="3957"/>
        <w:gridCol w:w="2670"/>
      </w:tblGrid>
      <w:tr w:rsidR="3BCD5C0E" w14:paraId="6A410FA7" w14:textId="77777777" w:rsidTr="449377F1">
        <w:trPr>
          <w:trHeight w:val="300"/>
          <w:jc w:val="center"/>
        </w:trPr>
        <w:tc>
          <w:tcPr>
            <w:tcW w:w="2398" w:type="dxa"/>
            <w:tcBorders>
              <w:top w:val="nil"/>
              <w:left w:val="nil"/>
              <w:bottom w:val="nil"/>
              <w:right w:val="nil"/>
            </w:tcBorders>
            <w:shd w:val="clear" w:color="auto" w:fill="D9E1F2"/>
            <w:tcMar>
              <w:top w:w="15" w:type="dxa"/>
              <w:left w:w="15" w:type="dxa"/>
              <w:right w:w="15" w:type="dxa"/>
            </w:tcMar>
            <w:vAlign w:val="bottom"/>
          </w:tcPr>
          <w:p w14:paraId="0CF8403D" w14:textId="4E61EAC8" w:rsidR="6D6F3985" w:rsidRDefault="1DA7C731"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957" w:type="dxa"/>
            <w:tcBorders>
              <w:top w:val="nil"/>
              <w:left w:val="nil"/>
              <w:bottom w:val="nil"/>
              <w:right w:val="nil"/>
            </w:tcBorders>
            <w:shd w:val="clear" w:color="auto" w:fill="D9E1F2"/>
            <w:tcMar>
              <w:top w:w="15" w:type="dxa"/>
              <w:left w:w="15" w:type="dxa"/>
              <w:right w:w="15" w:type="dxa"/>
            </w:tcMar>
            <w:vAlign w:val="bottom"/>
          </w:tcPr>
          <w:p w14:paraId="68C45F67" w14:textId="4E7C3B83"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670" w:type="dxa"/>
            <w:tcBorders>
              <w:top w:val="nil"/>
              <w:left w:val="nil"/>
              <w:bottom w:val="nil"/>
              <w:right w:val="nil"/>
            </w:tcBorders>
            <w:shd w:val="clear" w:color="auto" w:fill="D9E1F2"/>
            <w:tcMar>
              <w:top w:w="15" w:type="dxa"/>
              <w:left w:w="15" w:type="dxa"/>
              <w:right w:w="15" w:type="dxa"/>
            </w:tcMar>
            <w:vAlign w:val="bottom"/>
          </w:tcPr>
          <w:p w14:paraId="79C6DBED" w14:textId="061895B5"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2DB10AA4" w14:textId="77777777" w:rsidTr="449377F1">
        <w:trPr>
          <w:trHeight w:val="300"/>
          <w:jc w:val="center"/>
        </w:trPr>
        <w:tc>
          <w:tcPr>
            <w:tcW w:w="2398" w:type="dxa"/>
            <w:tcBorders>
              <w:top w:val="nil"/>
              <w:left w:val="nil"/>
              <w:bottom w:val="nil"/>
              <w:right w:val="nil"/>
            </w:tcBorders>
            <w:tcMar>
              <w:top w:w="15" w:type="dxa"/>
              <w:left w:w="15" w:type="dxa"/>
              <w:right w:w="15" w:type="dxa"/>
            </w:tcMar>
            <w:vAlign w:val="bottom"/>
          </w:tcPr>
          <w:p w14:paraId="15B25E6B" w14:textId="7E19662C"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3957" w:type="dxa"/>
            <w:tcBorders>
              <w:top w:val="nil"/>
              <w:left w:val="nil"/>
              <w:bottom w:val="nil"/>
              <w:right w:val="nil"/>
            </w:tcBorders>
            <w:tcMar>
              <w:top w:w="15" w:type="dxa"/>
              <w:left w:w="15" w:type="dxa"/>
              <w:right w:w="15" w:type="dxa"/>
            </w:tcMar>
            <w:vAlign w:val="bottom"/>
          </w:tcPr>
          <w:p w14:paraId="1C7A50DF" w14:textId="41F7F9B6"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$6.191.496.560 </w:t>
            </w:r>
          </w:p>
        </w:tc>
        <w:tc>
          <w:tcPr>
            <w:tcW w:w="2670" w:type="dxa"/>
            <w:tcBorders>
              <w:top w:val="nil"/>
              <w:left w:val="nil"/>
              <w:bottom w:val="nil"/>
              <w:right w:val="nil"/>
            </w:tcBorders>
            <w:tcMar>
              <w:top w:w="15" w:type="dxa"/>
              <w:left w:w="15" w:type="dxa"/>
              <w:right w:w="15" w:type="dxa"/>
            </w:tcMar>
            <w:vAlign w:val="bottom"/>
          </w:tcPr>
          <w:p w14:paraId="41F90332" w14:textId="4C7EA391"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89</w:t>
            </w:r>
          </w:p>
        </w:tc>
      </w:tr>
      <w:tr w:rsidR="3BCD5C0E" w14:paraId="2FFEACD0" w14:textId="77777777" w:rsidTr="449377F1">
        <w:trPr>
          <w:trHeight w:val="300"/>
          <w:jc w:val="center"/>
        </w:trPr>
        <w:tc>
          <w:tcPr>
            <w:tcW w:w="2398" w:type="dxa"/>
            <w:tcBorders>
              <w:top w:val="nil"/>
              <w:left w:val="nil"/>
              <w:bottom w:val="nil"/>
              <w:right w:val="nil"/>
            </w:tcBorders>
            <w:tcMar>
              <w:top w:w="15" w:type="dxa"/>
              <w:left w:w="15" w:type="dxa"/>
              <w:right w:w="15" w:type="dxa"/>
            </w:tcMar>
            <w:vAlign w:val="bottom"/>
          </w:tcPr>
          <w:p w14:paraId="6F0218C7" w14:textId="79C0F93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957" w:type="dxa"/>
            <w:tcBorders>
              <w:top w:val="nil"/>
              <w:left w:val="nil"/>
              <w:bottom w:val="nil"/>
              <w:right w:val="nil"/>
            </w:tcBorders>
            <w:tcMar>
              <w:top w:w="15" w:type="dxa"/>
              <w:left w:w="15" w:type="dxa"/>
              <w:right w:w="15" w:type="dxa"/>
            </w:tcMar>
            <w:vAlign w:val="bottom"/>
          </w:tcPr>
          <w:p w14:paraId="790F43FA" w14:textId="4EC67C7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$19.875.834.241 </w:t>
            </w:r>
          </w:p>
        </w:tc>
        <w:tc>
          <w:tcPr>
            <w:tcW w:w="2670" w:type="dxa"/>
            <w:tcBorders>
              <w:top w:val="nil"/>
              <w:left w:val="nil"/>
              <w:bottom w:val="nil"/>
              <w:right w:val="nil"/>
            </w:tcBorders>
            <w:tcMar>
              <w:top w:w="15" w:type="dxa"/>
              <w:left w:w="15" w:type="dxa"/>
              <w:right w:w="15" w:type="dxa"/>
            </w:tcMar>
            <w:vAlign w:val="bottom"/>
          </w:tcPr>
          <w:p w14:paraId="115F12B4" w14:textId="5348833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65</w:t>
            </w:r>
          </w:p>
        </w:tc>
      </w:tr>
      <w:tr w:rsidR="3BCD5C0E" w14:paraId="58AA2CB6" w14:textId="77777777" w:rsidTr="449377F1">
        <w:trPr>
          <w:trHeight w:val="300"/>
          <w:jc w:val="center"/>
        </w:trPr>
        <w:tc>
          <w:tcPr>
            <w:tcW w:w="2398" w:type="dxa"/>
            <w:tcBorders>
              <w:top w:val="nil"/>
              <w:left w:val="nil"/>
              <w:bottom w:val="nil"/>
              <w:right w:val="nil"/>
            </w:tcBorders>
            <w:tcMar>
              <w:top w:w="15" w:type="dxa"/>
              <w:left w:w="15" w:type="dxa"/>
              <w:right w:w="15" w:type="dxa"/>
            </w:tcMar>
            <w:vAlign w:val="bottom"/>
          </w:tcPr>
          <w:p w14:paraId="6CFF3A0D" w14:textId="58FD6C2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957" w:type="dxa"/>
            <w:tcBorders>
              <w:top w:val="nil"/>
              <w:left w:val="nil"/>
              <w:bottom w:val="nil"/>
              <w:right w:val="nil"/>
            </w:tcBorders>
            <w:tcMar>
              <w:top w:w="15" w:type="dxa"/>
              <w:left w:w="15" w:type="dxa"/>
              <w:right w:w="15" w:type="dxa"/>
            </w:tcMar>
            <w:vAlign w:val="bottom"/>
          </w:tcPr>
          <w:p w14:paraId="224345C9" w14:textId="5AE0F1D3"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$8.943.756.517.574 </w:t>
            </w:r>
          </w:p>
        </w:tc>
        <w:tc>
          <w:tcPr>
            <w:tcW w:w="2670" w:type="dxa"/>
            <w:tcBorders>
              <w:top w:val="nil"/>
              <w:left w:val="nil"/>
              <w:bottom w:val="nil"/>
              <w:right w:val="nil"/>
            </w:tcBorders>
            <w:tcMar>
              <w:top w:w="15" w:type="dxa"/>
              <w:left w:w="15" w:type="dxa"/>
              <w:right w:w="15" w:type="dxa"/>
            </w:tcMar>
            <w:vAlign w:val="bottom"/>
          </w:tcPr>
          <w:p w14:paraId="5B9F2247" w14:textId="724AFC2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7147</w:t>
            </w:r>
          </w:p>
        </w:tc>
      </w:tr>
      <w:tr w:rsidR="3BCD5C0E" w14:paraId="020509EB" w14:textId="77777777" w:rsidTr="449377F1">
        <w:trPr>
          <w:trHeight w:val="300"/>
          <w:jc w:val="center"/>
        </w:trPr>
        <w:tc>
          <w:tcPr>
            <w:tcW w:w="2398" w:type="dxa"/>
            <w:tcBorders>
              <w:top w:val="nil"/>
              <w:left w:val="nil"/>
              <w:bottom w:val="nil"/>
              <w:right w:val="nil"/>
            </w:tcBorders>
            <w:shd w:val="clear" w:color="auto" w:fill="D9E1F2"/>
            <w:tcMar>
              <w:top w:w="15" w:type="dxa"/>
              <w:left w:w="15" w:type="dxa"/>
              <w:right w:w="15" w:type="dxa"/>
            </w:tcMar>
            <w:vAlign w:val="bottom"/>
          </w:tcPr>
          <w:p w14:paraId="71451DFD" w14:textId="2B01C025"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957" w:type="dxa"/>
            <w:tcBorders>
              <w:top w:val="nil"/>
              <w:left w:val="nil"/>
              <w:bottom w:val="nil"/>
              <w:right w:val="nil"/>
            </w:tcBorders>
            <w:shd w:val="clear" w:color="auto" w:fill="D9E1F2"/>
            <w:tcMar>
              <w:top w:w="15" w:type="dxa"/>
              <w:left w:w="15" w:type="dxa"/>
              <w:right w:w="15" w:type="dxa"/>
            </w:tcMar>
            <w:vAlign w:val="bottom"/>
          </w:tcPr>
          <w:p w14:paraId="1186F056" w14:textId="23D26BF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$8.969.823.848.375 </w:t>
            </w:r>
          </w:p>
        </w:tc>
        <w:tc>
          <w:tcPr>
            <w:tcW w:w="2670" w:type="dxa"/>
            <w:tcBorders>
              <w:top w:val="nil"/>
              <w:left w:val="nil"/>
              <w:bottom w:val="nil"/>
              <w:right w:val="nil"/>
            </w:tcBorders>
            <w:shd w:val="clear" w:color="auto" w:fill="D9E1F2"/>
            <w:tcMar>
              <w:top w:w="15" w:type="dxa"/>
              <w:left w:w="15" w:type="dxa"/>
              <w:right w:w="15" w:type="dxa"/>
            </w:tcMar>
            <w:vAlign w:val="bottom"/>
          </w:tcPr>
          <w:p w14:paraId="060B7E32" w14:textId="64E2412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7301</w:t>
            </w:r>
          </w:p>
        </w:tc>
      </w:tr>
    </w:tbl>
    <w:p w14:paraId="22FE04E7" w14:textId="77543AF7" w:rsidR="3BCD5C0E" w:rsidRDefault="3BCD5C0E" w:rsidP="449377F1">
      <w:pPr>
        <w:jc w:val="center"/>
        <w:rPr>
          <w:rFonts w:ascii="Verdana Pro" w:eastAsia="Verdana Pro" w:hAnsi="Verdana Pro" w:cs="Verdana Pro"/>
          <w:color w:val="242424"/>
          <w:sz w:val="22"/>
          <w:szCs w:val="22"/>
        </w:rPr>
      </w:pPr>
    </w:p>
    <w:p w14:paraId="6B64EC50" w14:textId="24D7052C" w:rsidR="7A7E6DD5" w:rsidRDefault="0AD48EBD" w:rsidP="3BCD5C0E">
      <w:pPr>
        <w:jc w:val="center"/>
        <w:rPr>
          <w:rFonts w:ascii="Verdana Pro" w:eastAsia="Verdana Pro" w:hAnsi="Verdana Pro" w:cs="Verdana Pro"/>
        </w:rPr>
      </w:pPr>
      <w:r>
        <w:rPr>
          <w:noProof/>
        </w:rPr>
        <w:lastRenderedPageBreak/>
        <w:drawing>
          <wp:inline distT="0" distB="0" distL="0" distR="0" wp14:anchorId="0A18A8CA" wp14:editId="5B95FBC5">
            <wp:extent cx="6124574" cy="2743200"/>
            <wp:effectExtent l="0" t="0" r="0" b="0"/>
            <wp:docPr id="910721765" name="Picture 91072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6124574" cy="2743200"/>
                    </a:xfrm>
                    <a:prstGeom prst="rect">
                      <a:avLst/>
                    </a:prstGeom>
                  </pic:spPr>
                </pic:pic>
              </a:graphicData>
            </a:graphic>
          </wp:inline>
        </w:drawing>
      </w:r>
    </w:p>
    <w:p w14:paraId="22C6F34D" w14:textId="5669F3FD" w:rsidR="7A7E6DD5" w:rsidRDefault="14EEFB11" w:rsidP="449377F1">
      <w:pPr>
        <w:jc w:val="center"/>
        <w:rPr>
          <w:rFonts w:ascii="Verdana Pro" w:eastAsia="Verdana Pro" w:hAnsi="Verdana Pro" w:cs="Verdana Pro"/>
          <w:b/>
          <w:bCs/>
          <w:color w:val="242424"/>
        </w:rPr>
      </w:pPr>
      <w:r w:rsidRPr="449377F1">
        <w:rPr>
          <w:rFonts w:ascii="Verdana Pro" w:eastAsia="Verdana Pro" w:hAnsi="Verdana Pro" w:cs="Verdana Pro"/>
          <w:b/>
          <w:bCs/>
          <w:color w:val="242424"/>
          <w:sz w:val="28"/>
          <w:szCs w:val="28"/>
        </w:rPr>
        <w:t xml:space="preserve">Datos detallados del Sector </w:t>
      </w:r>
      <w:r w:rsidR="0AD48EBD" w:rsidRPr="449377F1">
        <w:rPr>
          <w:rFonts w:ascii="Verdana Pro" w:eastAsia="Verdana Pro" w:hAnsi="Verdana Pro" w:cs="Verdana Pro"/>
          <w:b/>
          <w:bCs/>
          <w:color w:val="242424"/>
          <w:sz w:val="28"/>
          <w:szCs w:val="28"/>
        </w:rPr>
        <w:t>Institucional</w:t>
      </w:r>
    </w:p>
    <w:p w14:paraId="04FA437E" w14:textId="1198B76D" w:rsidR="3BCD5C0E" w:rsidRDefault="3BCD5C0E" w:rsidP="449377F1">
      <w:pPr>
        <w:jc w:val="center"/>
        <w:rPr>
          <w:rFonts w:ascii="Verdana Pro" w:eastAsia="Verdana Pro" w:hAnsi="Verdana Pro" w:cs="Verdana Pro"/>
          <w:color w:val="242424"/>
          <w:sz w:val="22"/>
          <w:szCs w:val="22"/>
        </w:rPr>
      </w:pPr>
    </w:p>
    <w:tbl>
      <w:tblPr>
        <w:tblW w:w="8878" w:type="dxa"/>
        <w:jc w:val="center"/>
        <w:tblLayout w:type="fixed"/>
        <w:tblLook w:val="06A0" w:firstRow="1" w:lastRow="0" w:firstColumn="1" w:lastColumn="0" w:noHBand="1" w:noVBand="1"/>
      </w:tblPr>
      <w:tblGrid>
        <w:gridCol w:w="4125"/>
        <w:gridCol w:w="2593"/>
        <w:gridCol w:w="2160"/>
      </w:tblGrid>
      <w:tr w:rsidR="3BCD5C0E" w14:paraId="61A9C0C9" w14:textId="77777777" w:rsidTr="449377F1">
        <w:trPr>
          <w:trHeight w:val="300"/>
          <w:jc w:val="center"/>
        </w:trPr>
        <w:tc>
          <w:tcPr>
            <w:tcW w:w="4125" w:type="dxa"/>
            <w:tcBorders>
              <w:top w:val="nil"/>
              <w:left w:val="nil"/>
              <w:bottom w:val="nil"/>
              <w:right w:val="nil"/>
            </w:tcBorders>
            <w:shd w:val="clear" w:color="auto" w:fill="D9E1F2"/>
            <w:tcMar>
              <w:top w:w="15" w:type="dxa"/>
              <w:left w:w="15" w:type="dxa"/>
              <w:right w:w="15" w:type="dxa"/>
            </w:tcMar>
            <w:vAlign w:val="bottom"/>
          </w:tcPr>
          <w:p w14:paraId="481979F7" w14:textId="36992FAC" w:rsidR="4C3D0BB8" w:rsidRDefault="240C6632"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2593" w:type="dxa"/>
            <w:tcBorders>
              <w:top w:val="nil"/>
              <w:left w:val="nil"/>
              <w:bottom w:val="nil"/>
              <w:right w:val="nil"/>
            </w:tcBorders>
            <w:shd w:val="clear" w:color="auto" w:fill="D9E1F2"/>
            <w:tcMar>
              <w:top w:w="15" w:type="dxa"/>
              <w:left w:w="15" w:type="dxa"/>
              <w:right w:w="15" w:type="dxa"/>
            </w:tcMar>
            <w:vAlign w:val="bottom"/>
          </w:tcPr>
          <w:p w14:paraId="7BBA7FCD" w14:textId="4AE82A08"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160" w:type="dxa"/>
            <w:tcBorders>
              <w:top w:val="nil"/>
              <w:left w:val="nil"/>
              <w:bottom w:val="nil"/>
              <w:right w:val="nil"/>
            </w:tcBorders>
            <w:shd w:val="clear" w:color="auto" w:fill="D9E1F2"/>
            <w:tcMar>
              <w:top w:w="15" w:type="dxa"/>
              <w:left w:w="15" w:type="dxa"/>
              <w:right w:w="15" w:type="dxa"/>
            </w:tcMar>
            <w:vAlign w:val="bottom"/>
          </w:tcPr>
          <w:p w14:paraId="7182F70B" w14:textId="5F4D6DE5"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75D8BB4F" w14:textId="77777777" w:rsidTr="449377F1">
        <w:trPr>
          <w:trHeight w:val="300"/>
          <w:jc w:val="center"/>
        </w:trPr>
        <w:tc>
          <w:tcPr>
            <w:tcW w:w="4125" w:type="dxa"/>
            <w:tcBorders>
              <w:top w:val="nil"/>
              <w:left w:val="nil"/>
              <w:bottom w:val="nil"/>
              <w:right w:val="nil"/>
            </w:tcBorders>
            <w:tcMar>
              <w:top w:w="15" w:type="dxa"/>
              <w:left w:w="15" w:type="dxa"/>
              <w:right w:w="15" w:type="dxa"/>
            </w:tcMar>
            <w:vAlign w:val="bottom"/>
          </w:tcPr>
          <w:p w14:paraId="14519A0E" w14:textId="5028CCBB"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Concurso de Méritos</w:t>
            </w:r>
          </w:p>
        </w:tc>
        <w:tc>
          <w:tcPr>
            <w:tcW w:w="2593" w:type="dxa"/>
            <w:tcBorders>
              <w:top w:val="nil"/>
              <w:left w:val="nil"/>
              <w:bottom w:val="nil"/>
              <w:right w:val="nil"/>
            </w:tcBorders>
            <w:tcMar>
              <w:top w:w="15" w:type="dxa"/>
              <w:left w:w="15" w:type="dxa"/>
              <w:right w:w="15" w:type="dxa"/>
            </w:tcMar>
            <w:vAlign w:val="bottom"/>
          </w:tcPr>
          <w:p w14:paraId="4EF4B780" w14:textId="3C64FF6D"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$158.965.594 </w:t>
            </w:r>
          </w:p>
        </w:tc>
        <w:tc>
          <w:tcPr>
            <w:tcW w:w="2160" w:type="dxa"/>
            <w:tcBorders>
              <w:top w:val="nil"/>
              <w:left w:val="nil"/>
              <w:bottom w:val="nil"/>
              <w:right w:val="nil"/>
            </w:tcBorders>
            <w:tcMar>
              <w:top w:w="15" w:type="dxa"/>
              <w:left w:w="15" w:type="dxa"/>
              <w:right w:w="15" w:type="dxa"/>
            </w:tcMar>
            <w:vAlign w:val="bottom"/>
          </w:tcPr>
          <w:p w14:paraId="30D3D12F" w14:textId="66270847"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w:t>
            </w:r>
          </w:p>
        </w:tc>
      </w:tr>
      <w:tr w:rsidR="3BCD5C0E" w14:paraId="2CE91071"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16A630A1" w14:textId="5BC720B9"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2593" w:type="dxa"/>
            <w:tcBorders>
              <w:top w:val="nil"/>
              <w:left w:val="nil"/>
              <w:bottom w:val="nil"/>
              <w:right w:val="nil"/>
            </w:tcBorders>
            <w:tcMar>
              <w:top w:w="15" w:type="dxa"/>
              <w:left w:w="15" w:type="dxa"/>
              <w:right w:w="15" w:type="dxa"/>
            </w:tcMar>
            <w:vAlign w:val="bottom"/>
          </w:tcPr>
          <w:p w14:paraId="01A5C686" w14:textId="5BF0B01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$158.965.594 </w:t>
            </w:r>
          </w:p>
        </w:tc>
        <w:tc>
          <w:tcPr>
            <w:tcW w:w="2160" w:type="dxa"/>
            <w:tcBorders>
              <w:top w:val="nil"/>
              <w:left w:val="nil"/>
              <w:bottom w:val="nil"/>
              <w:right w:val="nil"/>
            </w:tcBorders>
            <w:tcMar>
              <w:top w:w="15" w:type="dxa"/>
              <w:left w:w="15" w:type="dxa"/>
              <w:right w:w="15" w:type="dxa"/>
            </w:tcMar>
            <w:vAlign w:val="bottom"/>
          </w:tcPr>
          <w:p w14:paraId="144A8229" w14:textId="60BA4294"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23B5BF86" w14:textId="77777777" w:rsidTr="449377F1">
        <w:trPr>
          <w:trHeight w:val="300"/>
          <w:jc w:val="center"/>
        </w:trPr>
        <w:tc>
          <w:tcPr>
            <w:tcW w:w="4125" w:type="dxa"/>
            <w:tcBorders>
              <w:top w:val="nil"/>
              <w:left w:val="nil"/>
              <w:bottom w:val="nil"/>
              <w:right w:val="nil"/>
            </w:tcBorders>
            <w:tcMar>
              <w:top w:w="15" w:type="dxa"/>
              <w:left w:w="15" w:type="dxa"/>
              <w:right w:w="15" w:type="dxa"/>
            </w:tcMar>
            <w:vAlign w:val="bottom"/>
          </w:tcPr>
          <w:p w14:paraId="23481A59" w14:textId="71C1102C"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2593" w:type="dxa"/>
            <w:tcBorders>
              <w:top w:val="nil"/>
              <w:left w:val="nil"/>
              <w:bottom w:val="nil"/>
              <w:right w:val="nil"/>
            </w:tcBorders>
            <w:tcMar>
              <w:top w:w="15" w:type="dxa"/>
              <w:left w:w="15" w:type="dxa"/>
              <w:right w:w="15" w:type="dxa"/>
            </w:tcMar>
            <w:vAlign w:val="bottom"/>
          </w:tcPr>
          <w:p w14:paraId="2616375E" w14:textId="7AD68FA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$66.560.712.200 </w:t>
            </w:r>
          </w:p>
        </w:tc>
        <w:tc>
          <w:tcPr>
            <w:tcW w:w="2160" w:type="dxa"/>
            <w:tcBorders>
              <w:top w:val="nil"/>
              <w:left w:val="nil"/>
              <w:bottom w:val="nil"/>
              <w:right w:val="nil"/>
            </w:tcBorders>
            <w:tcMar>
              <w:top w:w="15" w:type="dxa"/>
              <w:left w:w="15" w:type="dxa"/>
              <w:right w:w="15" w:type="dxa"/>
            </w:tcMar>
            <w:vAlign w:val="bottom"/>
          </w:tcPr>
          <w:p w14:paraId="4900FE25" w14:textId="7571593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2192</w:t>
            </w:r>
          </w:p>
        </w:tc>
      </w:tr>
      <w:tr w:rsidR="3BCD5C0E" w14:paraId="7BC7F320"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4735DFE5" w14:textId="248A1EA7"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2593" w:type="dxa"/>
            <w:tcBorders>
              <w:top w:val="nil"/>
              <w:left w:val="nil"/>
              <w:bottom w:val="nil"/>
              <w:right w:val="nil"/>
            </w:tcBorders>
            <w:tcMar>
              <w:top w:w="15" w:type="dxa"/>
              <w:left w:w="15" w:type="dxa"/>
              <w:right w:w="15" w:type="dxa"/>
            </w:tcMar>
            <w:vAlign w:val="bottom"/>
          </w:tcPr>
          <w:p w14:paraId="58B2987E" w14:textId="68CCC53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$36.354.500 </w:t>
            </w:r>
          </w:p>
        </w:tc>
        <w:tc>
          <w:tcPr>
            <w:tcW w:w="2160" w:type="dxa"/>
            <w:tcBorders>
              <w:top w:val="nil"/>
              <w:left w:val="nil"/>
              <w:bottom w:val="nil"/>
              <w:right w:val="nil"/>
            </w:tcBorders>
            <w:tcMar>
              <w:top w:w="15" w:type="dxa"/>
              <w:left w:w="15" w:type="dxa"/>
              <w:right w:w="15" w:type="dxa"/>
            </w:tcMar>
            <w:vAlign w:val="bottom"/>
          </w:tcPr>
          <w:p w14:paraId="35933984" w14:textId="2E0AC8E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3A7B60C4"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6CE4A99E" w14:textId="6CEB8487"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593" w:type="dxa"/>
            <w:tcBorders>
              <w:top w:val="nil"/>
              <w:left w:val="nil"/>
              <w:bottom w:val="nil"/>
              <w:right w:val="nil"/>
            </w:tcBorders>
            <w:tcMar>
              <w:top w:w="15" w:type="dxa"/>
              <w:left w:w="15" w:type="dxa"/>
              <w:right w:w="15" w:type="dxa"/>
            </w:tcMar>
            <w:vAlign w:val="bottom"/>
          </w:tcPr>
          <w:p w14:paraId="3B8E547E" w14:textId="1BB8907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$66.524.357.700 </w:t>
            </w:r>
          </w:p>
        </w:tc>
        <w:tc>
          <w:tcPr>
            <w:tcW w:w="2160" w:type="dxa"/>
            <w:tcBorders>
              <w:top w:val="nil"/>
              <w:left w:val="nil"/>
              <w:bottom w:val="nil"/>
              <w:right w:val="nil"/>
            </w:tcBorders>
            <w:tcMar>
              <w:top w:w="15" w:type="dxa"/>
              <w:left w:w="15" w:type="dxa"/>
              <w:right w:w="15" w:type="dxa"/>
            </w:tcMar>
            <w:vAlign w:val="bottom"/>
          </w:tcPr>
          <w:p w14:paraId="73C44404" w14:textId="086DE225"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2191</w:t>
            </w:r>
          </w:p>
        </w:tc>
      </w:tr>
      <w:tr w:rsidR="3BCD5C0E" w14:paraId="32BD32E6" w14:textId="77777777" w:rsidTr="449377F1">
        <w:trPr>
          <w:trHeight w:val="300"/>
          <w:jc w:val="center"/>
        </w:trPr>
        <w:tc>
          <w:tcPr>
            <w:tcW w:w="4125" w:type="dxa"/>
            <w:tcBorders>
              <w:top w:val="nil"/>
              <w:left w:val="nil"/>
              <w:bottom w:val="nil"/>
              <w:right w:val="nil"/>
            </w:tcBorders>
            <w:tcMar>
              <w:top w:w="15" w:type="dxa"/>
              <w:left w:w="15" w:type="dxa"/>
              <w:right w:w="15" w:type="dxa"/>
            </w:tcMar>
            <w:vAlign w:val="bottom"/>
          </w:tcPr>
          <w:p w14:paraId="5FBBD412" w14:textId="13E25256"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Convenios dos Partes</w:t>
            </w:r>
          </w:p>
        </w:tc>
        <w:tc>
          <w:tcPr>
            <w:tcW w:w="2593" w:type="dxa"/>
            <w:tcBorders>
              <w:top w:val="nil"/>
              <w:left w:val="nil"/>
              <w:bottom w:val="nil"/>
              <w:right w:val="nil"/>
            </w:tcBorders>
            <w:tcMar>
              <w:top w:w="15" w:type="dxa"/>
              <w:left w:w="15" w:type="dxa"/>
              <w:right w:w="15" w:type="dxa"/>
            </w:tcMar>
            <w:vAlign w:val="bottom"/>
          </w:tcPr>
          <w:p w14:paraId="23571D7A" w14:textId="3B28B82B"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$215.514.345 </w:t>
            </w:r>
          </w:p>
        </w:tc>
        <w:tc>
          <w:tcPr>
            <w:tcW w:w="2160" w:type="dxa"/>
            <w:tcBorders>
              <w:top w:val="nil"/>
              <w:left w:val="nil"/>
              <w:bottom w:val="nil"/>
              <w:right w:val="nil"/>
            </w:tcBorders>
            <w:tcMar>
              <w:top w:w="15" w:type="dxa"/>
              <w:left w:w="15" w:type="dxa"/>
              <w:right w:w="15" w:type="dxa"/>
            </w:tcMar>
            <w:vAlign w:val="bottom"/>
          </w:tcPr>
          <w:p w14:paraId="795CE627" w14:textId="3D19DF1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w:t>
            </w:r>
          </w:p>
        </w:tc>
      </w:tr>
      <w:tr w:rsidR="3BCD5C0E" w14:paraId="789AC2E0"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2E7B344F" w14:textId="7E24C846"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593" w:type="dxa"/>
            <w:tcBorders>
              <w:top w:val="nil"/>
              <w:left w:val="nil"/>
              <w:bottom w:val="nil"/>
              <w:right w:val="nil"/>
            </w:tcBorders>
            <w:tcMar>
              <w:top w:w="15" w:type="dxa"/>
              <w:left w:w="15" w:type="dxa"/>
              <w:right w:w="15" w:type="dxa"/>
            </w:tcMar>
            <w:vAlign w:val="bottom"/>
          </w:tcPr>
          <w:p w14:paraId="62D66109" w14:textId="7C0F2C5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$215.514.345 </w:t>
            </w:r>
          </w:p>
        </w:tc>
        <w:tc>
          <w:tcPr>
            <w:tcW w:w="2160" w:type="dxa"/>
            <w:tcBorders>
              <w:top w:val="nil"/>
              <w:left w:val="nil"/>
              <w:bottom w:val="nil"/>
              <w:right w:val="nil"/>
            </w:tcBorders>
            <w:tcMar>
              <w:top w:w="15" w:type="dxa"/>
              <w:left w:w="15" w:type="dxa"/>
              <w:right w:w="15" w:type="dxa"/>
            </w:tcMar>
            <w:vAlign w:val="bottom"/>
          </w:tcPr>
          <w:p w14:paraId="630FF186" w14:textId="59C76BF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w:t>
            </w:r>
          </w:p>
        </w:tc>
      </w:tr>
      <w:tr w:rsidR="3BCD5C0E" w14:paraId="30C2BAF6" w14:textId="77777777" w:rsidTr="449377F1">
        <w:trPr>
          <w:trHeight w:val="300"/>
          <w:jc w:val="center"/>
        </w:trPr>
        <w:tc>
          <w:tcPr>
            <w:tcW w:w="4125" w:type="dxa"/>
            <w:tcBorders>
              <w:top w:val="nil"/>
              <w:left w:val="nil"/>
              <w:bottom w:val="nil"/>
              <w:right w:val="nil"/>
            </w:tcBorders>
            <w:tcMar>
              <w:top w:w="15" w:type="dxa"/>
              <w:left w:w="15" w:type="dxa"/>
              <w:right w:w="15" w:type="dxa"/>
            </w:tcMar>
            <w:vAlign w:val="bottom"/>
          </w:tcPr>
          <w:p w14:paraId="4979F255" w14:textId="2121BB85"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2593" w:type="dxa"/>
            <w:tcBorders>
              <w:top w:val="nil"/>
              <w:left w:val="nil"/>
              <w:bottom w:val="nil"/>
              <w:right w:val="nil"/>
            </w:tcBorders>
            <w:tcMar>
              <w:top w:w="15" w:type="dxa"/>
              <w:left w:w="15" w:type="dxa"/>
              <w:right w:w="15" w:type="dxa"/>
            </w:tcMar>
            <w:vAlign w:val="bottom"/>
          </w:tcPr>
          <w:p w14:paraId="695F308B" w14:textId="7AE92CC6"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$5.523.234.713.703 </w:t>
            </w:r>
          </w:p>
        </w:tc>
        <w:tc>
          <w:tcPr>
            <w:tcW w:w="2160" w:type="dxa"/>
            <w:tcBorders>
              <w:top w:val="nil"/>
              <w:left w:val="nil"/>
              <w:bottom w:val="nil"/>
              <w:right w:val="nil"/>
            </w:tcBorders>
            <w:tcMar>
              <w:top w:w="15" w:type="dxa"/>
              <w:left w:w="15" w:type="dxa"/>
              <w:right w:w="15" w:type="dxa"/>
            </w:tcMar>
            <w:vAlign w:val="bottom"/>
          </w:tcPr>
          <w:p w14:paraId="5F8ABE06" w14:textId="0B9D30A8"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937</w:t>
            </w:r>
          </w:p>
        </w:tc>
      </w:tr>
      <w:tr w:rsidR="3BCD5C0E" w14:paraId="79D25D63"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71CB8B8A" w14:textId="12E3BE3A"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593" w:type="dxa"/>
            <w:tcBorders>
              <w:top w:val="nil"/>
              <w:left w:val="nil"/>
              <w:bottom w:val="nil"/>
              <w:right w:val="nil"/>
            </w:tcBorders>
            <w:tcMar>
              <w:top w:w="15" w:type="dxa"/>
              <w:left w:w="15" w:type="dxa"/>
              <w:right w:w="15" w:type="dxa"/>
            </w:tcMar>
            <w:vAlign w:val="bottom"/>
          </w:tcPr>
          <w:p w14:paraId="299BEE12" w14:textId="39FEA1C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$5.523.234.713.703 </w:t>
            </w:r>
          </w:p>
        </w:tc>
        <w:tc>
          <w:tcPr>
            <w:tcW w:w="2160" w:type="dxa"/>
            <w:tcBorders>
              <w:top w:val="nil"/>
              <w:left w:val="nil"/>
              <w:bottom w:val="nil"/>
              <w:right w:val="nil"/>
            </w:tcBorders>
            <w:tcMar>
              <w:top w:w="15" w:type="dxa"/>
              <w:left w:w="15" w:type="dxa"/>
              <w:right w:w="15" w:type="dxa"/>
            </w:tcMar>
            <w:vAlign w:val="bottom"/>
          </w:tcPr>
          <w:p w14:paraId="0247CBB1" w14:textId="1FCA5A7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937</w:t>
            </w:r>
          </w:p>
        </w:tc>
      </w:tr>
      <w:tr w:rsidR="3BCD5C0E" w14:paraId="525FE636" w14:textId="77777777" w:rsidTr="449377F1">
        <w:trPr>
          <w:trHeight w:val="300"/>
          <w:jc w:val="center"/>
        </w:trPr>
        <w:tc>
          <w:tcPr>
            <w:tcW w:w="4125" w:type="dxa"/>
            <w:tcBorders>
              <w:top w:val="nil"/>
              <w:left w:val="nil"/>
              <w:bottom w:val="nil"/>
              <w:right w:val="nil"/>
            </w:tcBorders>
            <w:tcMar>
              <w:top w:w="15" w:type="dxa"/>
              <w:left w:w="15" w:type="dxa"/>
              <w:right w:w="15" w:type="dxa"/>
            </w:tcMar>
            <w:vAlign w:val="bottom"/>
          </w:tcPr>
          <w:p w14:paraId="3B850944" w14:textId="24800167"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2593" w:type="dxa"/>
            <w:tcBorders>
              <w:top w:val="nil"/>
              <w:left w:val="nil"/>
              <w:bottom w:val="nil"/>
              <w:right w:val="nil"/>
            </w:tcBorders>
            <w:tcMar>
              <w:top w:w="15" w:type="dxa"/>
              <w:left w:w="15" w:type="dxa"/>
              <w:right w:w="15" w:type="dxa"/>
            </w:tcMar>
            <w:vAlign w:val="bottom"/>
          </w:tcPr>
          <w:p w14:paraId="50A15335" w14:textId="7C7AAF7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$832.926.810.311 </w:t>
            </w:r>
          </w:p>
        </w:tc>
        <w:tc>
          <w:tcPr>
            <w:tcW w:w="2160" w:type="dxa"/>
            <w:tcBorders>
              <w:top w:val="nil"/>
              <w:left w:val="nil"/>
              <w:bottom w:val="nil"/>
              <w:right w:val="nil"/>
            </w:tcBorders>
            <w:tcMar>
              <w:top w:w="15" w:type="dxa"/>
              <w:left w:w="15" w:type="dxa"/>
              <w:right w:w="15" w:type="dxa"/>
            </w:tcMar>
            <w:vAlign w:val="bottom"/>
          </w:tcPr>
          <w:p w14:paraId="3A508157" w14:textId="380E11AC"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1821</w:t>
            </w:r>
          </w:p>
        </w:tc>
      </w:tr>
      <w:tr w:rsidR="3BCD5C0E" w14:paraId="424917D4" w14:textId="77777777" w:rsidTr="449377F1">
        <w:trPr>
          <w:trHeight w:val="300"/>
          <w:jc w:val="center"/>
        </w:trPr>
        <w:tc>
          <w:tcPr>
            <w:tcW w:w="4125" w:type="dxa"/>
            <w:tcBorders>
              <w:top w:val="nil"/>
              <w:left w:val="nil"/>
              <w:bottom w:val="nil"/>
              <w:right w:val="nil"/>
            </w:tcBorders>
            <w:tcMar>
              <w:top w:w="15" w:type="dxa"/>
              <w:left w:w="135" w:type="dxa"/>
              <w:right w:w="15" w:type="dxa"/>
            </w:tcMar>
            <w:vAlign w:val="bottom"/>
          </w:tcPr>
          <w:p w14:paraId="3746F1C3" w14:textId="4E7C5753"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2593" w:type="dxa"/>
            <w:tcBorders>
              <w:top w:val="nil"/>
              <w:left w:val="nil"/>
              <w:bottom w:val="nil"/>
              <w:right w:val="nil"/>
            </w:tcBorders>
            <w:tcMar>
              <w:top w:w="15" w:type="dxa"/>
              <w:left w:w="15" w:type="dxa"/>
              <w:right w:w="15" w:type="dxa"/>
            </w:tcMar>
            <w:vAlign w:val="bottom"/>
          </w:tcPr>
          <w:p w14:paraId="69BDEFF6" w14:textId="778488F5"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$832.926.810.311 </w:t>
            </w:r>
          </w:p>
        </w:tc>
        <w:tc>
          <w:tcPr>
            <w:tcW w:w="2160" w:type="dxa"/>
            <w:tcBorders>
              <w:top w:val="nil"/>
              <w:left w:val="nil"/>
              <w:bottom w:val="nil"/>
              <w:right w:val="nil"/>
            </w:tcBorders>
            <w:tcMar>
              <w:top w:w="15" w:type="dxa"/>
              <w:left w:w="15" w:type="dxa"/>
              <w:right w:w="15" w:type="dxa"/>
            </w:tcMar>
            <w:vAlign w:val="bottom"/>
          </w:tcPr>
          <w:p w14:paraId="52B58C54" w14:textId="676454C5"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1821</w:t>
            </w:r>
          </w:p>
        </w:tc>
      </w:tr>
      <w:tr w:rsidR="3BCD5C0E" w14:paraId="7C69F8D9" w14:textId="77777777" w:rsidTr="449377F1">
        <w:trPr>
          <w:trHeight w:val="300"/>
          <w:jc w:val="center"/>
        </w:trPr>
        <w:tc>
          <w:tcPr>
            <w:tcW w:w="4125" w:type="dxa"/>
            <w:tcBorders>
              <w:top w:val="nil"/>
              <w:left w:val="nil"/>
              <w:bottom w:val="nil"/>
              <w:right w:val="nil"/>
            </w:tcBorders>
            <w:shd w:val="clear" w:color="auto" w:fill="D9E1F2"/>
            <w:tcMar>
              <w:top w:w="15" w:type="dxa"/>
              <w:left w:w="15" w:type="dxa"/>
              <w:right w:w="15" w:type="dxa"/>
            </w:tcMar>
            <w:vAlign w:val="bottom"/>
          </w:tcPr>
          <w:p w14:paraId="349D8B77" w14:textId="553EB9EE"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2593" w:type="dxa"/>
            <w:tcBorders>
              <w:top w:val="nil"/>
              <w:left w:val="nil"/>
              <w:bottom w:val="nil"/>
              <w:right w:val="nil"/>
            </w:tcBorders>
            <w:shd w:val="clear" w:color="auto" w:fill="D9E1F2"/>
            <w:tcMar>
              <w:top w:w="15" w:type="dxa"/>
              <w:left w:w="15" w:type="dxa"/>
              <w:right w:w="15" w:type="dxa"/>
            </w:tcMar>
            <w:vAlign w:val="bottom"/>
          </w:tcPr>
          <w:p w14:paraId="4FA74C95" w14:textId="2D3E4B41"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$6.423.096.716.153 </w:t>
            </w:r>
          </w:p>
        </w:tc>
        <w:tc>
          <w:tcPr>
            <w:tcW w:w="2160" w:type="dxa"/>
            <w:tcBorders>
              <w:top w:val="nil"/>
              <w:left w:val="nil"/>
              <w:bottom w:val="nil"/>
              <w:right w:val="nil"/>
            </w:tcBorders>
            <w:shd w:val="clear" w:color="auto" w:fill="D9E1F2"/>
            <w:tcMar>
              <w:top w:w="15" w:type="dxa"/>
              <w:left w:w="15" w:type="dxa"/>
              <w:right w:w="15" w:type="dxa"/>
            </w:tcMar>
            <w:vAlign w:val="bottom"/>
          </w:tcPr>
          <w:p w14:paraId="165EF0E8" w14:textId="7603A825"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4955</w:t>
            </w:r>
          </w:p>
        </w:tc>
      </w:tr>
    </w:tbl>
    <w:p w14:paraId="67D9B5C2" w14:textId="3F6BD5E4"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2385"/>
        <w:gridCol w:w="3334"/>
        <w:gridCol w:w="2460"/>
      </w:tblGrid>
      <w:tr w:rsidR="3BCD5C0E" w14:paraId="4709A984" w14:textId="77777777" w:rsidTr="449377F1">
        <w:trPr>
          <w:trHeight w:val="300"/>
          <w:jc w:val="center"/>
        </w:trPr>
        <w:tc>
          <w:tcPr>
            <w:tcW w:w="2385" w:type="dxa"/>
            <w:tcBorders>
              <w:top w:val="nil"/>
              <w:left w:val="nil"/>
              <w:bottom w:val="nil"/>
              <w:right w:val="nil"/>
            </w:tcBorders>
            <w:shd w:val="clear" w:color="auto" w:fill="D9E1F2"/>
            <w:tcMar>
              <w:top w:w="15" w:type="dxa"/>
              <w:left w:w="15" w:type="dxa"/>
              <w:right w:w="15" w:type="dxa"/>
            </w:tcMar>
            <w:vAlign w:val="bottom"/>
          </w:tcPr>
          <w:p w14:paraId="4DB2F3F8" w14:textId="2782DF25" w:rsidR="6348CDA0" w:rsidRDefault="306B5892"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334" w:type="dxa"/>
            <w:tcBorders>
              <w:top w:val="nil"/>
              <w:left w:val="nil"/>
              <w:bottom w:val="nil"/>
              <w:right w:val="nil"/>
            </w:tcBorders>
            <w:shd w:val="clear" w:color="auto" w:fill="D9E1F2"/>
            <w:tcMar>
              <w:top w:w="15" w:type="dxa"/>
              <w:left w:w="15" w:type="dxa"/>
              <w:right w:w="15" w:type="dxa"/>
            </w:tcMar>
            <w:vAlign w:val="bottom"/>
          </w:tcPr>
          <w:p w14:paraId="4DF3683A" w14:textId="03B98BF5"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460" w:type="dxa"/>
            <w:tcBorders>
              <w:top w:val="nil"/>
              <w:left w:val="nil"/>
              <w:bottom w:val="nil"/>
              <w:right w:val="nil"/>
            </w:tcBorders>
            <w:shd w:val="clear" w:color="auto" w:fill="D9E1F2"/>
            <w:tcMar>
              <w:top w:w="15" w:type="dxa"/>
              <w:left w:w="15" w:type="dxa"/>
              <w:right w:w="15" w:type="dxa"/>
            </w:tcMar>
            <w:vAlign w:val="bottom"/>
          </w:tcPr>
          <w:p w14:paraId="0FDB9C29" w14:textId="561AD052"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41635C5C" w14:textId="77777777" w:rsidTr="449377F1">
        <w:trPr>
          <w:trHeight w:val="300"/>
          <w:jc w:val="center"/>
        </w:trPr>
        <w:tc>
          <w:tcPr>
            <w:tcW w:w="2385" w:type="dxa"/>
            <w:tcBorders>
              <w:top w:val="nil"/>
              <w:left w:val="nil"/>
              <w:bottom w:val="nil"/>
              <w:right w:val="nil"/>
            </w:tcBorders>
            <w:tcMar>
              <w:top w:w="15" w:type="dxa"/>
              <w:left w:w="15" w:type="dxa"/>
              <w:right w:w="15" w:type="dxa"/>
            </w:tcMar>
            <w:vAlign w:val="bottom"/>
          </w:tcPr>
          <w:p w14:paraId="7E2DF5BD" w14:textId="3595A28E"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Consultoría</w:t>
            </w:r>
          </w:p>
        </w:tc>
        <w:tc>
          <w:tcPr>
            <w:tcW w:w="3334" w:type="dxa"/>
            <w:tcBorders>
              <w:top w:val="nil"/>
              <w:left w:val="nil"/>
              <w:bottom w:val="nil"/>
              <w:right w:val="nil"/>
            </w:tcBorders>
            <w:tcMar>
              <w:top w:w="15" w:type="dxa"/>
              <w:left w:w="15" w:type="dxa"/>
              <w:right w:w="15" w:type="dxa"/>
            </w:tcMar>
            <w:vAlign w:val="bottom"/>
          </w:tcPr>
          <w:p w14:paraId="2EADCC7F" w14:textId="1AAF6FF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$36.354.500 </w:t>
            </w:r>
          </w:p>
        </w:tc>
        <w:tc>
          <w:tcPr>
            <w:tcW w:w="2460" w:type="dxa"/>
            <w:tcBorders>
              <w:top w:val="nil"/>
              <w:left w:val="nil"/>
              <w:bottom w:val="nil"/>
              <w:right w:val="nil"/>
            </w:tcBorders>
            <w:tcMar>
              <w:top w:w="15" w:type="dxa"/>
              <w:left w:w="15" w:type="dxa"/>
              <w:right w:w="15" w:type="dxa"/>
            </w:tcMar>
            <w:vAlign w:val="bottom"/>
          </w:tcPr>
          <w:p w14:paraId="17663450" w14:textId="24943CCF"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42E4F289" w14:textId="77777777" w:rsidTr="449377F1">
        <w:trPr>
          <w:trHeight w:val="300"/>
          <w:jc w:val="center"/>
        </w:trPr>
        <w:tc>
          <w:tcPr>
            <w:tcW w:w="2385" w:type="dxa"/>
            <w:tcBorders>
              <w:top w:val="nil"/>
              <w:left w:val="nil"/>
              <w:bottom w:val="nil"/>
              <w:right w:val="nil"/>
            </w:tcBorders>
            <w:tcMar>
              <w:top w:w="15" w:type="dxa"/>
              <w:left w:w="15" w:type="dxa"/>
              <w:right w:w="15" w:type="dxa"/>
            </w:tcMar>
            <w:vAlign w:val="bottom"/>
          </w:tcPr>
          <w:p w14:paraId="4D558C8E" w14:textId="65C48E4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334" w:type="dxa"/>
            <w:tcBorders>
              <w:top w:val="nil"/>
              <w:left w:val="nil"/>
              <w:bottom w:val="nil"/>
              <w:right w:val="nil"/>
            </w:tcBorders>
            <w:tcMar>
              <w:top w:w="15" w:type="dxa"/>
              <w:left w:w="15" w:type="dxa"/>
              <w:right w:w="15" w:type="dxa"/>
            </w:tcMar>
            <w:vAlign w:val="bottom"/>
          </w:tcPr>
          <w:p w14:paraId="39402A8D" w14:textId="273114CA"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$158.965.594 </w:t>
            </w:r>
          </w:p>
        </w:tc>
        <w:tc>
          <w:tcPr>
            <w:tcW w:w="2460" w:type="dxa"/>
            <w:tcBorders>
              <w:top w:val="nil"/>
              <w:left w:val="nil"/>
              <w:bottom w:val="nil"/>
              <w:right w:val="nil"/>
            </w:tcBorders>
            <w:tcMar>
              <w:top w:w="15" w:type="dxa"/>
              <w:left w:w="15" w:type="dxa"/>
              <w:right w:w="15" w:type="dxa"/>
            </w:tcMar>
            <w:vAlign w:val="bottom"/>
          </w:tcPr>
          <w:p w14:paraId="6C30DC7F" w14:textId="20400D9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4A557E94" w14:textId="77777777" w:rsidTr="449377F1">
        <w:trPr>
          <w:trHeight w:val="300"/>
          <w:jc w:val="center"/>
        </w:trPr>
        <w:tc>
          <w:tcPr>
            <w:tcW w:w="2385" w:type="dxa"/>
            <w:tcBorders>
              <w:top w:val="nil"/>
              <w:left w:val="nil"/>
              <w:bottom w:val="nil"/>
              <w:right w:val="nil"/>
            </w:tcBorders>
            <w:tcMar>
              <w:top w:w="15" w:type="dxa"/>
              <w:left w:w="15" w:type="dxa"/>
              <w:right w:w="15" w:type="dxa"/>
            </w:tcMar>
            <w:vAlign w:val="bottom"/>
          </w:tcPr>
          <w:p w14:paraId="1CB46944" w14:textId="0C75FC5C"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334" w:type="dxa"/>
            <w:tcBorders>
              <w:top w:val="nil"/>
              <w:left w:val="nil"/>
              <w:bottom w:val="nil"/>
              <w:right w:val="nil"/>
            </w:tcBorders>
            <w:tcMar>
              <w:top w:w="15" w:type="dxa"/>
              <w:left w:w="15" w:type="dxa"/>
              <w:right w:w="15" w:type="dxa"/>
            </w:tcMar>
            <w:vAlign w:val="bottom"/>
          </w:tcPr>
          <w:p w14:paraId="22D89F8E" w14:textId="6F8B8D0B"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$6.422.901.396.059 </w:t>
            </w:r>
          </w:p>
        </w:tc>
        <w:tc>
          <w:tcPr>
            <w:tcW w:w="2460" w:type="dxa"/>
            <w:tcBorders>
              <w:top w:val="nil"/>
              <w:left w:val="nil"/>
              <w:bottom w:val="nil"/>
              <w:right w:val="nil"/>
            </w:tcBorders>
            <w:tcMar>
              <w:top w:w="15" w:type="dxa"/>
              <w:left w:w="15" w:type="dxa"/>
              <w:right w:w="15" w:type="dxa"/>
            </w:tcMar>
            <w:vAlign w:val="bottom"/>
          </w:tcPr>
          <w:p w14:paraId="1E2D9591" w14:textId="00CC5EF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4953</w:t>
            </w:r>
          </w:p>
        </w:tc>
      </w:tr>
      <w:tr w:rsidR="3BCD5C0E" w14:paraId="27C4865F" w14:textId="77777777" w:rsidTr="449377F1">
        <w:trPr>
          <w:trHeight w:val="300"/>
          <w:jc w:val="center"/>
        </w:trPr>
        <w:tc>
          <w:tcPr>
            <w:tcW w:w="2385" w:type="dxa"/>
            <w:tcBorders>
              <w:top w:val="nil"/>
              <w:left w:val="nil"/>
              <w:bottom w:val="nil"/>
              <w:right w:val="nil"/>
            </w:tcBorders>
            <w:shd w:val="clear" w:color="auto" w:fill="D9E1F2"/>
            <w:tcMar>
              <w:top w:w="15" w:type="dxa"/>
              <w:left w:w="15" w:type="dxa"/>
              <w:right w:w="15" w:type="dxa"/>
            </w:tcMar>
            <w:vAlign w:val="bottom"/>
          </w:tcPr>
          <w:p w14:paraId="0BCA9168" w14:textId="5E80F8E4"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lastRenderedPageBreak/>
              <w:t>Total</w:t>
            </w:r>
            <w:proofErr w:type="gramEnd"/>
            <w:r w:rsidRPr="449377F1">
              <w:rPr>
                <w:rFonts w:ascii="Verdana Pro" w:eastAsia="Verdana Pro" w:hAnsi="Verdana Pro" w:cs="Verdana Pro"/>
                <w:b/>
                <w:bCs/>
                <w:color w:val="000000" w:themeColor="text1"/>
                <w:sz w:val="22"/>
                <w:szCs w:val="22"/>
              </w:rPr>
              <w:t xml:space="preserve"> general</w:t>
            </w:r>
          </w:p>
        </w:tc>
        <w:tc>
          <w:tcPr>
            <w:tcW w:w="3334" w:type="dxa"/>
            <w:tcBorders>
              <w:top w:val="nil"/>
              <w:left w:val="nil"/>
              <w:bottom w:val="nil"/>
              <w:right w:val="nil"/>
            </w:tcBorders>
            <w:shd w:val="clear" w:color="auto" w:fill="D9E1F2"/>
            <w:tcMar>
              <w:top w:w="15" w:type="dxa"/>
              <w:left w:w="15" w:type="dxa"/>
              <w:right w:w="15" w:type="dxa"/>
            </w:tcMar>
            <w:vAlign w:val="bottom"/>
          </w:tcPr>
          <w:p w14:paraId="202A5665" w14:textId="7E36B0A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$6.423.096.716.153 </w:t>
            </w:r>
          </w:p>
        </w:tc>
        <w:tc>
          <w:tcPr>
            <w:tcW w:w="2460" w:type="dxa"/>
            <w:tcBorders>
              <w:top w:val="nil"/>
              <w:left w:val="nil"/>
              <w:bottom w:val="nil"/>
              <w:right w:val="nil"/>
            </w:tcBorders>
            <w:shd w:val="clear" w:color="auto" w:fill="D9E1F2"/>
            <w:tcMar>
              <w:top w:w="15" w:type="dxa"/>
              <w:left w:w="15" w:type="dxa"/>
              <w:right w:w="15" w:type="dxa"/>
            </w:tcMar>
            <w:vAlign w:val="bottom"/>
          </w:tcPr>
          <w:p w14:paraId="73BC859C" w14:textId="5872D11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4955</w:t>
            </w:r>
          </w:p>
        </w:tc>
      </w:tr>
    </w:tbl>
    <w:p w14:paraId="69E6D196" w14:textId="2CC74ADA" w:rsidR="3BCD5C0E" w:rsidRDefault="3BCD5C0E" w:rsidP="449377F1">
      <w:pPr>
        <w:jc w:val="center"/>
        <w:rPr>
          <w:rFonts w:ascii="Verdana Pro" w:eastAsia="Verdana Pro" w:hAnsi="Verdana Pro" w:cs="Verdana Pro"/>
          <w:color w:val="242424"/>
          <w:sz w:val="22"/>
          <w:szCs w:val="22"/>
        </w:rPr>
      </w:pPr>
    </w:p>
    <w:p w14:paraId="01162941" w14:textId="03684AFE" w:rsidR="45149B65" w:rsidRDefault="023CD9EB" w:rsidP="3BCD5C0E">
      <w:pPr>
        <w:jc w:val="center"/>
        <w:rPr>
          <w:rFonts w:ascii="Verdana Pro" w:eastAsia="Verdana Pro" w:hAnsi="Verdana Pro" w:cs="Verdana Pro"/>
        </w:rPr>
      </w:pPr>
      <w:r>
        <w:rPr>
          <w:noProof/>
        </w:rPr>
        <w:drawing>
          <wp:inline distT="0" distB="0" distL="0" distR="0" wp14:anchorId="22E267B6" wp14:editId="4D664F89">
            <wp:extent cx="5829300" cy="2790825"/>
            <wp:effectExtent l="0" t="0" r="0" b="0"/>
            <wp:docPr id="1570635310" name="Picture 157063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829300" cy="2790825"/>
                    </a:xfrm>
                    <a:prstGeom prst="rect">
                      <a:avLst/>
                    </a:prstGeom>
                  </pic:spPr>
                </pic:pic>
              </a:graphicData>
            </a:graphic>
          </wp:inline>
        </w:drawing>
      </w:r>
    </w:p>
    <w:p w14:paraId="5E390E6B" w14:textId="316695E1" w:rsidR="3BCD5C0E" w:rsidRDefault="3BCD5C0E" w:rsidP="449377F1">
      <w:pPr>
        <w:jc w:val="center"/>
        <w:rPr>
          <w:rFonts w:ascii="Verdana Pro" w:eastAsia="Verdana Pro" w:hAnsi="Verdana Pro" w:cs="Verdana Pro"/>
          <w:color w:val="242424"/>
          <w:sz w:val="22"/>
          <w:szCs w:val="22"/>
        </w:rPr>
      </w:pPr>
    </w:p>
    <w:p w14:paraId="54408AD8" w14:textId="0F574ECD" w:rsidR="0816ED93" w:rsidRDefault="5AD5D53B" w:rsidP="449377F1">
      <w:pPr>
        <w:jc w:val="center"/>
        <w:rPr>
          <w:rFonts w:ascii="Verdana Pro" w:eastAsia="Verdana Pro" w:hAnsi="Verdana Pro" w:cs="Verdana Pro"/>
          <w:b/>
          <w:bCs/>
          <w:color w:val="242424"/>
        </w:rPr>
      </w:pPr>
      <w:r w:rsidRPr="449377F1">
        <w:rPr>
          <w:rFonts w:ascii="Verdana Pro" w:eastAsia="Verdana Pro" w:hAnsi="Verdana Pro" w:cs="Verdana Pro"/>
          <w:b/>
          <w:bCs/>
          <w:color w:val="242424"/>
          <w:sz w:val="28"/>
          <w:szCs w:val="28"/>
        </w:rPr>
        <w:t xml:space="preserve">Datos detallados del Sector </w:t>
      </w:r>
      <w:r w:rsidR="5C58A788" w:rsidRPr="449377F1">
        <w:rPr>
          <w:rFonts w:ascii="Verdana Pro" w:eastAsia="Verdana Pro" w:hAnsi="Verdana Pro" w:cs="Verdana Pro"/>
          <w:b/>
          <w:bCs/>
          <w:color w:val="242424"/>
          <w:sz w:val="28"/>
          <w:szCs w:val="28"/>
        </w:rPr>
        <w:t xml:space="preserve">Infraestructura </w:t>
      </w:r>
      <w:r w:rsidR="3252F689" w:rsidRPr="449377F1">
        <w:rPr>
          <w:rFonts w:ascii="Verdana Pro" w:eastAsia="Verdana Pro" w:hAnsi="Verdana Pro" w:cs="Verdana Pro"/>
          <w:b/>
          <w:bCs/>
          <w:color w:val="242424"/>
          <w:sz w:val="28"/>
          <w:szCs w:val="28"/>
        </w:rPr>
        <w:t>d</w:t>
      </w:r>
      <w:r w:rsidR="5C58A788" w:rsidRPr="449377F1">
        <w:rPr>
          <w:rFonts w:ascii="Verdana Pro" w:eastAsia="Verdana Pro" w:hAnsi="Verdana Pro" w:cs="Verdana Pro"/>
          <w:b/>
          <w:bCs/>
          <w:color w:val="242424"/>
          <w:sz w:val="28"/>
          <w:szCs w:val="28"/>
        </w:rPr>
        <w:t>e Seguridad</w:t>
      </w:r>
    </w:p>
    <w:p w14:paraId="6F4CDCEA" w14:textId="09EDDB5D" w:rsidR="3BCD5C0E" w:rsidRDefault="3BCD5C0E" w:rsidP="449377F1">
      <w:pPr>
        <w:jc w:val="center"/>
        <w:rPr>
          <w:rFonts w:ascii="Verdana Pro" w:eastAsia="Verdana Pro" w:hAnsi="Verdana Pro" w:cs="Verdana Pro"/>
          <w:color w:val="242424"/>
          <w:sz w:val="22"/>
          <w:szCs w:val="22"/>
        </w:rPr>
      </w:pPr>
    </w:p>
    <w:tbl>
      <w:tblPr>
        <w:tblW w:w="0" w:type="auto"/>
        <w:jc w:val="center"/>
        <w:tblLayout w:type="fixed"/>
        <w:tblLook w:val="06A0" w:firstRow="1" w:lastRow="0" w:firstColumn="1" w:lastColumn="0" w:noHBand="1" w:noVBand="1"/>
      </w:tblPr>
      <w:tblGrid>
        <w:gridCol w:w="3384"/>
        <w:gridCol w:w="3971"/>
        <w:gridCol w:w="2115"/>
      </w:tblGrid>
      <w:tr w:rsidR="3BCD5C0E" w14:paraId="7CA183A9" w14:textId="77777777" w:rsidTr="449377F1">
        <w:trPr>
          <w:trHeight w:val="300"/>
          <w:jc w:val="center"/>
        </w:trPr>
        <w:tc>
          <w:tcPr>
            <w:tcW w:w="3384" w:type="dxa"/>
            <w:tcBorders>
              <w:top w:val="nil"/>
              <w:left w:val="nil"/>
              <w:bottom w:val="nil"/>
              <w:right w:val="nil"/>
            </w:tcBorders>
            <w:shd w:val="clear" w:color="auto" w:fill="D9E1F2"/>
            <w:tcMar>
              <w:top w:w="15" w:type="dxa"/>
              <w:left w:w="15" w:type="dxa"/>
              <w:right w:w="15" w:type="dxa"/>
            </w:tcMar>
            <w:vAlign w:val="bottom"/>
          </w:tcPr>
          <w:p w14:paraId="333E544D" w14:textId="24EDBFD6" w:rsidR="783C78FC" w:rsidRDefault="6F2B8792"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971" w:type="dxa"/>
            <w:tcBorders>
              <w:top w:val="nil"/>
              <w:left w:val="nil"/>
              <w:bottom w:val="nil"/>
              <w:right w:val="nil"/>
            </w:tcBorders>
            <w:shd w:val="clear" w:color="auto" w:fill="D9E1F2"/>
            <w:tcMar>
              <w:top w:w="15" w:type="dxa"/>
              <w:left w:w="15" w:type="dxa"/>
              <w:right w:w="15" w:type="dxa"/>
            </w:tcMar>
            <w:vAlign w:val="bottom"/>
          </w:tcPr>
          <w:p w14:paraId="0F3B7A2A" w14:textId="385C9F36"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115" w:type="dxa"/>
            <w:tcBorders>
              <w:top w:val="nil"/>
              <w:left w:val="nil"/>
              <w:bottom w:val="nil"/>
              <w:right w:val="nil"/>
            </w:tcBorders>
            <w:shd w:val="clear" w:color="auto" w:fill="D9E1F2"/>
            <w:tcMar>
              <w:top w:w="15" w:type="dxa"/>
              <w:left w:w="15" w:type="dxa"/>
              <w:right w:w="15" w:type="dxa"/>
            </w:tcMar>
            <w:vAlign w:val="bottom"/>
          </w:tcPr>
          <w:p w14:paraId="74864911" w14:textId="05B0D3AC"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1210412C" w14:textId="77777777" w:rsidTr="449377F1">
        <w:trPr>
          <w:trHeight w:val="300"/>
          <w:jc w:val="center"/>
        </w:trPr>
        <w:tc>
          <w:tcPr>
            <w:tcW w:w="3384" w:type="dxa"/>
            <w:tcBorders>
              <w:top w:val="nil"/>
              <w:left w:val="nil"/>
              <w:bottom w:val="nil"/>
              <w:right w:val="nil"/>
            </w:tcBorders>
            <w:tcMar>
              <w:top w:w="15" w:type="dxa"/>
              <w:left w:w="15" w:type="dxa"/>
              <w:right w:w="15" w:type="dxa"/>
            </w:tcMar>
            <w:vAlign w:val="bottom"/>
          </w:tcPr>
          <w:p w14:paraId="57132747" w14:textId="404AD3CC"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Contratación Mínima Cuantía</w:t>
            </w:r>
          </w:p>
        </w:tc>
        <w:tc>
          <w:tcPr>
            <w:tcW w:w="3971" w:type="dxa"/>
            <w:tcBorders>
              <w:top w:val="nil"/>
              <w:left w:val="nil"/>
              <w:bottom w:val="nil"/>
              <w:right w:val="nil"/>
            </w:tcBorders>
            <w:tcMar>
              <w:top w:w="15" w:type="dxa"/>
              <w:left w:w="15" w:type="dxa"/>
              <w:right w:w="15" w:type="dxa"/>
            </w:tcMar>
            <w:vAlign w:val="bottom"/>
          </w:tcPr>
          <w:p w14:paraId="7D03D1A7" w14:textId="5062C662"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$20.552.081.542 </w:t>
            </w:r>
          </w:p>
        </w:tc>
        <w:tc>
          <w:tcPr>
            <w:tcW w:w="2115" w:type="dxa"/>
            <w:tcBorders>
              <w:top w:val="nil"/>
              <w:left w:val="nil"/>
              <w:bottom w:val="nil"/>
              <w:right w:val="nil"/>
            </w:tcBorders>
            <w:tcMar>
              <w:top w:w="15" w:type="dxa"/>
              <w:left w:w="15" w:type="dxa"/>
              <w:right w:w="15" w:type="dxa"/>
            </w:tcMar>
            <w:vAlign w:val="bottom"/>
          </w:tcPr>
          <w:p w14:paraId="788F9D56" w14:textId="0C6A2BD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492</w:t>
            </w:r>
          </w:p>
        </w:tc>
      </w:tr>
      <w:tr w:rsidR="3BCD5C0E" w14:paraId="67559313" w14:textId="77777777" w:rsidTr="449377F1">
        <w:trPr>
          <w:trHeight w:val="300"/>
          <w:jc w:val="center"/>
        </w:trPr>
        <w:tc>
          <w:tcPr>
            <w:tcW w:w="3384" w:type="dxa"/>
            <w:tcBorders>
              <w:top w:val="nil"/>
              <w:left w:val="nil"/>
              <w:bottom w:val="nil"/>
              <w:right w:val="nil"/>
            </w:tcBorders>
            <w:tcMar>
              <w:top w:w="15" w:type="dxa"/>
              <w:left w:w="135" w:type="dxa"/>
              <w:right w:w="15" w:type="dxa"/>
            </w:tcMar>
            <w:vAlign w:val="bottom"/>
          </w:tcPr>
          <w:p w14:paraId="5C8DCDBD" w14:textId="1ACD637E"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971" w:type="dxa"/>
            <w:tcBorders>
              <w:top w:val="nil"/>
              <w:left w:val="nil"/>
              <w:bottom w:val="nil"/>
              <w:right w:val="nil"/>
            </w:tcBorders>
            <w:tcMar>
              <w:top w:w="15" w:type="dxa"/>
              <w:left w:w="15" w:type="dxa"/>
              <w:right w:w="15" w:type="dxa"/>
            </w:tcMar>
            <w:vAlign w:val="bottom"/>
          </w:tcPr>
          <w:p w14:paraId="3987876B" w14:textId="4DD24839"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$204.485.280 </w:t>
            </w:r>
          </w:p>
        </w:tc>
        <w:tc>
          <w:tcPr>
            <w:tcW w:w="2115" w:type="dxa"/>
            <w:tcBorders>
              <w:top w:val="nil"/>
              <w:left w:val="nil"/>
              <w:bottom w:val="nil"/>
              <w:right w:val="nil"/>
            </w:tcBorders>
            <w:tcMar>
              <w:top w:w="15" w:type="dxa"/>
              <w:left w:w="15" w:type="dxa"/>
              <w:right w:w="15" w:type="dxa"/>
            </w:tcMar>
            <w:vAlign w:val="bottom"/>
          </w:tcPr>
          <w:p w14:paraId="1096AC42" w14:textId="2696B05C"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4AE8987F" w14:textId="77777777" w:rsidTr="449377F1">
        <w:trPr>
          <w:trHeight w:val="300"/>
          <w:jc w:val="center"/>
        </w:trPr>
        <w:tc>
          <w:tcPr>
            <w:tcW w:w="3384" w:type="dxa"/>
            <w:tcBorders>
              <w:top w:val="nil"/>
              <w:left w:val="nil"/>
              <w:bottom w:val="nil"/>
              <w:right w:val="nil"/>
            </w:tcBorders>
            <w:tcMar>
              <w:top w:w="15" w:type="dxa"/>
              <w:left w:w="135" w:type="dxa"/>
              <w:right w:w="15" w:type="dxa"/>
            </w:tcMar>
            <w:vAlign w:val="bottom"/>
          </w:tcPr>
          <w:p w14:paraId="521BBB9D" w14:textId="5D1AF9B5"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971" w:type="dxa"/>
            <w:tcBorders>
              <w:top w:val="nil"/>
              <w:left w:val="nil"/>
              <w:bottom w:val="nil"/>
              <w:right w:val="nil"/>
            </w:tcBorders>
            <w:tcMar>
              <w:top w:w="15" w:type="dxa"/>
              <w:left w:w="15" w:type="dxa"/>
              <w:right w:w="15" w:type="dxa"/>
            </w:tcMar>
            <w:vAlign w:val="bottom"/>
          </w:tcPr>
          <w:p w14:paraId="70AF4ADA" w14:textId="79273FC7"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$20.347.596.262 </w:t>
            </w:r>
          </w:p>
        </w:tc>
        <w:tc>
          <w:tcPr>
            <w:tcW w:w="2115" w:type="dxa"/>
            <w:tcBorders>
              <w:top w:val="nil"/>
              <w:left w:val="nil"/>
              <w:bottom w:val="nil"/>
              <w:right w:val="nil"/>
            </w:tcBorders>
            <w:tcMar>
              <w:top w:w="15" w:type="dxa"/>
              <w:left w:w="15" w:type="dxa"/>
              <w:right w:w="15" w:type="dxa"/>
            </w:tcMar>
            <w:vAlign w:val="bottom"/>
          </w:tcPr>
          <w:p w14:paraId="63B55BC8" w14:textId="52F1F09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491</w:t>
            </w:r>
          </w:p>
        </w:tc>
      </w:tr>
      <w:tr w:rsidR="3BCD5C0E" w14:paraId="761470B7" w14:textId="77777777" w:rsidTr="449377F1">
        <w:trPr>
          <w:trHeight w:val="300"/>
          <w:jc w:val="center"/>
        </w:trPr>
        <w:tc>
          <w:tcPr>
            <w:tcW w:w="3384" w:type="dxa"/>
            <w:tcBorders>
              <w:top w:val="nil"/>
              <w:left w:val="nil"/>
              <w:bottom w:val="nil"/>
              <w:right w:val="nil"/>
            </w:tcBorders>
            <w:tcMar>
              <w:top w:w="15" w:type="dxa"/>
              <w:left w:w="15" w:type="dxa"/>
              <w:right w:w="15" w:type="dxa"/>
            </w:tcMar>
            <w:vAlign w:val="bottom"/>
          </w:tcPr>
          <w:p w14:paraId="52B1688D" w14:textId="23D82E29"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Licitación Pública</w:t>
            </w:r>
          </w:p>
        </w:tc>
        <w:tc>
          <w:tcPr>
            <w:tcW w:w="3971" w:type="dxa"/>
            <w:tcBorders>
              <w:top w:val="nil"/>
              <w:left w:val="nil"/>
              <w:bottom w:val="nil"/>
              <w:right w:val="nil"/>
            </w:tcBorders>
            <w:tcMar>
              <w:top w:w="15" w:type="dxa"/>
              <w:left w:w="15" w:type="dxa"/>
              <w:right w:w="15" w:type="dxa"/>
            </w:tcMar>
            <w:vAlign w:val="bottom"/>
          </w:tcPr>
          <w:p w14:paraId="4218AD89" w14:textId="5A093E40"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$1.555.759.566.425 </w:t>
            </w:r>
          </w:p>
        </w:tc>
        <w:tc>
          <w:tcPr>
            <w:tcW w:w="2115" w:type="dxa"/>
            <w:tcBorders>
              <w:top w:val="nil"/>
              <w:left w:val="nil"/>
              <w:bottom w:val="nil"/>
              <w:right w:val="nil"/>
            </w:tcBorders>
            <w:tcMar>
              <w:top w:w="15" w:type="dxa"/>
              <w:left w:w="15" w:type="dxa"/>
              <w:right w:w="15" w:type="dxa"/>
            </w:tcMar>
            <w:vAlign w:val="bottom"/>
          </w:tcPr>
          <w:p w14:paraId="0148E61D" w14:textId="6581F4D7"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263</w:t>
            </w:r>
          </w:p>
        </w:tc>
      </w:tr>
      <w:tr w:rsidR="3BCD5C0E" w14:paraId="697D0FAB" w14:textId="77777777" w:rsidTr="449377F1">
        <w:trPr>
          <w:trHeight w:val="300"/>
          <w:jc w:val="center"/>
        </w:trPr>
        <w:tc>
          <w:tcPr>
            <w:tcW w:w="3384" w:type="dxa"/>
            <w:tcBorders>
              <w:top w:val="nil"/>
              <w:left w:val="nil"/>
              <w:bottom w:val="nil"/>
              <w:right w:val="nil"/>
            </w:tcBorders>
            <w:tcMar>
              <w:top w:w="15" w:type="dxa"/>
              <w:left w:w="135" w:type="dxa"/>
              <w:right w:w="15" w:type="dxa"/>
            </w:tcMar>
            <w:vAlign w:val="bottom"/>
          </w:tcPr>
          <w:p w14:paraId="544750E1" w14:textId="4B5F9A12"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971" w:type="dxa"/>
            <w:tcBorders>
              <w:top w:val="nil"/>
              <w:left w:val="nil"/>
              <w:bottom w:val="nil"/>
              <w:right w:val="nil"/>
            </w:tcBorders>
            <w:tcMar>
              <w:top w:w="15" w:type="dxa"/>
              <w:left w:w="15" w:type="dxa"/>
              <w:right w:w="15" w:type="dxa"/>
            </w:tcMar>
            <w:vAlign w:val="bottom"/>
          </w:tcPr>
          <w:p w14:paraId="1EEC3723" w14:textId="4A723B9E"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$1.555.759.566.425 </w:t>
            </w:r>
          </w:p>
        </w:tc>
        <w:tc>
          <w:tcPr>
            <w:tcW w:w="2115" w:type="dxa"/>
            <w:tcBorders>
              <w:top w:val="nil"/>
              <w:left w:val="nil"/>
              <w:bottom w:val="nil"/>
              <w:right w:val="nil"/>
            </w:tcBorders>
            <w:tcMar>
              <w:top w:w="15" w:type="dxa"/>
              <w:left w:w="15" w:type="dxa"/>
              <w:right w:w="15" w:type="dxa"/>
            </w:tcMar>
            <w:vAlign w:val="bottom"/>
          </w:tcPr>
          <w:p w14:paraId="59CD6394" w14:textId="44AF959F"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263</w:t>
            </w:r>
          </w:p>
        </w:tc>
      </w:tr>
      <w:tr w:rsidR="3BCD5C0E" w14:paraId="61C4C9FD" w14:textId="77777777" w:rsidTr="449377F1">
        <w:trPr>
          <w:trHeight w:val="300"/>
          <w:jc w:val="center"/>
        </w:trPr>
        <w:tc>
          <w:tcPr>
            <w:tcW w:w="3384" w:type="dxa"/>
            <w:tcBorders>
              <w:top w:val="nil"/>
              <w:left w:val="nil"/>
              <w:bottom w:val="nil"/>
              <w:right w:val="nil"/>
            </w:tcBorders>
            <w:tcMar>
              <w:top w:w="15" w:type="dxa"/>
              <w:left w:w="15" w:type="dxa"/>
              <w:right w:w="15" w:type="dxa"/>
            </w:tcMar>
            <w:vAlign w:val="bottom"/>
          </w:tcPr>
          <w:p w14:paraId="2724D840" w14:textId="6C93D4EE"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Selección Abreviada</w:t>
            </w:r>
          </w:p>
        </w:tc>
        <w:tc>
          <w:tcPr>
            <w:tcW w:w="3971" w:type="dxa"/>
            <w:tcBorders>
              <w:top w:val="nil"/>
              <w:left w:val="nil"/>
              <w:bottom w:val="nil"/>
              <w:right w:val="nil"/>
            </w:tcBorders>
            <w:tcMar>
              <w:top w:w="15" w:type="dxa"/>
              <w:left w:w="15" w:type="dxa"/>
              <w:right w:w="15" w:type="dxa"/>
            </w:tcMar>
            <w:vAlign w:val="bottom"/>
          </w:tcPr>
          <w:p w14:paraId="6D028778" w14:textId="653268B4"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$1.013.012.293.941 </w:t>
            </w:r>
          </w:p>
        </w:tc>
        <w:tc>
          <w:tcPr>
            <w:tcW w:w="2115" w:type="dxa"/>
            <w:tcBorders>
              <w:top w:val="nil"/>
              <w:left w:val="nil"/>
              <w:bottom w:val="nil"/>
              <w:right w:val="nil"/>
            </w:tcBorders>
            <w:tcMar>
              <w:top w:w="15" w:type="dxa"/>
              <w:left w:w="15" w:type="dxa"/>
              <w:right w:w="15" w:type="dxa"/>
            </w:tcMar>
            <w:vAlign w:val="bottom"/>
          </w:tcPr>
          <w:p w14:paraId="10AA13D9" w14:textId="094330A8"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893</w:t>
            </w:r>
          </w:p>
        </w:tc>
      </w:tr>
      <w:tr w:rsidR="3BCD5C0E" w14:paraId="60933FD0" w14:textId="77777777" w:rsidTr="449377F1">
        <w:trPr>
          <w:trHeight w:val="300"/>
          <w:jc w:val="center"/>
        </w:trPr>
        <w:tc>
          <w:tcPr>
            <w:tcW w:w="3384" w:type="dxa"/>
            <w:tcBorders>
              <w:top w:val="nil"/>
              <w:left w:val="nil"/>
              <w:bottom w:val="nil"/>
              <w:right w:val="nil"/>
            </w:tcBorders>
            <w:tcMar>
              <w:top w:w="15" w:type="dxa"/>
              <w:left w:w="135" w:type="dxa"/>
              <w:right w:w="15" w:type="dxa"/>
            </w:tcMar>
            <w:vAlign w:val="bottom"/>
          </w:tcPr>
          <w:p w14:paraId="73651698" w14:textId="38A8186B"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971" w:type="dxa"/>
            <w:tcBorders>
              <w:top w:val="nil"/>
              <w:left w:val="nil"/>
              <w:bottom w:val="nil"/>
              <w:right w:val="nil"/>
            </w:tcBorders>
            <w:tcMar>
              <w:top w:w="15" w:type="dxa"/>
              <w:left w:w="15" w:type="dxa"/>
              <w:right w:w="15" w:type="dxa"/>
            </w:tcMar>
            <w:vAlign w:val="bottom"/>
          </w:tcPr>
          <w:p w14:paraId="1A4EB005" w14:textId="0D3CA97D"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$1.013.012.293.941 </w:t>
            </w:r>
          </w:p>
        </w:tc>
        <w:tc>
          <w:tcPr>
            <w:tcW w:w="2115" w:type="dxa"/>
            <w:tcBorders>
              <w:top w:val="nil"/>
              <w:left w:val="nil"/>
              <w:bottom w:val="nil"/>
              <w:right w:val="nil"/>
            </w:tcBorders>
            <w:tcMar>
              <w:top w:w="15" w:type="dxa"/>
              <w:left w:w="15" w:type="dxa"/>
              <w:right w:w="15" w:type="dxa"/>
            </w:tcMar>
            <w:vAlign w:val="bottom"/>
          </w:tcPr>
          <w:p w14:paraId="516EEDB3" w14:textId="508F564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893</w:t>
            </w:r>
          </w:p>
        </w:tc>
      </w:tr>
      <w:tr w:rsidR="3BCD5C0E" w14:paraId="2FA3125E" w14:textId="77777777" w:rsidTr="449377F1">
        <w:trPr>
          <w:trHeight w:val="300"/>
          <w:jc w:val="center"/>
        </w:trPr>
        <w:tc>
          <w:tcPr>
            <w:tcW w:w="3384" w:type="dxa"/>
            <w:tcBorders>
              <w:top w:val="nil"/>
              <w:left w:val="nil"/>
              <w:bottom w:val="nil"/>
              <w:right w:val="nil"/>
            </w:tcBorders>
            <w:shd w:val="clear" w:color="auto" w:fill="D9E1F2"/>
            <w:tcMar>
              <w:top w:w="15" w:type="dxa"/>
              <w:left w:w="15" w:type="dxa"/>
              <w:right w:w="15" w:type="dxa"/>
            </w:tcMar>
            <w:vAlign w:val="bottom"/>
          </w:tcPr>
          <w:p w14:paraId="1487DEFD" w14:textId="2EADD519"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971" w:type="dxa"/>
            <w:tcBorders>
              <w:top w:val="nil"/>
              <w:left w:val="nil"/>
              <w:bottom w:val="nil"/>
              <w:right w:val="nil"/>
            </w:tcBorders>
            <w:shd w:val="clear" w:color="auto" w:fill="D9E1F2"/>
            <w:tcMar>
              <w:top w:w="15" w:type="dxa"/>
              <w:left w:w="15" w:type="dxa"/>
              <w:right w:w="15" w:type="dxa"/>
            </w:tcMar>
            <w:vAlign w:val="bottom"/>
          </w:tcPr>
          <w:p w14:paraId="07E64B70" w14:textId="40BD56B9"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$2.589.323.941.908 </w:t>
            </w:r>
          </w:p>
        </w:tc>
        <w:tc>
          <w:tcPr>
            <w:tcW w:w="2115" w:type="dxa"/>
            <w:tcBorders>
              <w:top w:val="nil"/>
              <w:left w:val="nil"/>
              <w:bottom w:val="nil"/>
              <w:right w:val="nil"/>
            </w:tcBorders>
            <w:shd w:val="clear" w:color="auto" w:fill="D9E1F2"/>
            <w:tcMar>
              <w:top w:w="15" w:type="dxa"/>
              <w:left w:w="15" w:type="dxa"/>
              <w:right w:w="15" w:type="dxa"/>
            </w:tcMar>
            <w:vAlign w:val="bottom"/>
          </w:tcPr>
          <w:p w14:paraId="7A52F009" w14:textId="79B90BBF"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1648</w:t>
            </w:r>
          </w:p>
        </w:tc>
      </w:tr>
    </w:tbl>
    <w:p w14:paraId="6CAC8A80" w14:textId="5612AD31" w:rsidR="3BCD5C0E" w:rsidRDefault="3BCD5C0E" w:rsidP="449377F1">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393"/>
        <w:gridCol w:w="3963"/>
        <w:gridCol w:w="2662"/>
      </w:tblGrid>
      <w:tr w:rsidR="3BCD5C0E" w14:paraId="1F9C0462" w14:textId="77777777" w:rsidTr="449377F1">
        <w:trPr>
          <w:trHeight w:val="300"/>
          <w:jc w:val="center"/>
        </w:trPr>
        <w:tc>
          <w:tcPr>
            <w:tcW w:w="2393" w:type="dxa"/>
            <w:tcBorders>
              <w:top w:val="nil"/>
              <w:left w:val="nil"/>
              <w:bottom w:val="nil"/>
              <w:right w:val="nil"/>
            </w:tcBorders>
            <w:shd w:val="clear" w:color="auto" w:fill="D9E1F2"/>
            <w:tcMar>
              <w:top w:w="15" w:type="dxa"/>
              <w:left w:w="15" w:type="dxa"/>
              <w:right w:w="15" w:type="dxa"/>
            </w:tcMar>
            <w:vAlign w:val="bottom"/>
          </w:tcPr>
          <w:p w14:paraId="64567F6E" w14:textId="72FF9122" w:rsidR="44CD3056" w:rsidRDefault="2A1431C5"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Tipos de Contrato</w:t>
            </w:r>
          </w:p>
        </w:tc>
        <w:tc>
          <w:tcPr>
            <w:tcW w:w="3963" w:type="dxa"/>
            <w:tcBorders>
              <w:top w:val="nil"/>
              <w:left w:val="nil"/>
              <w:bottom w:val="nil"/>
              <w:right w:val="nil"/>
            </w:tcBorders>
            <w:shd w:val="clear" w:color="auto" w:fill="D9E1F2"/>
            <w:tcMar>
              <w:top w:w="15" w:type="dxa"/>
              <w:left w:w="15" w:type="dxa"/>
              <w:right w:w="15" w:type="dxa"/>
            </w:tcMar>
            <w:vAlign w:val="bottom"/>
          </w:tcPr>
          <w:p w14:paraId="492CF8A9" w14:textId="34DF593E" w:rsidR="3BCD5C0E" w:rsidRDefault="0392515A" w:rsidP="449377F1">
            <w:pPr>
              <w:jc w:val="cente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Valor contratado</w:t>
            </w:r>
          </w:p>
        </w:tc>
        <w:tc>
          <w:tcPr>
            <w:tcW w:w="2662" w:type="dxa"/>
            <w:tcBorders>
              <w:top w:val="nil"/>
              <w:left w:val="nil"/>
              <w:bottom w:val="nil"/>
              <w:right w:val="nil"/>
            </w:tcBorders>
            <w:shd w:val="clear" w:color="auto" w:fill="D9E1F2"/>
            <w:tcMar>
              <w:top w:w="15" w:type="dxa"/>
              <w:left w:w="15" w:type="dxa"/>
              <w:right w:w="15" w:type="dxa"/>
            </w:tcMar>
            <w:vAlign w:val="bottom"/>
          </w:tcPr>
          <w:p w14:paraId="7DA9BDD8" w14:textId="5F597220" w:rsidR="3BCD5C0E" w:rsidRDefault="0392515A" w:rsidP="449377F1">
            <w:pPr>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N° de contratos</w:t>
            </w:r>
          </w:p>
        </w:tc>
      </w:tr>
      <w:tr w:rsidR="3BCD5C0E" w14:paraId="0E3B6A68" w14:textId="77777777" w:rsidTr="449377F1">
        <w:trPr>
          <w:trHeight w:val="300"/>
          <w:jc w:val="center"/>
        </w:trPr>
        <w:tc>
          <w:tcPr>
            <w:tcW w:w="2393" w:type="dxa"/>
            <w:tcBorders>
              <w:top w:val="nil"/>
              <w:left w:val="nil"/>
              <w:bottom w:val="nil"/>
              <w:right w:val="nil"/>
            </w:tcBorders>
            <w:tcMar>
              <w:top w:w="15" w:type="dxa"/>
              <w:left w:w="15" w:type="dxa"/>
              <w:right w:w="15" w:type="dxa"/>
            </w:tcMar>
            <w:vAlign w:val="bottom"/>
          </w:tcPr>
          <w:p w14:paraId="389A47EA" w14:textId="676F9454"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Interventoría</w:t>
            </w:r>
          </w:p>
        </w:tc>
        <w:tc>
          <w:tcPr>
            <w:tcW w:w="3963" w:type="dxa"/>
            <w:tcBorders>
              <w:top w:val="nil"/>
              <w:left w:val="nil"/>
              <w:bottom w:val="nil"/>
              <w:right w:val="nil"/>
            </w:tcBorders>
            <w:tcMar>
              <w:top w:w="15" w:type="dxa"/>
              <w:left w:w="15" w:type="dxa"/>
              <w:right w:w="15" w:type="dxa"/>
            </w:tcMar>
            <w:vAlign w:val="bottom"/>
          </w:tcPr>
          <w:p w14:paraId="39C97FEC" w14:textId="1DDBEB4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$204.485.280 </w:t>
            </w:r>
          </w:p>
        </w:tc>
        <w:tc>
          <w:tcPr>
            <w:tcW w:w="2662" w:type="dxa"/>
            <w:tcBorders>
              <w:top w:val="nil"/>
              <w:left w:val="nil"/>
              <w:bottom w:val="nil"/>
              <w:right w:val="nil"/>
            </w:tcBorders>
            <w:tcMar>
              <w:top w:w="15" w:type="dxa"/>
              <w:left w:w="15" w:type="dxa"/>
              <w:right w:w="15" w:type="dxa"/>
            </w:tcMar>
            <w:vAlign w:val="bottom"/>
          </w:tcPr>
          <w:p w14:paraId="041CB74B" w14:textId="451A3642"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w:t>
            </w:r>
          </w:p>
        </w:tc>
      </w:tr>
      <w:tr w:rsidR="3BCD5C0E" w14:paraId="1A394C18" w14:textId="77777777" w:rsidTr="449377F1">
        <w:trPr>
          <w:trHeight w:val="300"/>
          <w:jc w:val="center"/>
        </w:trPr>
        <w:tc>
          <w:tcPr>
            <w:tcW w:w="2393" w:type="dxa"/>
            <w:tcBorders>
              <w:top w:val="nil"/>
              <w:left w:val="nil"/>
              <w:bottom w:val="nil"/>
              <w:right w:val="nil"/>
            </w:tcBorders>
            <w:tcMar>
              <w:top w:w="15" w:type="dxa"/>
              <w:left w:w="15" w:type="dxa"/>
              <w:right w:w="15" w:type="dxa"/>
            </w:tcMar>
            <w:vAlign w:val="bottom"/>
          </w:tcPr>
          <w:p w14:paraId="70B5F4A4" w14:textId="43DF79C3" w:rsidR="3BCD5C0E" w:rsidRDefault="0392515A" w:rsidP="449377F1">
            <w:pPr>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Obra</w:t>
            </w:r>
          </w:p>
        </w:tc>
        <w:tc>
          <w:tcPr>
            <w:tcW w:w="3963" w:type="dxa"/>
            <w:tcBorders>
              <w:top w:val="nil"/>
              <w:left w:val="nil"/>
              <w:bottom w:val="nil"/>
              <w:right w:val="nil"/>
            </w:tcBorders>
            <w:tcMar>
              <w:top w:w="15" w:type="dxa"/>
              <w:left w:w="15" w:type="dxa"/>
              <w:right w:w="15" w:type="dxa"/>
            </w:tcMar>
            <w:vAlign w:val="bottom"/>
          </w:tcPr>
          <w:p w14:paraId="11F2648E" w14:textId="0AC25D38"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 xml:space="preserve">$2.589.119.456.628 </w:t>
            </w:r>
          </w:p>
        </w:tc>
        <w:tc>
          <w:tcPr>
            <w:tcW w:w="2662" w:type="dxa"/>
            <w:tcBorders>
              <w:top w:val="nil"/>
              <w:left w:val="nil"/>
              <w:bottom w:val="nil"/>
              <w:right w:val="nil"/>
            </w:tcBorders>
            <w:tcMar>
              <w:top w:w="15" w:type="dxa"/>
              <w:left w:w="15" w:type="dxa"/>
              <w:right w:w="15" w:type="dxa"/>
            </w:tcMar>
            <w:vAlign w:val="bottom"/>
          </w:tcPr>
          <w:p w14:paraId="7E6FDAAF" w14:textId="67FEE690" w:rsidR="3BCD5C0E" w:rsidRDefault="0392515A" w:rsidP="449377F1">
            <w:pPr>
              <w:jc w:val="right"/>
              <w:rPr>
                <w:rFonts w:ascii="Verdana Pro" w:eastAsia="Verdana Pro" w:hAnsi="Verdana Pro" w:cs="Verdana Pro"/>
                <w:color w:val="000000" w:themeColor="text1"/>
                <w:sz w:val="22"/>
                <w:szCs w:val="22"/>
              </w:rPr>
            </w:pPr>
            <w:r w:rsidRPr="449377F1">
              <w:rPr>
                <w:rFonts w:ascii="Verdana Pro" w:eastAsia="Verdana Pro" w:hAnsi="Verdana Pro" w:cs="Verdana Pro"/>
                <w:color w:val="000000" w:themeColor="text1"/>
                <w:sz w:val="22"/>
                <w:szCs w:val="22"/>
              </w:rPr>
              <w:t>1647</w:t>
            </w:r>
          </w:p>
        </w:tc>
      </w:tr>
      <w:tr w:rsidR="3BCD5C0E" w14:paraId="1FEE5E18" w14:textId="77777777" w:rsidTr="449377F1">
        <w:trPr>
          <w:trHeight w:val="300"/>
          <w:jc w:val="center"/>
        </w:trPr>
        <w:tc>
          <w:tcPr>
            <w:tcW w:w="2393" w:type="dxa"/>
            <w:tcBorders>
              <w:top w:val="nil"/>
              <w:left w:val="nil"/>
              <w:bottom w:val="nil"/>
              <w:right w:val="nil"/>
            </w:tcBorders>
            <w:shd w:val="clear" w:color="auto" w:fill="D9E1F2"/>
            <w:tcMar>
              <w:top w:w="15" w:type="dxa"/>
              <w:left w:w="15" w:type="dxa"/>
              <w:right w:w="15" w:type="dxa"/>
            </w:tcMar>
            <w:vAlign w:val="bottom"/>
          </w:tcPr>
          <w:p w14:paraId="53E7D1E8" w14:textId="5CD05A0D" w:rsidR="3BCD5C0E" w:rsidRDefault="0392515A" w:rsidP="449377F1">
            <w:pPr>
              <w:rPr>
                <w:rFonts w:ascii="Verdana Pro" w:eastAsia="Verdana Pro" w:hAnsi="Verdana Pro" w:cs="Verdana Pro"/>
                <w:b/>
                <w:bCs/>
                <w:color w:val="000000" w:themeColor="text1"/>
                <w:sz w:val="22"/>
                <w:szCs w:val="22"/>
              </w:rPr>
            </w:pPr>
            <w:proofErr w:type="gramStart"/>
            <w:r w:rsidRPr="449377F1">
              <w:rPr>
                <w:rFonts w:ascii="Verdana Pro" w:eastAsia="Verdana Pro" w:hAnsi="Verdana Pro" w:cs="Verdana Pro"/>
                <w:b/>
                <w:bCs/>
                <w:color w:val="000000" w:themeColor="text1"/>
                <w:sz w:val="22"/>
                <w:szCs w:val="22"/>
              </w:rPr>
              <w:t>Total</w:t>
            </w:r>
            <w:proofErr w:type="gramEnd"/>
            <w:r w:rsidRPr="449377F1">
              <w:rPr>
                <w:rFonts w:ascii="Verdana Pro" w:eastAsia="Verdana Pro" w:hAnsi="Verdana Pro" w:cs="Verdana Pro"/>
                <w:b/>
                <w:bCs/>
                <w:color w:val="000000" w:themeColor="text1"/>
                <w:sz w:val="22"/>
                <w:szCs w:val="22"/>
              </w:rPr>
              <w:t xml:space="preserve"> general</w:t>
            </w:r>
          </w:p>
        </w:tc>
        <w:tc>
          <w:tcPr>
            <w:tcW w:w="3963" w:type="dxa"/>
            <w:tcBorders>
              <w:top w:val="nil"/>
              <w:left w:val="nil"/>
              <w:bottom w:val="nil"/>
              <w:right w:val="nil"/>
            </w:tcBorders>
            <w:shd w:val="clear" w:color="auto" w:fill="D9E1F2"/>
            <w:tcMar>
              <w:top w:w="15" w:type="dxa"/>
              <w:left w:w="15" w:type="dxa"/>
              <w:right w:w="15" w:type="dxa"/>
            </w:tcMar>
            <w:vAlign w:val="bottom"/>
          </w:tcPr>
          <w:p w14:paraId="43CBA671" w14:textId="3F9F096E"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 xml:space="preserve">$2.589.323.941.908 </w:t>
            </w:r>
          </w:p>
        </w:tc>
        <w:tc>
          <w:tcPr>
            <w:tcW w:w="2662" w:type="dxa"/>
            <w:tcBorders>
              <w:top w:val="nil"/>
              <w:left w:val="nil"/>
              <w:bottom w:val="nil"/>
              <w:right w:val="nil"/>
            </w:tcBorders>
            <w:shd w:val="clear" w:color="auto" w:fill="D9E1F2"/>
            <w:tcMar>
              <w:top w:w="15" w:type="dxa"/>
              <w:left w:w="15" w:type="dxa"/>
              <w:right w:w="15" w:type="dxa"/>
            </w:tcMar>
            <w:vAlign w:val="bottom"/>
          </w:tcPr>
          <w:p w14:paraId="21B8548F" w14:textId="756771C8" w:rsidR="3BCD5C0E" w:rsidRDefault="0392515A" w:rsidP="449377F1">
            <w:pPr>
              <w:jc w:val="right"/>
              <w:rPr>
                <w:rFonts w:ascii="Verdana Pro" w:eastAsia="Verdana Pro" w:hAnsi="Verdana Pro" w:cs="Verdana Pro"/>
                <w:b/>
                <w:bCs/>
                <w:color w:val="000000" w:themeColor="text1"/>
                <w:sz w:val="22"/>
                <w:szCs w:val="22"/>
              </w:rPr>
            </w:pPr>
            <w:r w:rsidRPr="449377F1">
              <w:rPr>
                <w:rFonts w:ascii="Verdana Pro" w:eastAsia="Verdana Pro" w:hAnsi="Verdana Pro" w:cs="Verdana Pro"/>
                <w:b/>
                <w:bCs/>
                <w:color w:val="000000" w:themeColor="text1"/>
                <w:sz w:val="22"/>
                <w:szCs w:val="22"/>
              </w:rPr>
              <w:t>1648</w:t>
            </w:r>
          </w:p>
        </w:tc>
      </w:tr>
    </w:tbl>
    <w:p w14:paraId="6EE43DA3" w14:textId="2404253D" w:rsidR="3BCD5C0E" w:rsidRDefault="3BCD5C0E" w:rsidP="449377F1">
      <w:pPr>
        <w:rPr>
          <w:rFonts w:ascii="Verdana Pro" w:eastAsia="Verdana Pro" w:hAnsi="Verdana Pro" w:cs="Verdana Pro"/>
        </w:rPr>
      </w:pPr>
    </w:p>
    <w:p w14:paraId="69A7DB65" w14:textId="0AE3CBD4" w:rsidR="5EB73965" w:rsidRDefault="1CBA4350" w:rsidP="449377F1">
      <w:pPr>
        <w:rPr>
          <w:rFonts w:ascii="Verdana Pro" w:eastAsia="Verdana Pro" w:hAnsi="Verdana Pro" w:cs="Verdana Pro"/>
        </w:rPr>
      </w:pPr>
      <w:r>
        <w:rPr>
          <w:noProof/>
        </w:rPr>
        <w:drawing>
          <wp:inline distT="0" distB="0" distL="0" distR="0" wp14:anchorId="083D42D7" wp14:editId="51CAFDAF">
            <wp:extent cx="6124574" cy="2743200"/>
            <wp:effectExtent l="0" t="0" r="0" b="0"/>
            <wp:docPr id="372360124" name="Picture 37236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6124574" cy="2743200"/>
                    </a:xfrm>
                    <a:prstGeom prst="rect">
                      <a:avLst/>
                    </a:prstGeom>
                  </pic:spPr>
                </pic:pic>
              </a:graphicData>
            </a:graphic>
          </wp:inline>
        </w:drawing>
      </w:r>
    </w:p>
    <w:p w14:paraId="3003A19A" w14:textId="32857D2D" w:rsidR="3BCD5C0E" w:rsidRDefault="3BCD5C0E" w:rsidP="449377F1">
      <w:pPr>
        <w:rPr>
          <w:rFonts w:ascii="Verdana Pro" w:eastAsia="Verdana Pro" w:hAnsi="Verdana Pro" w:cs="Verdana Pro"/>
        </w:rPr>
      </w:pPr>
    </w:p>
    <w:p w14:paraId="50E979CD" w14:textId="14137103" w:rsidR="004A5737" w:rsidRPr="007353D9" w:rsidRDefault="748356DF" w:rsidP="449377F1">
      <w:pPr>
        <w:pStyle w:val="Descripcin"/>
        <w:jc w:val="both"/>
        <w:rPr>
          <w:rFonts w:ascii="Verdana Pro" w:eastAsia="Verdana Pro" w:hAnsi="Verdana Pro" w:cs="Verdana Pro"/>
          <w:sz w:val="24"/>
          <w:szCs w:val="24"/>
        </w:rPr>
      </w:pPr>
      <w:bookmarkStart w:id="20" w:name="_Toc180136787"/>
      <w:r w:rsidRPr="449377F1">
        <w:rPr>
          <w:rFonts w:ascii="Verdana Pro" w:eastAsia="Verdana Pro" w:hAnsi="Verdana Pro" w:cs="Verdana Pro"/>
          <w:sz w:val="22"/>
          <w:szCs w:val="22"/>
        </w:rPr>
        <w:t xml:space="preserve">Gráfica </w:t>
      </w:r>
      <w:r w:rsidR="007353D9" w:rsidRPr="449377F1">
        <w:rPr>
          <w:rFonts w:ascii="Verdana" w:hAnsi="Verdana"/>
          <w:sz w:val="22"/>
          <w:szCs w:val="22"/>
        </w:rPr>
        <w:fldChar w:fldCharType="begin"/>
      </w:r>
      <w:r w:rsidR="007353D9" w:rsidRPr="449377F1">
        <w:rPr>
          <w:rFonts w:ascii="Verdana" w:hAnsi="Verdana"/>
          <w:sz w:val="22"/>
          <w:szCs w:val="22"/>
        </w:rPr>
        <w:instrText xml:space="preserve"> SEQ Gráfica \* ARABIC </w:instrText>
      </w:r>
      <w:r w:rsidR="007353D9" w:rsidRPr="449377F1">
        <w:rPr>
          <w:rFonts w:ascii="Verdana" w:hAnsi="Verdana"/>
          <w:sz w:val="22"/>
          <w:szCs w:val="22"/>
        </w:rPr>
        <w:fldChar w:fldCharType="separate"/>
      </w:r>
      <w:r w:rsidR="01938715" w:rsidRPr="449377F1">
        <w:rPr>
          <w:rFonts w:ascii="Verdana" w:hAnsi="Verdana"/>
          <w:noProof/>
          <w:sz w:val="22"/>
          <w:szCs w:val="22"/>
        </w:rPr>
        <w:t>20</w:t>
      </w:r>
      <w:r w:rsidR="007353D9" w:rsidRPr="449377F1">
        <w:rPr>
          <w:rFonts w:ascii="Verdana" w:hAnsi="Verdana"/>
          <w:sz w:val="22"/>
          <w:szCs w:val="22"/>
        </w:rPr>
        <w:fldChar w:fldCharType="end"/>
      </w:r>
      <w:r w:rsidRPr="449377F1">
        <w:rPr>
          <w:rFonts w:ascii="Verdana Pro" w:eastAsia="Verdana Pro" w:hAnsi="Verdana Pro" w:cs="Verdana Pro"/>
          <w:sz w:val="22"/>
          <w:szCs w:val="22"/>
        </w:rPr>
        <w:t xml:space="preserve">. Top </w:t>
      </w:r>
      <w:r w:rsidR="6F588B7F" w:rsidRPr="449377F1">
        <w:rPr>
          <w:rFonts w:ascii="Verdana Pro" w:eastAsia="Verdana Pro" w:hAnsi="Verdana Pro" w:cs="Verdana Pro"/>
          <w:sz w:val="22"/>
          <w:szCs w:val="22"/>
        </w:rPr>
        <w:t>1</w:t>
      </w:r>
      <w:r w:rsidRPr="449377F1">
        <w:rPr>
          <w:rFonts w:ascii="Verdana Pro" w:eastAsia="Verdana Pro" w:hAnsi="Verdana Pro" w:cs="Verdana Pro"/>
          <w:sz w:val="22"/>
          <w:szCs w:val="22"/>
        </w:rPr>
        <w:t>0 Entidades por valor de contratación, Sector Salud (en miles de millones de pesos)</w:t>
      </w:r>
      <w:bookmarkEnd w:id="20"/>
    </w:p>
    <w:p w14:paraId="7B00200B" w14:textId="60C1DAF8" w:rsidR="007353D9" w:rsidRDefault="4A12F8B1" w:rsidP="449377F1">
      <w:pPr>
        <w:ind w:left="360"/>
        <w:jc w:val="both"/>
        <w:rPr>
          <w:rFonts w:ascii="Verdana Pro" w:eastAsia="Verdana Pro" w:hAnsi="Verdana Pro" w:cs="Verdana Pro"/>
        </w:rPr>
      </w:pPr>
      <w:r>
        <w:rPr>
          <w:noProof/>
        </w:rPr>
        <w:drawing>
          <wp:inline distT="0" distB="0" distL="0" distR="0" wp14:anchorId="744453DB" wp14:editId="07EFF542">
            <wp:extent cx="6124574" cy="1581150"/>
            <wp:effectExtent l="0" t="0" r="0" b="0"/>
            <wp:docPr id="1665922291" name="Picture 166592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6124574" cy="1581150"/>
                    </a:xfrm>
                    <a:prstGeom prst="rect">
                      <a:avLst/>
                    </a:prstGeom>
                  </pic:spPr>
                </pic:pic>
              </a:graphicData>
            </a:graphic>
          </wp:inline>
        </w:drawing>
      </w:r>
    </w:p>
    <w:p w14:paraId="67D617F6" w14:textId="77777777" w:rsidR="00234D4F" w:rsidRDefault="2E2E4130"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246DFF2D" w14:textId="77777777" w:rsidR="007353D9" w:rsidRDefault="007353D9" w:rsidP="449377F1">
      <w:pPr>
        <w:ind w:left="360"/>
        <w:jc w:val="both"/>
        <w:rPr>
          <w:rFonts w:ascii="Verdana Pro" w:eastAsia="Verdana Pro" w:hAnsi="Verdana Pro" w:cs="Verdana Pro"/>
          <w:sz w:val="22"/>
          <w:szCs w:val="22"/>
        </w:rPr>
      </w:pPr>
    </w:p>
    <w:p w14:paraId="30C0A843" w14:textId="011F34A6" w:rsidR="000C26A6" w:rsidRPr="004477CA" w:rsidRDefault="67641F79"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El Municipio de Sipí (Chocó) lidera el listado con un valor contratado de $99.892.373.032 en un único contrato, lo que representa el 10.8% del valor total analizado.</w:t>
      </w:r>
    </w:p>
    <w:p w14:paraId="7BB3CC2E" w14:textId="1A604258" w:rsidR="000C26A6" w:rsidRPr="004477CA" w:rsidRDefault="000C26A6" w:rsidP="449377F1">
      <w:pPr>
        <w:pStyle w:val="Prrafodelista"/>
        <w:ind w:left="1080"/>
        <w:rPr>
          <w:rFonts w:ascii="Verdana Pro" w:eastAsia="Verdana Pro" w:hAnsi="Verdana Pro" w:cs="Verdana Pro"/>
        </w:rPr>
      </w:pPr>
    </w:p>
    <w:p w14:paraId="27151888" w14:textId="43CE4623" w:rsidR="000C26A6" w:rsidRPr="004477CA" w:rsidRDefault="67641F79"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En segundo lugar, el ESE Hospital San José del Guaviare contrató $74.617.789.830, también en un solo contrato, consolidándose como otro actor relevante en el uso de </w:t>
      </w:r>
      <w:r w:rsidRPr="449377F1">
        <w:rPr>
          <w:rFonts w:ascii="Verdana Pro" w:eastAsia="Verdana Pro" w:hAnsi="Verdana Pro" w:cs="Verdana Pro"/>
          <w:sz w:val="22"/>
          <w:szCs w:val="22"/>
        </w:rPr>
        <w:lastRenderedPageBreak/>
        <w:t>SECOP I. La concentración de recursos en contratos individuales de gran valor es una constante en este grupo, como también lo reflejan entidades como la Alcaldía del Municipio de Barranca de Upía (Meta) ($5.368.088.281) y la Alcaldía del Municipio de San Juan del Cesar (La Guajira) ($4.332.995.699), ambas con un contrato único</w:t>
      </w:r>
      <w:r w:rsidR="11C17C48" w:rsidRPr="449377F1">
        <w:rPr>
          <w:rFonts w:ascii="Verdana Pro" w:eastAsia="Verdana Pro" w:hAnsi="Verdana Pro" w:cs="Verdana Pro"/>
          <w:sz w:val="22"/>
          <w:szCs w:val="22"/>
        </w:rPr>
        <w:t>.</w:t>
      </w:r>
    </w:p>
    <w:p w14:paraId="2A872489" w14:textId="562167B4" w:rsidR="000C26A6" w:rsidRPr="004477CA" w:rsidRDefault="000C26A6" w:rsidP="449377F1">
      <w:pPr>
        <w:jc w:val="both"/>
        <w:rPr>
          <w:rFonts w:ascii="Verdana Pro" w:eastAsia="Verdana Pro" w:hAnsi="Verdana Pro" w:cs="Verdana Pro"/>
          <w:sz w:val="22"/>
          <w:szCs w:val="22"/>
        </w:rPr>
      </w:pPr>
    </w:p>
    <w:p w14:paraId="406B9343" w14:textId="35BD8A36" w:rsidR="000C26A6" w:rsidRPr="004477CA" w:rsidRDefault="06649723"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La Alcaldía del Municipio de El Paso (Cesar) es la única entidad en el listado que registra 4 procesos por un valor acumulado de $5.728.222.690.</w:t>
      </w:r>
    </w:p>
    <w:p w14:paraId="595D0C6A" w14:textId="5BA2FC9E" w:rsidR="000C26A6" w:rsidRPr="004477CA" w:rsidRDefault="000C26A6" w:rsidP="449377F1">
      <w:pPr>
        <w:jc w:val="both"/>
        <w:rPr>
          <w:rFonts w:ascii="Verdana Pro" w:eastAsia="Verdana Pro" w:hAnsi="Verdana Pro" w:cs="Verdana Pro"/>
          <w:sz w:val="22"/>
          <w:szCs w:val="22"/>
        </w:rPr>
      </w:pPr>
    </w:p>
    <w:p w14:paraId="0740927D" w14:textId="6E32EA47" w:rsidR="000C26A6" w:rsidRPr="004477CA" w:rsidRDefault="06649723"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Otras entidades, como la Alcaldía del Municipio de Miraflores (Guaviare), con $3.771.119.592 en 2 contratos, y la Alcaldía del Municipio de Calamar (Guaviare), con $2.943.553.932 en 2 contratos, también reflejan un patrón de asignación más atomizado, aunque dentro de un rango económico menor.</w:t>
      </w:r>
    </w:p>
    <w:p w14:paraId="0CE76D94" w14:textId="191C1730" w:rsidR="000C26A6" w:rsidRPr="004477CA" w:rsidRDefault="000C26A6" w:rsidP="449377F1">
      <w:pPr>
        <w:jc w:val="both"/>
        <w:rPr>
          <w:rFonts w:ascii="Verdana Pro" w:eastAsia="Verdana Pro" w:hAnsi="Verdana Pro" w:cs="Verdana Pro"/>
          <w:sz w:val="22"/>
          <w:szCs w:val="22"/>
        </w:rPr>
      </w:pPr>
    </w:p>
    <w:p w14:paraId="3F655386" w14:textId="48A2A6B3" w:rsidR="000C26A6" w:rsidRPr="004477CA" w:rsidRDefault="06649723"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En términos geográficos, llama la atención la presencia recurrente de entidades de departamentos como Guaviare, La Guajira, y Chocó, regiones con características socioeconómicas y de infraestructura que podrían estar influyendo en la decisión de utilizar SECOP I en lugar de SECOP II. Esto podría responder a factores como conectividad limitada, acceso a tecnología o necesidades operativas locales, aunque estas posibles explicaciones no pueden ser confirmadas únicamente con los datos de este análisis.</w:t>
      </w:r>
    </w:p>
    <w:p w14:paraId="7F9BF62F" w14:textId="38DD5E9F" w:rsidR="000C26A6" w:rsidRPr="004477CA" w:rsidRDefault="000C26A6" w:rsidP="449377F1">
      <w:pPr>
        <w:jc w:val="both"/>
        <w:rPr>
          <w:rFonts w:ascii="Verdana Pro" w:eastAsia="Verdana Pro" w:hAnsi="Verdana Pro" w:cs="Verdana Pro"/>
          <w:sz w:val="22"/>
          <w:szCs w:val="22"/>
        </w:rPr>
      </w:pPr>
    </w:p>
    <w:p w14:paraId="3D779919" w14:textId="5B66F74E" w:rsidR="000C26A6" w:rsidRPr="004477CA" w:rsidRDefault="06649723"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El hecho de que estas contrataciones se sigan realizando a través de SECOP I en un contexto de obligatoriedad para el uso de SECOP II plantea cuestiones importantes sobre el cumplimiento de esta disposición normativa. La persistencia en el uso de SECOP I podría estar vinculada a una falta de adaptación tecnológica, procesos ya en curso antes de la implementación de la normativa.</w:t>
      </w:r>
    </w:p>
    <w:p w14:paraId="6796B24F" w14:textId="77777777" w:rsidR="007353D9" w:rsidRDefault="007353D9" w:rsidP="449377F1">
      <w:pPr>
        <w:ind w:left="360"/>
        <w:jc w:val="both"/>
        <w:rPr>
          <w:rFonts w:ascii="Verdana Pro" w:eastAsia="Verdana Pro" w:hAnsi="Verdana Pro" w:cs="Verdana Pro"/>
          <w:sz w:val="22"/>
          <w:szCs w:val="22"/>
        </w:rPr>
      </w:pPr>
    </w:p>
    <w:p w14:paraId="4398A67E" w14:textId="15C4180E" w:rsidR="007353D9" w:rsidRDefault="18D01D4B" w:rsidP="449377F1">
      <w:pPr>
        <w:pStyle w:val="Descripcin"/>
        <w:jc w:val="both"/>
        <w:rPr>
          <w:rFonts w:ascii="Verdana Pro" w:eastAsia="Verdana Pro" w:hAnsi="Verdana Pro" w:cs="Verdana Pro"/>
          <w:sz w:val="22"/>
          <w:szCs w:val="22"/>
        </w:rPr>
      </w:pPr>
      <w:bookmarkStart w:id="21" w:name="_Toc180136788"/>
      <w:r w:rsidRPr="449377F1">
        <w:rPr>
          <w:rFonts w:ascii="Verdana Pro" w:eastAsia="Verdana Pro" w:hAnsi="Verdana Pro" w:cs="Verdana Pro"/>
          <w:sz w:val="22"/>
          <w:szCs w:val="22"/>
        </w:rPr>
        <w:t xml:space="preserve">Gráfica </w:t>
      </w:r>
      <w:r w:rsidR="00162E56" w:rsidRPr="449377F1">
        <w:rPr>
          <w:rFonts w:ascii="Verdana" w:hAnsi="Verdana"/>
          <w:sz w:val="22"/>
          <w:szCs w:val="22"/>
        </w:rPr>
        <w:fldChar w:fldCharType="begin"/>
      </w:r>
      <w:r w:rsidR="00162E56" w:rsidRPr="449377F1">
        <w:rPr>
          <w:rFonts w:ascii="Verdana" w:hAnsi="Verdana"/>
          <w:sz w:val="22"/>
          <w:szCs w:val="22"/>
        </w:rPr>
        <w:instrText xml:space="preserve"> SEQ Gráfica \* ARABIC </w:instrText>
      </w:r>
      <w:r w:rsidR="00162E56" w:rsidRPr="449377F1">
        <w:rPr>
          <w:rFonts w:ascii="Verdana" w:hAnsi="Verdana"/>
          <w:sz w:val="22"/>
          <w:szCs w:val="22"/>
        </w:rPr>
        <w:fldChar w:fldCharType="separate"/>
      </w:r>
      <w:r w:rsidR="01938715" w:rsidRPr="449377F1">
        <w:rPr>
          <w:rFonts w:ascii="Verdana" w:hAnsi="Verdana"/>
          <w:noProof/>
          <w:sz w:val="22"/>
          <w:szCs w:val="22"/>
        </w:rPr>
        <w:t>21</w:t>
      </w:r>
      <w:r w:rsidR="00162E56" w:rsidRPr="449377F1">
        <w:rPr>
          <w:rFonts w:ascii="Verdana" w:hAnsi="Verdana"/>
          <w:sz w:val="22"/>
          <w:szCs w:val="22"/>
        </w:rPr>
        <w:fldChar w:fldCharType="end"/>
      </w:r>
      <w:r w:rsidRPr="449377F1">
        <w:rPr>
          <w:rFonts w:ascii="Verdana Pro" w:eastAsia="Verdana Pro" w:hAnsi="Verdana Pro" w:cs="Verdana Pro"/>
          <w:sz w:val="22"/>
          <w:szCs w:val="22"/>
        </w:rPr>
        <w:t xml:space="preserve">. Top </w:t>
      </w:r>
      <w:r w:rsidR="6B0B0C6E" w:rsidRPr="449377F1">
        <w:rPr>
          <w:rFonts w:ascii="Verdana Pro" w:eastAsia="Verdana Pro" w:hAnsi="Verdana Pro" w:cs="Verdana Pro"/>
          <w:sz w:val="22"/>
          <w:szCs w:val="22"/>
        </w:rPr>
        <w:t>1</w:t>
      </w:r>
      <w:r w:rsidRPr="449377F1">
        <w:rPr>
          <w:rFonts w:ascii="Verdana Pro" w:eastAsia="Verdana Pro" w:hAnsi="Verdana Pro" w:cs="Verdana Pro"/>
          <w:sz w:val="22"/>
          <w:szCs w:val="22"/>
        </w:rPr>
        <w:t>0 Entidades por valor de contratación, Sector Educación (en miles de millones de pesos)</w:t>
      </w:r>
      <w:bookmarkEnd w:id="21"/>
    </w:p>
    <w:p w14:paraId="487CD8BC" w14:textId="63F793AC" w:rsidR="007353D9" w:rsidRDefault="260A3B26" w:rsidP="449377F1">
      <w:pPr>
        <w:ind w:left="360"/>
        <w:jc w:val="both"/>
        <w:rPr>
          <w:rFonts w:ascii="Verdana Pro" w:eastAsia="Verdana Pro" w:hAnsi="Verdana Pro" w:cs="Verdana Pro"/>
        </w:rPr>
      </w:pPr>
      <w:r>
        <w:rPr>
          <w:noProof/>
        </w:rPr>
        <w:lastRenderedPageBreak/>
        <w:drawing>
          <wp:inline distT="0" distB="0" distL="0" distR="0" wp14:anchorId="1AE80D7B" wp14:editId="7327FB4D">
            <wp:extent cx="5973007" cy="2210108"/>
            <wp:effectExtent l="0" t="0" r="0" b="0"/>
            <wp:docPr id="1135382825" name="Picture 113538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973007" cy="2210108"/>
                    </a:xfrm>
                    <a:prstGeom prst="rect">
                      <a:avLst/>
                    </a:prstGeom>
                  </pic:spPr>
                </pic:pic>
              </a:graphicData>
            </a:graphic>
          </wp:inline>
        </w:drawing>
      </w:r>
    </w:p>
    <w:p w14:paraId="08AFCC48" w14:textId="77777777" w:rsidR="00F458FD" w:rsidRDefault="5E0F73A8"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4FE1994A" w14:textId="77777777" w:rsidR="007353D9" w:rsidRDefault="007353D9" w:rsidP="449377F1">
      <w:pPr>
        <w:ind w:left="360"/>
        <w:jc w:val="both"/>
        <w:rPr>
          <w:rFonts w:ascii="Verdana Pro" w:eastAsia="Verdana Pro" w:hAnsi="Verdana Pro" w:cs="Verdana Pro"/>
          <w:sz w:val="22"/>
          <w:szCs w:val="22"/>
        </w:rPr>
      </w:pPr>
    </w:p>
    <w:p w14:paraId="63F897AE" w14:textId="435A033E" w:rsidR="00CB793D" w:rsidRDefault="0F356B2D"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 </w:t>
      </w:r>
      <w:r w:rsidR="0407A9EF" w:rsidRPr="449377F1">
        <w:rPr>
          <w:rFonts w:ascii="Verdana Pro" w:eastAsia="Verdana Pro" w:hAnsi="Verdana Pro" w:cs="Verdana Pro"/>
          <w:sz w:val="22"/>
          <w:szCs w:val="22"/>
        </w:rPr>
        <w:t>En primer lugar, se ubicó la Gobernación del Guainía con 14 contratos que sumaron un total de $194.474 millones de pesos. En segundo lugar, se ubicó la Gobernación del Vaupés con 9 contratos por $73.360 millones. En tercer lugar, la Alcaldía de Puerto Gaitán, con 5 contratos que sumaron $40.980 millones de pesos.</w:t>
      </w:r>
    </w:p>
    <w:p w14:paraId="1D143ADD" w14:textId="68099A42" w:rsidR="00CB793D" w:rsidRDefault="00CB793D" w:rsidP="449377F1">
      <w:pPr>
        <w:ind w:left="360"/>
        <w:jc w:val="both"/>
        <w:rPr>
          <w:rFonts w:ascii="Verdana Pro" w:eastAsia="Verdana Pro" w:hAnsi="Verdana Pro" w:cs="Verdana Pro"/>
          <w:sz w:val="22"/>
          <w:szCs w:val="22"/>
        </w:rPr>
      </w:pPr>
    </w:p>
    <w:p w14:paraId="541F9CDD" w14:textId="3BC7FDB3" w:rsidR="00CB793D" w:rsidRDefault="0407A9EF"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Destacan dentro de las 10 entidades con más contratos en SECOP I, la Universidad del Atlántico con un contrato que ascendió a $29.819 millones de pesos, por ser la única entidad que no es una alcaldía o gobernación; y la Alcaldía de El Colegio con 28 contratos por concentrar el mayor número. Esto muestra la participación de municipios y gobernaciones los cuales son de quinta o sexta categoría</w:t>
      </w:r>
      <w:r w:rsidR="00CB793D" w:rsidRPr="449377F1">
        <w:rPr>
          <w:rFonts w:ascii="Verdana Pro" w:eastAsia="Verdana Pro" w:hAnsi="Verdana Pro" w:cs="Verdana Pro"/>
          <w:sz w:val="22"/>
          <w:szCs w:val="22"/>
          <w:vertAlign w:val="superscript"/>
        </w:rPr>
        <w:footnoteReference w:id="21"/>
      </w:r>
      <w:r w:rsidRPr="449377F1">
        <w:rPr>
          <w:rFonts w:ascii="Verdana Pro" w:eastAsia="Verdana Pro" w:hAnsi="Verdana Pro" w:cs="Verdana Pro"/>
          <w:sz w:val="22"/>
          <w:szCs w:val="22"/>
        </w:rPr>
        <w:t>.</w:t>
      </w:r>
    </w:p>
    <w:p w14:paraId="24C61A2C" w14:textId="25A2A611" w:rsidR="4B6F30B9" w:rsidRDefault="4B6F30B9" w:rsidP="449377F1">
      <w:pPr>
        <w:ind w:left="360"/>
        <w:jc w:val="both"/>
        <w:rPr>
          <w:rFonts w:ascii="Verdana Pro" w:eastAsia="Verdana Pro" w:hAnsi="Verdana Pro" w:cs="Verdana Pro"/>
          <w:sz w:val="22"/>
          <w:szCs w:val="22"/>
        </w:rPr>
      </w:pPr>
    </w:p>
    <w:p w14:paraId="1486B1D1" w14:textId="26A4C81C" w:rsidR="00CB793D" w:rsidRDefault="0C05A93C" w:rsidP="449377F1">
      <w:pPr>
        <w:pStyle w:val="Descripcin"/>
        <w:jc w:val="both"/>
        <w:rPr>
          <w:rFonts w:ascii="Verdana Pro" w:eastAsia="Verdana Pro" w:hAnsi="Verdana Pro" w:cs="Verdana Pro"/>
          <w:sz w:val="22"/>
          <w:szCs w:val="22"/>
        </w:rPr>
      </w:pPr>
      <w:bookmarkStart w:id="22" w:name="_Toc180136789"/>
      <w:r w:rsidRPr="449377F1">
        <w:rPr>
          <w:rFonts w:ascii="Verdana Pro" w:eastAsia="Verdana Pro" w:hAnsi="Verdana Pro" w:cs="Verdana Pro"/>
          <w:sz w:val="22"/>
          <w:szCs w:val="22"/>
        </w:rPr>
        <w:t xml:space="preserve">Gráfica </w:t>
      </w:r>
      <w:r w:rsidR="00A019FF" w:rsidRPr="449377F1">
        <w:rPr>
          <w:rFonts w:ascii="Verdana" w:hAnsi="Verdana"/>
          <w:sz w:val="22"/>
          <w:szCs w:val="22"/>
        </w:rPr>
        <w:fldChar w:fldCharType="begin"/>
      </w:r>
      <w:r w:rsidR="00A019FF" w:rsidRPr="449377F1">
        <w:rPr>
          <w:rFonts w:ascii="Verdana" w:hAnsi="Verdana"/>
          <w:sz w:val="22"/>
          <w:szCs w:val="22"/>
        </w:rPr>
        <w:instrText xml:space="preserve"> SEQ Gráfica \* ARABIC </w:instrText>
      </w:r>
      <w:r w:rsidR="00A019FF" w:rsidRPr="449377F1">
        <w:rPr>
          <w:rFonts w:ascii="Verdana" w:hAnsi="Verdana"/>
          <w:sz w:val="22"/>
          <w:szCs w:val="22"/>
        </w:rPr>
        <w:fldChar w:fldCharType="separate"/>
      </w:r>
      <w:r w:rsidR="01938715" w:rsidRPr="449377F1">
        <w:rPr>
          <w:rFonts w:ascii="Verdana" w:hAnsi="Verdana"/>
          <w:noProof/>
          <w:sz w:val="22"/>
          <w:szCs w:val="22"/>
        </w:rPr>
        <w:t>22</w:t>
      </w:r>
      <w:r w:rsidR="00A019FF" w:rsidRPr="449377F1">
        <w:rPr>
          <w:rFonts w:ascii="Verdana" w:hAnsi="Verdana"/>
          <w:sz w:val="22"/>
          <w:szCs w:val="22"/>
        </w:rPr>
        <w:fldChar w:fldCharType="end"/>
      </w:r>
      <w:r w:rsidRPr="449377F1">
        <w:rPr>
          <w:rFonts w:ascii="Verdana Pro" w:eastAsia="Verdana Pro" w:hAnsi="Verdana Pro" w:cs="Verdana Pro"/>
          <w:sz w:val="22"/>
          <w:szCs w:val="22"/>
        </w:rPr>
        <w:t>. Top 20 Entidades por valor de contratación, Sector Cultura (en miles de millones de pesos)</w:t>
      </w:r>
      <w:bookmarkEnd w:id="22"/>
    </w:p>
    <w:p w14:paraId="12769783" w14:textId="2BE87E29" w:rsidR="00992E48" w:rsidRPr="00992E48" w:rsidRDefault="517DFAC0" w:rsidP="449377F1">
      <w:pPr>
        <w:jc w:val="center"/>
        <w:rPr>
          <w:rFonts w:ascii="Verdana Pro" w:eastAsia="Verdana Pro" w:hAnsi="Verdana Pro" w:cs="Verdana Pro"/>
        </w:rPr>
      </w:pPr>
      <w:r>
        <w:rPr>
          <w:noProof/>
        </w:rPr>
        <w:lastRenderedPageBreak/>
        <w:drawing>
          <wp:inline distT="0" distB="0" distL="0" distR="0" wp14:anchorId="1F57AF23" wp14:editId="7E9C7DED">
            <wp:extent cx="6124574" cy="4057651"/>
            <wp:effectExtent l="0" t="0" r="0" b="0"/>
            <wp:docPr id="1471522015" name="Picture 147152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6124574" cy="4057651"/>
                    </a:xfrm>
                    <a:prstGeom prst="rect">
                      <a:avLst/>
                    </a:prstGeom>
                  </pic:spPr>
                </pic:pic>
              </a:graphicData>
            </a:graphic>
          </wp:inline>
        </w:drawing>
      </w:r>
    </w:p>
    <w:p w14:paraId="7988FB0F" w14:textId="77777777" w:rsidR="00992E48" w:rsidRDefault="3C252044"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22AD2F6B" w14:textId="77777777" w:rsidR="00CB793D" w:rsidRDefault="00CB793D" w:rsidP="449377F1">
      <w:pPr>
        <w:ind w:left="360"/>
        <w:jc w:val="both"/>
        <w:rPr>
          <w:rFonts w:ascii="Verdana Pro" w:eastAsia="Verdana Pro" w:hAnsi="Verdana Pro" w:cs="Verdana Pro"/>
          <w:sz w:val="22"/>
          <w:szCs w:val="22"/>
        </w:rPr>
      </w:pPr>
    </w:p>
    <w:p w14:paraId="6A0492AF" w14:textId="12D3A0E4"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El rango de los valores contractuales observados en este top 20 es amplio, la Alcaldía Municipal de Paujil ocupó el primer lugar, pues fue la entidad que concentró una mayor cantidad de valor contratado en el Sector al registrar $839 mil millones de pesos con una participación del 26% dentro del top 20, Sin embargo, esta cifra se distribuye solo en 9 contratos, lo que implica proyectos de alto valor por contrato.</w:t>
      </w:r>
    </w:p>
    <w:p w14:paraId="36456784" w14:textId="5E2111AE" w:rsidR="4B6F30B9" w:rsidRDefault="4B6F30B9" w:rsidP="449377F1">
      <w:pPr>
        <w:ind w:left="360"/>
        <w:jc w:val="both"/>
        <w:rPr>
          <w:rFonts w:ascii="Verdana Pro" w:eastAsia="Verdana Pro" w:hAnsi="Verdana Pro" w:cs="Verdana Pro"/>
          <w:sz w:val="22"/>
          <w:szCs w:val="22"/>
        </w:rPr>
      </w:pPr>
    </w:p>
    <w:p w14:paraId="1DE4F488" w14:textId="6B462E72"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En segundo lugar, está el Instituto Distrital de Recreación y Deporte (IDRD) de Bogotá con $359 mil millones distribuidos en 26 contratos y en una tercera posición la Alcaldía del Municipio de Sipí (Chocó) registra un valor contratado de $353 mil millones con únicamente 2 contratos, lo que refleja un alto promedio por contrato.</w:t>
      </w:r>
    </w:p>
    <w:p w14:paraId="350B792B" w14:textId="18EDD24C" w:rsidR="4B6F30B9" w:rsidRDefault="4B6F30B9" w:rsidP="449377F1">
      <w:pPr>
        <w:ind w:left="360"/>
        <w:jc w:val="both"/>
        <w:rPr>
          <w:rFonts w:ascii="Verdana Pro" w:eastAsia="Verdana Pro" w:hAnsi="Verdana Pro" w:cs="Verdana Pro"/>
          <w:sz w:val="22"/>
          <w:szCs w:val="22"/>
        </w:rPr>
      </w:pPr>
    </w:p>
    <w:p w14:paraId="6D0A3AEC" w14:textId="182EC19E"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Dicho esto, en cuanto a la concentración de los recursos, las tres principales entidades (El Paujil, IDRD y Sipí) concentran aproximadamente el 48% del valor total contratado, evidenciando una fuerte concentración de recursos en pocos </w:t>
      </w:r>
      <w:r w:rsidRPr="449377F1">
        <w:rPr>
          <w:rFonts w:ascii="Verdana Pro" w:eastAsia="Verdana Pro" w:hAnsi="Verdana Pro" w:cs="Verdana Pro"/>
          <w:sz w:val="22"/>
          <w:szCs w:val="22"/>
        </w:rPr>
        <w:lastRenderedPageBreak/>
        <w:t>actores. Así como también algunas entidades, como el Instituto De Deporte Y Recreación Del Meta, el Municipio de Bucaramanga, y la Cundinamarca Alcaldía Municipio Mosquera, tienen valores contratados significativos pero distribuidos en un número reducido de contratos, lo que sugiere grandes proyectos específicos.</w:t>
      </w:r>
    </w:p>
    <w:p w14:paraId="67743793" w14:textId="48CE0012" w:rsidR="4B6F30B9" w:rsidRDefault="4B6F30B9" w:rsidP="449377F1">
      <w:pPr>
        <w:ind w:left="360"/>
        <w:jc w:val="both"/>
        <w:rPr>
          <w:rFonts w:ascii="Verdana Pro" w:eastAsia="Verdana Pro" w:hAnsi="Verdana Pro" w:cs="Verdana Pro"/>
          <w:sz w:val="22"/>
          <w:szCs w:val="22"/>
        </w:rPr>
      </w:pPr>
    </w:p>
    <w:p w14:paraId="5A4147D9" w14:textId="402E4C42"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Desde otra perspectiva, se identifican algunas entidades con actividad de contratación moderada, esto es, valores contratados más bajos, pero aun así significativos, como el Gobierno Departamental del Tolima con $65 mil millones, la Alcaldía Municipal de Villavicencio con un valor total de 60 mil millones, y la Alcaldía Municipal de Ibagué con $58 mil millones. Estas entidades también reflejan una menor proporción de contratos.</w:t>
      </w:r>
    </w:p>
    <w:p w14:paraId="5162E3B3" w14:textId="7E77B792" w:rsidR="4B6F30B9" w:rsidRDefault="4B6F30B9" w:rsidP="449377F1">
      <w:pPr>
        <w:ind w:left="360"/>
        <w:jc w:val="both"/>
        <w:rPr>
          <w:rFonts w:ascii="Verdana Pro" w:eastAsia="Verdana Pro" w:hAnsi="Verdana Pro" w:cs="Verdana Pro"/>
          <w:sz w:val="22"/>
          <w:szCs w:val="22"/>
        </w:rPr>
      </w:pPr>
    </w:p>
    <w:p w14:paraId="7E036F36" w14:textId="6EB12865"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En resumen, se observa una notable disparidad entre el valor total contratado y la cantidad de contratos. Mientras algunas entidades gestionan proyectos de gran envergadura con un número reducido de contratos, otras presentan una mayor dispersión en su actividad contractual.</w:t>
      </w:r>
    </w:p>
    <w:p w14:paraId="67200586" w14:textId="5C6C859A" w:rsidR="4B6F30B9" w:rsidRDefault="4B6F30B9" w:rsidP="449377F1">
      <w:pPr>
        <w:ind w:left="360"/>
        <w:jc w:val="both"/>
        <w:rPr>
          <w:rFonts w:ascii="Verdana Pro" w:eastAsia="Verdana Pro" w:hAnsi="Verdana Pro" w:cs="Verdana Pro"/>
          <w:sz w:val="22"/>
          <w:szCs w:val="22"/>
        </w:rPr>
      </w:pPr>
    </w:p>
    <w:p w14:paraId="56A35139" w14:textId="6BF16C4F"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Los municipios pequeños como Sipí y El Paujil destacan por la magnitud de sus contratos, lo cual podría reflejar proyectos estratégicos específicos o de alto impacto en esas regiones.</w:t>
      </w:r>
    </w:p>
    <w:p w14:paraId="06D051D4" w14:textId="6A00E072" w:rsidR="4B6F30B9" w:rsidRDefault="4B6F30B9" w:rsidP="449377F1">
      <w:pPr>
        <w:ind w:left="360"/>
        <w:jc w:val="both"/>
        <w:rPr>
          <w:rFonts w:ascii="Verdana Pro" w:eastAsia="Verdana Pro" w:hAnsi="Verdana Pro" w:cs="Verdana Pro"/>
          <w:sz w:val="22"/>
          <w:szCs w:val="22"/>
        </w:rPr>
      </w:pPr>
    </w:p>
    <w:p w14:paraId="5C98C66C" w14:textId="7BFACCD9" w:rsidR="6115F362" w:rsidRDefault="30477FE0" w:rsidP="449377F1">
      <w:pPr>
        <w:ind w:left="360"/>
        <w:jc w:val="both"/>
        <w:rPr>
          <w:rFonts w:ascii="Verdana Pro" w:eastAsia="Verdana Pro" w:hAnsi="Verdana Pro" w:cs="Verdana Pro"/>
          <w:sz w:val="22"/>
          <w:szCs w:val="22"/>
        </w:rPr>
      </w:pPr>
      <w:r w:rsidRPr="449377F1">
        <w:rPr>
          <w:rFonts w:ascii="Verdana Pro" w:eastAsia="Verdana Pro" w:hAnsi="Verdana Pro" w:cs="Verdana Pro"/>
          <w:sz w:val="22"/>
          <w:szCs w:val="22"/>
        </w:rPr>
        <w:t>La presencia de entidades como IDRD y los institutos de deporte en este top 20 confirman que la contratación está dirigida a proyectos de infraestructura relacionados a la Cultura, la Recreación y el deporte efectivamente.</w:t>
      </w:r>
    </w:p>
    <w:p w14:paraId="0A053572" w14:textId="77777777" w:rsidR="005C2891" w:rsidRDefault="005C2891" w:rsidP="449377F1">
      <w:pPr>
        <w:pStyle w:val="Prrafodelista"/>
        <w:ind w:left="1080"/>
        <w:rPr>
          <w:rFonts w:ascii="Verdana Pro" w:eastAsia="Verdana Pro" w:hAnsi="Verdana Pro" w:cs="Verdana Pro"/>
        </w:rPr>
      </w:pPr>
    </w:p>
    <w:p w14:paraId="5A094946" w14:textId="1BA1D05D" w:rsidR="005C2891" w:rsidRPr="005C2891" w:rsidRDefault="2F7F92A0" w:rsidP="449377F1">
      <w:pPr>
        <w:pStyle w:val="Descripcin"/>
        <w:jc w:val="both"/>
        <w:rPr>
          <w:rFonts w:ascii="Verdana Pro" w:eastAsia="Verdana Pro" w:hAnsi="Verdana Pro" w:cs="Verdana Pro"/>
          <w:sz w:val="22"/>
          <w:szCs w:val="22"/>
        </w:rPr>
      </w:pPr>
      <w:bookmarkStart w:id="23" w:name="_Toc180136790"/>
      <w:r w:rsidRPr="449377F1">
        <w:rPr>
          <w:rFonts w:ascii="Verdana Pro" w:eastAsia="Verdana Pro" w:hAnsi="Verdana Pro" w:cs="Verdana Pro"/>
          <w:sz w:val="22"/>
          <w:szCs w:val="22"/>
        </w:rPr>
        <w:t xml:space="preserve">Gráfica </w:t>
      </w:r>
      <w:r w:rsidR="00A14F70" w:rsidRPr="449377F1">
        <w:rPr>
          <w:rFonts w:ascii="Verdana" w:hAnsi="Verdana"/>
          <w:sz w:val="22"/>
          <w:szCs w:val="22"/>
        </w:rPr>
        <w:fldChar w:fldCharType="begin"/>
      </w:r>
      <w:r w:rsidR="00A14F70" w:rsidRPr="449377F1">
        <w:rPr>
          <w:rFonts w:ascii="Verdana" w:hAnsi="Verdana"/>
          <w:sz w:val="22"/>
          <w:szCs w:val="22"/>
        </w:rPr>
        <w:instrText xml:space="preserve"> SEQ Gráfica \* ARABIC </w:instrText>
      </w:r>
      <w:r w:rsidR="00A14F70" w:rsidRPr="449377F1">
        <w:rPr>
          <w:rFonts w:ascii="Verdana" w:hAnsi="Verdana"/>
          <w:sz w:val="22"/>
          <w:szCs w:val="22"/>
        </w:rPr>
        <w:fldChar w:fldCharType="separate"/>
      </w:r>
      <w:r w:rsidR="01938715" w:rsidRPr="449377F1">
        <w:rPr>
          <w:rFonts w:ascii="Verdana" w:hAnsi="Verdana"/>
          <w:noProof/>
          <w:sz w:val="22"/>
          <w:szCs w:val="22"/>
        </w:rPr>
        <w:t>23</w:t>
      </w:r>
      <w:r w:rsidR="00A14F70" w:rsidRPr="449377F1">
        <w:rPr>
          <w:rFonts w:ascii="Verdana" w:hAnsi="Verdana"/>
          <w:sz w:val="22"/>
          <w:szCs w:val="22"/>
        </w:rPr>
        <w:fldChar w:fldCharType="end"/>
      </w:r>
      <w:r w:rsidRPr="449377F1">
        <w:rPr>
          <w:rFonts w:ascii="Verdana Pro" w:eastAsia="Verdana Pro" w:hAnsi="Verdana Pro" w:cs="Verdana Pro"/>
          <w:sz w:val="22"/>
          <w:szCs w:val="22"/>
        </w:rPr>
        <w:t>. Top 20 Entidades por valor de contratación, Sector Edificios Institucionales (en miles de millones de pesos)</w:t>
      </w:r>
      <w:bookmarkEnd w:id="23"/>
    </w:p>
    <w:p w14:paraId="00AEE8A8" w14:textId="77777777" w:rsidR="00A14F70" w:rsidRDefault="1838901A"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6D858AE8" w14:textId="1093F3FC" w:rsidR="005C2891" w:rsidRPr="000A5FB1" w:rsidRDefault="773A8F54" w:rsidP="449377F1">
      <w:pPr>
        <w:pStyle w:val="Prrafodelista"/>
        <w:ind w:left="1080"/>
        <w:jc w:val="left"/>
        <w:rPr>
          <w:rFonts w:ascii="Verdana Pro" w:eastAsia="Verdana Pro" w:hAnsi="Verdana Pro" w:cs="Verdana Pro"/>
        </w:rPr>
      </w:pPr>
      <w:r>
        <w:rPr>
          <w:noProof/>
        </w:rPr>
        <w:lastRenderedPageBreak/>
        <w:drawing>
          <wp:inline distT="0" distB="0" distL="0" distR="0" wp14:anchorId="2F07D28C" wp14:editId="7BC54249">
            <wp:extent cx="5297462" cy="2562225"/>
            <wp:effectExtent l="0" t="0" r="0" b="0"/>
            <wp:docPr id="1042361077" name="Picture 104236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297462" cy="2562225"/>
                    </a:xfrm>
                    <a:prstGeom prst="rect">
                      <a:avLst/>
                    </a:prstGeom>
                  </pic:spPr>
                </pic:pic>
              </a:graphicData>
            </a:graphic>
          </wp:inline>
        </w:drawing>
      </w:r>
    </w:p>
    <w:p w14:paraId="546737EB" w14:textId="77777777" w:rsidR="5906BBFC" w:rsidRDefault="773A8F54" w:rsidP="449377F1">
      <w:pPr>
        <w:ind w:left="360"/>
        <w:jc w:val="center"/>
        <w:rPr>
          <w:rFonts w:ascii="Verdana Pro" w:eastAsia="Verdana Pro" w:hAnsi="Verdana Pro" w:cs="Verdana Pro"/>
          <w:sz w:val="16"/>
          <w:szCs w:val="16"/>
        </w:rPr>
      </w:pPr>
      <w:r w:rsidRPr="449377F1">
        <w:rPr>
          <w:rFonts w:ascii="Verdana Pro" w:eastAsia="Verdana Pro" w:hAnsi="Verdana Pro" w:cs="Verdana Pro"/>
          <w:sz w:val="16"/>
          <w:szCs w:val="16"/>
        </w:rPr>
        <w:t>Fuente: Sistema Electrónico para la Contratación Pública. Cálculo S. EMAE</w:t>
      </w:r>
    </w:p>
    <w:p w14:paraId="6A259231" w14:textId="22D95807" w:rsidR="4B6F30B9" w:rsidRDefault="4B6F30B9" w:rsidP="449377F1">
      <w:pPr>
        <w:pStyle w:val="Prrafodelista"/>
        <w:ind w:left="1080"/>
        <w:jc w:val="left"/>
        <w:rPr>
          <w:rFonts w:ascii="Verdana Pro" w:eastAsia="Verdana Pro" w:hAnsi="Verdana Pro" w:cs="Verdana Pro"/>
        </w:rPr>
      </w:pPr>
    </w:p>
    <w:p w14:paraId="67285B11" w14:textId="25B3ACD4"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análisis de la tabla 5, que muestra el top 20 de entidades que más contrataron obras de infraestructura para el sector edificios institucionales, revela importantes patrones sobre la concentración y distribución de recursos en este ámbito. A continuación, se presenta un análisis detallado, basado exclusivamente en los datos proporcionados, con un enfoque que permite identificar las dinámicas clave en la contratación pública para este sector.</w:t>
      </w:r>
    </w:p>
    <w:p w14:paraId="7266919A" w14:textId="5DD19C63"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Análisis del valor contratado</w:t>
      </w:r>
    </w:p>
    <w:p w14:paraId="6F44D602" w14:textId="381902EC" w:rsidR="4B6F30B9" w:rsidRDefault="4B6F30B9" w:rsidP="00B00FCB">
      <w:pPr>
        <w:jc w:val="both"/>
        <w:rPr>
          <w:rFonts w:ascii="Verdana Pro" w:eastAsia="Verdana Pro" w:hAnsi="Verdana Pro" w:cs="Verdana Pro"/>
          <w:sz w:val="22"/>
          <w:szCs w:val="22"/>
        </w:rPr>
      </w:pPr>
    </w:p>
    <w:p w14:paraId="09F9B4BC" w14:textId="1A357268"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El Instituto de Desarrollo Urbano encabeza el listado con un valor contratado total de $637.943.680.114, lo que representa aproximadamente el 17.93% del total general. A pesar de realizar únicamente 10 contratos, esta entidad lidera en términos económicos, destacándose por su participación en procesos de alto impacto presupuestal que concentran una proporción significativa de los recursos asignados al sector.</w:t>
      </w:r>
    </w:p>
    <w:p w14:paraId="7902573C" w14:textId="04EBE475" w:rsidR="4B6F30B9" w:rsidRDefault="4B6F30B9" w:rsidP="00B00FCB">
      <w:pPr>
        <w:jc w:val="both"/>
        <w:rPr>
          <w:rFonts w:ascii="Verdana Pro" w:eastAsia="Verdana Pro" w:hAnsi="Verdana Pro" w:cs="Verdana Pro"/>
          <w:sz w:val="22"/>
          <w:szCs w:val="22"/>
        </w:rPr>
      </w:pPr>
    </w:p>
    <w:p w14:paraId="1AAD8787" w14:textId="6E34E77B"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La Unidad de Servicios Penitenciarios y Carcelarios (USPEC) se posiciona en el segundo lugar, con un valor contratado de $534.412.719.018, equivalente al 15.02% del total. Esta entidad no solo es destacable por el monto contratado, sino también por su volumen de contratos, con 48 procesos, lo que la sitúa como una de las entidades con mayor diversificación en sus operaciones.</w:t>
      </w:r>
    </w:p>
    <w:p w14:paraId="2A4B307C" w14:textId="504572CD" w:rsidR="4B6F30B9" w:rsidRDefault="4B6F30B9" w:rsidP="00B00FCB">
      <w:pPr>
        <w:jc w:val="both"/>
        <w:rPr>
          <w:rFonts w:ascii="Verdana Pro" w:eastAsia="Verdana Pro" w:hAnsi="Verdana Pro" w:cs="Verdana Pro"/>
          <w:sz w:val="22"/>
          <w:szCs w:val="22"/>
        </w:rPr>
      </w:pPr>
    </w:p>
    <w:p w14:paraId="4D0ADAAF" w14:textId="44FCC7E5"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lastRenderedPageBreak/>
        <w:t>En tercer lugar, la Corporación Autónoma Regional del Magdalena sobresale con $340.466.351.223, concentrados en un único contrato, reflejando una estrategia de alta concentración de recursos para un proyecto específico. Este patrón se repite en el caso del Municipio de San Vicente del Caguán, que con un solo contrato maneja un valor contratado de $233.104.785.000. Este enfoque sugiere que estas entidades priorizan proyectos de gran envergadura en lugar de una diversificación de procesos.</w:t>
      </w:r>
    </w:p>
    <w:p w14:paraId="47B97D4F" w14:textId="51EDB9A8" w:rsidR="4B6F30B9" w:rsidRDefault="4B6F30B9" w:rsidP="00B00FCB">
      <w:pPr>
        <w:jc w:val="both"/>
        <w:rPr>
          <w:rFonts w:ascii="Verdana Pro" w:eastAsia="Verdana Pro" w:hAnsi="Verdana Pro" w:cs="Verdana Pro"/>
          <w:sz w:val="22"/>
          <w:szCs w:val="22"/>
        </w:rPr>
      </w:pPr>
    </w:p>
    <w:p w14:paraId="72E94426" w14:textId="01BA7C49"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Entidades como la Agencia Nacional de Infraestructura (ANI), el Departamento de Santander y el Instituto Distrital de Recreación y Deporte presentan valores contratados significativos, entre $195.269.747.152 y $151.550.192.040, aunque su número de contratos oscila entre 1 y 7 procesos, lo que las ubica en un rango intermedio en términos de participación económica.</w:t>
      </w:r>
    </w:p>
    <w:p w14:paraId="1F181F75" w14:textId="4BC0343F" w:rsidR="4B6F30B9" w:rsidRDefault="4B6F30B9" w:rsidP="00B00FCB">
      <w:pPr>
        <w:jc w:val="both"/>
        <w:rPr>
          <w:rFonts w:ascii="Verdana Pro" w:eastAsia="Verdana Pro" w:hAnsi="Verdana Pro" w:cs="Verdana Pro"/>
          <w:sz w:val="22"/>
          <w:szCs w:val="22"/>
        </w:rPr>
      </w:pPr>
    </w:p>
    <w:p w14:paraId="72F1B475" w14:textId="279738EE" w:rsidR="5906BBFC" w:rsidRDefault="773A8F54" w:rsidP="00B00FCB">
      <w:pPr>
        <w:jc w:val="both"/>
        <w:rPr>
          <w:rFonts w:ascii="Verdana Pro" w:eastAsia="Verdana Pro" w:hAnsi="Verdana Pro" w:cs="Verdana Pro"/>
          <w:sz w:val="22"/>
          <w:szCs w:val="22"/>
        </w:rPr>
      </w:pPr>
      <w:r w:rsidRPr="449377F1">
        <w:rPr>
          <w:rFonts w:ascii="Verdana Pro" w:eastAsia="Verdana Pro" w:hAnsi="Verdana Pro" w:cs="Verdana Pro"/>
          <w:sz w:val="22"/>
          <w:szCs w:val="22"/>
        </w:rPr>
        <w:t>Por otro lado, las entidades con menor valor contratado, como la Gobernación del Departamento del Cesar ($63.214.638.339) y Aerocivil ($67.666.209.808), tienen un menor impacto económico. Sin embargo, la Aerocivil, con 27 contratos, refleja un enfoque más atomizado en la gestión de sus recursos.</w:t>
      </w:r>
    </w:p>
    <w:p w14:paraId="54564902" w14:textId="77777777" w:rsidR="00BC476F" w:rsidRDefault="00BC476F" w:rsidP="00BC476F">
      <w:pPr>
        <w:ind w:left="720"/>
        <w:rPr>
          <w:rFonts w:ascii="Verdana" w:hAnsi="Verdana" w:cs="Arial"/>
        </w:rPr>
      </w:pPr>
    </w:p>
    <w:p w14:paraId="45338678" w14:textId="21B88D6C" w:rsidR="00BC476F" w:rsidRDefault="00BC476F" w:rsidP="00BC476F">
      <w:pPr>
        <w:pStyle w:val="Descripcin"/>
        <w:jc w:val="both"/>
        <w:rPr>
          <w:rFonts w:ascii="Verdana" w:hAnsi="Verdana"/>
          <w:sz w:val="22"/>
          <w:szCs w:val="22"/>
        </w:rPr>
      </w:pPr>
      <w:bookmarkStart w:id="24" w:name="_Toc180136791"/>
      <w:r w:rsidRPr="4B6F30B9">
        <w:rPr>
          <w:rFonts w:ascii="Verdana" w:hAnsi="Verdana"/>
          <w:sz w:val="22"/>
          <w:szCs w:val="22"/>
        </w:rPr>
        <w:t xml:space="preserve">Gráfica </w:t>
      </w:r>
      <w:r w:rsidRPr="4B6F30B9">
        <w:rPr>
          <w:rFonts w:ascii="Verdana" w:hAnsi="Verdana"/>
          <w:sz w:val="22"/>
          <w:szCs w:val="22"/>
        </w:rPr>
        <w:fldChar w:fldCharType="begin"/>
      </w:r>
      <w:r w:rsidRPr="4B6F30B9">
        <w:rPr>
          <w:rFonts w:ascii="Verdana" w:hAnsi="Verdana"/>
          <w:sz w:val="22"/>
          <w:szCs w:val="22"/>
        </w:rPr>
        <w:instrText xml:space="preserve"> SEQ Gráfica \* ARABIC </w:instrText>
      </w:r>
      <w:r w:rsidRPr="4B6F30B9">
        <w:rPr>
          <w:rFonts w:ascii="Verdana" w:hAnsi="Verdana"/>
          <w:sz w:val="22"/>
          <w:szCs w:val="22"/>
        </w:rPr>
        <w:fldChar w:fldCharType="separate"/>
      </w:r>
      <w:r w:rsidRPr="4B6F30B9">
        <w:rPr>
          <w:rFonts w:ascii="Verdana" w:hAnsi="Verdana"/>
          <w:noProof/>
          <w:sz w:val="22"/>
          <w:szCs w:val="22"/>
        </w:rPr>
        <w:t>24</w:t>
      </w:r>
      <w:r w:rsidRPr="4B6F30B9">
        <w:rPr>
          <w:rFonts w:ascii="Verdana" w:hAnsi="Verdana"/>
          <w:sz w:val="22"/>
          <w:szCs w:val="22"/>
        </w:rPr>
        <w:fldChar w:fldCharType="end"/>
      </w:r>
      <w:r w:rsidRPr="4B6F30B9">
        <w:rPr>
          <w:rFonts w:ascii="Verdana" w:hAnsi="Verdana"/>
          <w:sz w:val="22"/>
          <w:szCs w:val="22"/>
        </w:rPr>
        <w:t>. Top 20 Entidades por valor de contratación, Sector Infraestructura de Seguridad (en miles de millones de pesos)</w:t>
      </w:r>
      <w:bookmarkEnd w:id="24"/>
    </w:p>
    <w:p w14:paraId="61A30B0C" w14:textId="23A7F2E0" w:rsidR="00BC476F" w:rsidRDefault="7930E343" w:rsidP="4B6F30B9">
      <w:pPr>
        <w:jc w:val="center"/>
      </w:pPr>
      <w:r>
        <w:rPr>
          <w:noProof/>
        </w:rPr>
        <w:drawing>
          <wp:inline distT="0" distB="0" distL="0" distR="0" wp14:anchorId="40AE76D5" wp14:editId="6B3864B5">
            <wp:extent cx="6124574" cy="2790825"/>
            <wp:effectExtent l="0" t="0" r="0" b="0"/>
            <wp:docPr id="942840645" name="Picture 94284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6124574" cy="2790825"/>
                    </a:xfrm>
                    <a:prstGeom prst="rect">
                      <a:avLst/>
                    </a:prstGeom>
                  </pic:spPr>
                </pic:pic>
              </a:graphicData>
            </a:graphic>
          </wp:inline>
        </w:drawing>
      </w:r>
    </w:p>
    <w:p w14:paraId="60717325" w14:textId="2C09A046" w:rsidR="001F5F0A" w:rsidRPr="001F5F0A" w:rsidRDefault="001F5F0A" w:rsidP="001F5F0A">
      <w:pPr>
        <w:jc w:val="center"/>
        <w:rPr>
          <w:rFonts w:ascii="Verdana" w:hAnsi="Verdana"/>
          <w:sz w:val="18"/>
          <w:szCs w:val="18"/>
          <w:lang w:val="es-ES" w:eastAsia="en-US"/>
        </w:rPr>
      </w:pPr>
      <w:r w:rsidRPr="4B6F30B9">
        <w:rPr>
          <w:rFonts w:ascii="Verdana" w:hAnsi="Verdana"/>
          <w:sz w:val="18"/>
          <w:szCs w:val="18"/>
          <w:lang w:val="es-ES" w:eastAsia="en-US"/>
        </w:rPr>
        <w:t>Fuente: Sistema Electrónico para la Contratación Pública. Cálculo S. EMAE</w:t>
      </w:r>
    </w:p>
    <w:p w14:paraId="5A9191D9" w14:textId="0786337E" w:rsidR="4B6F30B9" w:rsidRDefault="4B6F30B9" w:rsidP="4B6F30B9">
      <w:pPr>
        <w:ind w:left="720"/>
        <w:jc w:val="both"/>
        <w:rPr>
          <w:rFonts w:ascii="Verdana" w:hAnsi="Verdana" w:cs="Arial"/>
          <w:lang w:val="es-ES"/>
        </w:rPr>
      </w:pPr>
    </w:p>
    <w:p w14:paraId="4E127F84" w14:textId="57C7D50C" w:rsidR="001F5F0A" w:rsidRDefault="0588C18F" w:rsidP="00B00FCB">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lastRenderedPageBreak/>
        <w:t>La tabla presenta los valores contratados y el número de contratos celebrados por parte de las veinte primeras entidades según montos totales, con $1,53 billones de pesos (59,41% del total de recursos), en 192 contratos. La Policía Nacional, Dirección Logística y Financiera lidera en términos de valor contratado con $208.953 millones de pesos (13,6 % del total), en 29 contratos; seguida de la Central Administrativa Especializada Ingenieros (CENAC), que registró $208.651 millones de pesos (13,6 % del total), en 64 contratos, siendo, además, la entidad con el mayor número de contratos celebrados entre las veinte principales. En tercer lugar, la Alcaldía del Municipio de Sipí, Chocó, destaca con $175.050 millones de pesos (11,4 %) en un único contrato (realizado a través de SECOP I, cosa destacable, pues, en este sector durante las vigencias estudiadas, justamente es Sipí EL municipio que más montos contrató por medio de SECOP I), cuyo objeto, citado de manera textual, fue: “ADECUACIÓN Y MANTENIMIENTO DE LAS INSTALACIONES DE LA ESTACIÓN DE POLICÍA EN SIPÍ, DEPARTAMENTO DEL CHOCO”</w:t>
      </w:r>
      <w:r w:rsidR="001F5F0A" w:rsidRPr="449377F1">
        <w:rPr>
          <w:rFonts w:ascii="Verdana Pro" w:eastAsia="Verdana Pro" w:hAnsi="Verdana Pro" w:cs="Verdana Pro"/>
          <w:sz w:val="22"/>
          <w:szCs w:val="22"/>
          <w:vertAlign w:val="superscript"/>
          <w:lang w:val="es-ES"/>
        </w:rPr>
        <w:footnoteReference w:id="22"/>
      </w:r>
      <w:r w:rsidRPr="449377F1">
        <w:rPr>
          <w:rFonts w:ascii="Verdana Pro" w:eastAsia="Verdana Pro" w:hAnsi="Verdana Pro" w:cs="Verdana Pro"/>
          <w:sz w:val="22"/>
          <w:szCs w:val="22"/>
          <w:lang w:val="es-ES"/>
        </w:rPr>
        <w:t>.</w:t>
      </w:r>
    </w:p>
    <w:p w14:paraId="426D61D9" w14:textId="20142731" w:rsidR="001F5F0A" w:rsidRDefault="001F5F0A" w:rsidP="00B00FCB">
      <w:pPr>
        <w:jc w:val="both"/>
        <w:rPr>
          <w:rFonts w:ascii="Verdana Pro" w:eastAsia="Verdana Pro" w:hAnsi="Verdana Pro" w:cs="Verdana Pro"/>
          <w:sz w:val="22"/>
          <w:szCs w:val="22"/>
          <w:lang w:val="es-ES"/>
        </w:rPr>
      </w:pPr>
    </w:p>
    <w:p w14:paraId="0A1A9779" w14:textId="0DF3B700" w:rsidR="001F5F0A" w:rsidRDefault="0588C18F" w:rsidP="00B00FCB">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Otras entidades con valores significativos incluyen la Unidad de Servicios Penitenciarios y Carcelarios, USPEC, con $118.728 millones de pesos en 2 contratos y el Instituto de Desarrollo Urbano con $96.616 millones de pesos en 4 contratos. En contraste, las entidades con menores valores contratados son el Departamento de Córdoba, con $25.331 millones de pesos en 4 contratos, y la Armada Nacional, Batallón de Comando y Apoyo de Infantería de Marina No. 6, con $28.076 millones de pesos en 10 contratos.</w:t>
      </w:r>
    </w:p>
    <w:p w14:paraId="3386565B" w14:textId="26E37ACC" w:rsidR="001F5F0A" w:rsidRDefault="001F5F0A" w:rsidP="00B00FCB">
      <w:pPr>
        <w:jc w:val="both"/>
        <w:rPr>
          <w:rFonts w:ascii="Verdana Pro" w:eastAsia="Verdana Pro" w:hAnsi="Verdana Pro" w:cs="Verdana Pro"/>
          <w:sz w:val="22"/>
          <w:szCs w:val="22"/>
          <w:lang w:val="es-ES"/>
        </w:rPr>
      </w:pPr>
    </w:p>
    <w:p w14:paraId="780D368C" w14:textId="7B6D2837" w:rsidR="001F5F0A" w:rsidRDefault="0588C18F" w:rsidP="00B00FCB">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En términos del número de contratos, la Central Administrativa Especializada Ingenieros CENAC Ingenieros lidera con 64 procesos, seguida de la Policía Nacional, Dirección Logística y Financiera, con 29 contratos, y el Instituto Nacional de Vías, INVIAS, con 14 contratos. Por el contrario, entidades como la Alcaldía del Municipio de Sipí y las Unidades Tecnológicas de Santander registran solo 1 contrato, aunque con valores significativos.</w:t>
      </w:r>
    </w:p>
    <w:p w14:paraId="12645110" w14:textId="5482F2E8" w:rsidR="001F5F0A" w:rsidRDefault="001F5F0A" w:rsidP="00B00FCB">
      <w:pPr>
        <w:jc w:val="both"/>
        <w:rPr>
          <w:rFonts w:ascii="Verdana Pro" w:eastAsia="Verdana Pro" w:hAnsi="Verdana Pro" w:cs="Verdana Pro"/>
          <w:sz w:val="22"/>
          <w:szCs w:val="22"/>
          <w:lang w:val="es-ES"/>
        </w:rPr>
      </w:pPr>
    </w:p>
    <w:p w14:paraId="5F8D79FA" w14:textId="42077398" w:rsidR="001F5F0A" w:rsidRDefault="0588C18F" w:rsidP="00B00FCB">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 xml:space="preserve">Las últimas tres entidades en la tabla fueron el Instituto de Infraestructura y Concesiones de Cundinamarca, con un valor de $29.876 millones de pesos distribuidos en 4 contratos; Batallón de Comando y Apoyo de Infantería de Marina no6 (Armada Nacional), que registra $28.076 millones de pesos, en 10 contratos; y el Departamento de Córdoba, con $25.331 millones de pesos repartidos en 4 contratos. Estas tres entidades acumulan en conjunto $83.284 millones de pesos, lo que representa el 3,22 </w:t>
      </w:r>
      <w:r w:rsidRPr="449377F1">
        <w:rPr>
          <w:rFonts w:ascii="Verdana Pro" w:eastAsia="Verdana Pro" w:hAnsi="Verdana Pro" w:cs="Verdana Pro"/>
          <w:sz w:val="22"/>
          <w:szCs w:val="22"/>
          <w:lang w:val="es-ES"/>
        </w:rPr>
        <w:lastRenderedPageBreak/>
        <w:t>% del total contratado, con un total de 18 contratos, reflejando una participación baja tanto en cuantía como en número de contratos en comparación con las demás entidades listadas.</w:t>
      </w:r>
    </w:p>
    <w:p w14:paraId="633BFECC" w14:textId="65FE4574" w:rsidR="1C76665A" w:rsidRDefault="1C76665A" w:rsidP="00B00FCB">
      <w:pPr>
        <w:jc w:val="both"/>
        <w:rPr>
          <w:rFonts w:ascii="Verdana Pro" w:eastAsia="Verdana Pro" w:hAnsi="Verdana Pro" w:cs="Verdana Pro"/>
          <w:sz w:val="22"/>
          <w:szCs w:val="22"/>
          <w:lang w:val="es-ES"/>
        </w:rPr>
      </w:pPr>
    </w:p>
    <w:p w14:paraId="0432F931" w14:textId="33FF2B26" w:rsidR="609282B0" w:rsidRDefault="0588C18F" w:rsidP="00B00FCB">
      <w:pPr>
        <w:jc w:val="both"/>
        <w:rPr>
          <w:rFonts w:ascii="Verdana" w:hAnsi="Verdana" w:cs="Arial"/>
          <w:lang w:val="es-ES"/>
        </w:rPr>
      </w:pPr>
      <w:r w:rsidRPr="449377F1">
        <w:rPr>
          <w:rFonts w:ascii="Verdana Pro" w:eastAsia="Verdana Pro" w:hAnsi="Verdana Pro" w:cs="Verdana Pro"/>
          <w:sz w:val="22"/>
          <w:szCs w:val="22"/>
          <w:lang w:val="es-ES"/>
        </w:rPr>
        <w:t>En general, el análisis revela que unas pocas entidades concentran los mayores valores contratados, mientras que el número de contratos varía considerablemente según el tipo de entidad. Las entidades con grandes asignaciones de recursos muestran una combinación de procesos de alto valor con un número reducido de contratos.</w:t>
      </w:r>
      <w:r w:rsidR="208B998B" w:rsidRPr="449377F1">
        <w:rPr>
          <w:rFonts w:ascii="Verdana Pro" w:eastAsia="Verdana Pro" w:hAnsi="Verdana Pro" w:cs="Verdana Pro"/>
          <w:sz w:val="22"/>
          <w:szCs w:val="22"/>
          <w:lang w:val="es-ES"/>
        </w:rPr>
        <w:t xml:space="preserve"> </w:t>
      </w:r>
      <w:r w:rsidR="208B998B" w:rsidRPr="449377F1">
        <w:rPr>
          <w:rFonts w:ascii="Verdana" w:hAnsi="Verdana" w:cs="Arial"/>
          <w:lang w:val="es-ES"/>
        </w:rPr>
        <w:t xml:space="preserve"> </w:t>
      </w:r>
    </w:p>
    <w:p w14:paraId="7115F67E" w14:textId="2FEB2746" w:rsidR="609282B0" w:rsidRDefault="609282B0" w:rsidP="1C76665A">
      <w:pPr>
        <w:jc w:val="both"/>
        <w:rPr>
          <w:rFonts w:ascii="Verdana" w:hAnsi="Verdana" w:cs="Arial"/>
          <w:lang w:val="es-ES"/>
        </w:rPr>
      </w:pPr>
    </w:p>
    <w:p w14:paraId="7CDE46BC" w14:textId="3E3152FD" w:rsidR="609282B0" w:rsidRDefault="0A3F2E2B" w:rsidP="449377F1">
      <w:pPr>
        <w:jc w:val="center"/>
        <w:rPr>
          <w:rFonts w:ascii="Verdana" w:hAnsi="Verdana" w:cs="Arial"/>
          <w:b/>
          <w:bCs/>
          <w:lang w:val="es-ES"/>
        </w:rPr>
      </w:pPr>
      <w:r w:rsidRPr="449377F1">
        <w:rPr>
          <w:rFonts w:ascii="Verdana" w:hAnsi="Verdana" w:cs="Arial"/>
          <w:b/>
          <w:bCs/>
          <w:lang w:val="es-ES"/>
        </w:rPr>
        <w:t>ANALISIS DE PROCESOS EN EL SECTOR DE EDIFICACIONES INSTUCIONALES Y DE SEGURIDAD PUBLICA.</w:t>
      </w:r>
    </w:p>
    <w:p w14:paraId="3B627C42" w14:textId="7A8BDE79" w:rsidR="609282B0" w:rsidRDefault="609282B0" w:rsidP="449377F1">
      <w:pPr>
        <w:ind w:left="720"/>
        <w:jc w:val="both"/>
        <w:rPr>
          <w:rFonts w:ascii="Verdana Pro" w:eastAsia="Verdana Pro" w:hAnsi="Verdana Pro" w:cs="Verdana Pro"/>
          <w:sz w:val="22"/>
          <w:szCs w:val="22"/>
          <w:lang w:val="es-ES"/>
        </w:rPr>
      </w:pPr>
    </w:p>
    <w:p w14:paraId="440EDD8F" w14:textId="7DAD9CC5" w:rsidR="609282B0" w:rsidRDefault="3F90C08C" w:rsidP="449377F1">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 xml:space="preserve">Teniendo en cuenta la relevancia de los sectores de infraestructura institucional y de seguridad </w:t>
      </w:r>
      <w:r w:rsidR="1D588CB0" w:rsidRPr="449377F1">
        <w:rPr>
          <w:rFonts w:ascii="Verdana Pro" w:eastAsia="Verdana Pro" w:hAnsi="Verdana Pro" w:cs="Verdana Pro"/>
          <w:sz w:val="22"/>
          <w:szCs w:val="22"/>
          <w:lang w:val="es-ES"/>
        </w:rPr>
        <w:t>pública</w:t>
      </w:r>
      <w:r w:rsidRPr="449377F1">
        <w:rPr>
          <w:rFonts w:ascii="Verdana Pro" w:eastAsia="Verdana Pro" w:hAnsi="Verdana Pro" w:cs="Verdana Pro"/>
          <w:sz w:val="22"/>
          <w:szCs w:val="22"/>
          <w:lang w:val="es-ES"/>
        </w:rPr>
        <w:t xml:space="preserve">, </w:t>
      </w:r>
      <w:r w:rsidR="40993DD9" w:rsidRPr="449377F1">
        <w:rPr>
          <w:rFonts w:ascii="Verdana Pro" w:eastAsia="Verdana Pro" w:hAnsi="Verdana Pro" w:cs="Verdana Pro"/>
          <w:sz w:val="22"/>
          <w:szCs w:val="22"/>
          <w:lang w:val="es-ES"/>
        </w:rPr>
        <w:t xml:space="preserve">la Subdirección de EMAE </w:t>
      </w:r>
      <w:r w:rsidR="54E17ED1" w:rsidRPr="449377F1">
        <w:rPr>
          <w:rFonts w:ascii="Verdana Pro" w:eastAsia="Verdana Pro" w:hAnsi="Verdana Pro" w:cs="Verdana Pro"/>
          <w:sz w:val="22"/>
          <w:szCs w:val="22"/>
          <w:lang w:val="es-ES"/>
        </w:rPr>
        <w:t>analizó los contratos que se llevaron a cabo en las vigencias 2021, 2022, 2023 y parte del 2024, encontrando 870 procesos por valor de</w:t>
      </w:r>
      <w:r w:rsidR="32AD6DBB" w:rsidRPr="449377F1">
        <w:rPr>
          <w:rFonts w:ascii="Verdana Pro" w:eastAsia="Verdana Pro" w:hAnsi="Verdana Pro" w:cs="Verdana Pro"/>
          <w:sz w:val="22"/>
          <w:szCs w:val="22"/>
          <w:lang w:val="es-ES"/>
        </w:rPr>
        <w:t xml:space="preserve"> $2.244.419.612.081</w:t>
      </w:r>
      <w:r w:rsidR="609282B0" w:rsidRPr="449377F1">
        <w:rPr>
          <w:rFonts w:ascii="Verdana Pro" w:eastAsia="Verdana Pro" w:hAnsi="Verdana Pro" w:cs="Verdana Pro"/>
          <w:sz w:val="22"/>
          <w:szCs w:val="22"/>
          <w:vertAlign w:val="superscript"/>
          <w:lang w:val="es-ES"/>
        </w:rPr>
        <w:footnoteReference w:id="23"/>
      </w:r>
      <w:r w:rsidR="32AD6DBB" w:rsidRPr="449377F1">
        <w:rPr>
          <w:rFonts w:ascii="Verdana Pro" w:eastAsia="Verdana Pro" w:hAnsi="Verdana Pro" w:cs="Verdana Pro"/>
          <w:sz w:val="22"/>
          <w:szCs w:val="22"/>
          <w:lang w:val="es-ES"/>
        </w:rPr>
        <w:t xml:space="preserve">, de los cuales se evidenció </w:t>
      </w:r>
      <w:r w:rsidR="3C73D7DE" w:rsidRPr="449377F1">
        <w:rPr>
          <w:rFonts w:ascii="Verdana Pro" w:eastAsia="Verdana Pro" w:hAnsi="Verdana Pro" w:cs="Verdana Pro"/>
          <w:sz w:val="22"/>
          <w:szCs w:val="22"/>
          <w:lang w:val="es-ES"/>
        </w:rPr>
        <w:t>los siguiente:</w:t>
      </w:r>
    </w:p>
    <w:p w14:paraId="27DEBE50" w14:textId="0DC13F37" w:rsidR="1C76665A" w:rsidRDefault="1C76665A" w:rsidP="449377F1">
      <w:pPr>
        <w:jc w:val="both"/>
        <w:rPr>
          <w:rFonts w:ascii="Verdana Pro" w:eastAsia="Verdana Pro" w:hAnsi="Verdana Pro" w:cs="Verdana Pro"/>
          <w:sz w:val="22"/>
          <w:szCs w:val="22"/>
          <w:lang w:val="es-ES"/>
        </w:rPr>
      </w:pPr>
    </w:p>
    <w:p w14:paraId="462AB625" w14:textId="6BEF0E5A" w:rsidR="733D205F" w:rsidRDefault="4762E1E9" w:rsidP="449377F1">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 xml:space="preserve">El top de </w:t>
      </w:r>
      <w:r w:rsidR="07A94688" w:rsidRPr="449377F1">
        <w:rPr>
          <w:rFonts w:ascii="Verdana Pro" w:eastAsia="Verdana Pro" w:hAnsi="Verdana Pro" w:cs="Verdana Pro"/>
          <w:sz w:val="22"/>
          <w:szCs w:val="22"/>
          <w:lang w:val="es-ES"/>
        </w:rPr>
        <w:t xml:space="preserve">las 40 </w:t>
      </w:r>
      <w:r w:rsidRPr="449377F1">
        <w:rPr>
          <w:rFonts w:ascii="Verdana Pro" w:eastAsia="Verdana Pro" w:hAnsi="Verdana Pro" w:cs="Verdana Pro"/>
          <w:sz w:val="22"/>
          <w:szCs w:val="22"/>
          <w:lang w:val="es-ES"/>
        </w:rPr>
        <w:t xml:space="preserve">entidades con mayor </w:t>
      </w:r>
      <w:r w:rsidR="22BDFDED" w:rsidRPr="449377F1">
        <w:rPr>
          <w:rFonts w:ascii="Verdana Pro" w:eastAsia="Verdana Pro" w:hAnsi="Verdana Pro" w:cs="Verdana Pro"/>
          <w:sz w:val="22"/>
          <w:szCs w:val="22"/>
          <w:lang w:val="es-ES"/>
        </w:rPr>
        <w:t xml:space="preserve">valor en </w:t>
      </w:r>
      <w:r w:rsidRPr="449377F1">
        <w:rPr>
          <w:rFonts w:ascii="Verdana Pro" w:eastAsia="Verdana Pro" w:hAnsi="Verdana Pro" w:cs="Verdana Pro"/>
          <w:sz w:val="22"/>
          <w:szCs w:val="22"/>
          <w:lang w:val="es-ES"/>
        </w:rPr>
        <w:t>contratación</w:t>
      </w:r>
      <w:r w:rsidR="670E6EE4" w:rsidRPr="449377F1">
        <w:rPr>
          <w:rFonts w:ascii="Verdana Pro" w:eastAsia="Verdana Pro" w:hAnsi="Verdana Pro" w:cs="Verdana Pro"/>
          <w:sz w:val="22"/>
          <w:szCs w:val="22"/>
          <w:lang w:val="es-ES"/>
        </w:rPr>
        <w:t xml:space="preserve"> de los sectores institucional y de seguridad </w:t>
      </w:r>
      <w:r w:rsidR="342A49E1" w:rsidRPr="449377F1">
        <w:rPr>
          <w:rFonts w:ascii="Verdana Pro" w:eastAsia="Verdana Pro" w:hAnsi="Verdana Pro" w:cs="Verdana Pro"/>
          <w:sz w:val="22"/>
          <w:szCs w:val="22"/>
          <w:lang w:val="es-ES"/>
        </w:rPr>
        <w:t xml:space="preserve">pública, </w:t>
      </w:r>
      <w:r w:rsidR="670E6EE4" w:rsidRPr="449377F1">
        <w:rPr>
          <w:rFonts w:ascii="Verdana Pro" w:eastAsia="Verdana Pro" w:hAnsi="Verdana Pro" w:cs="Verdana Pro"/>
          <w:sz w:val="22"/>
          <w:szCs w:val="22"/>
          <w:lang w:val="es-ES"/>
        </w:rPr>
        <w:t>son</w:t>
      </w:r>
      <w:r w:rsidRPr="449377F1">
        <w:rPr>
          <w:rFonts w:ascii="Verdana Pro" w:eastAsia="Verdana Pro" w:hAnsi="Verdana Pro" w:cs="Verdana Pro"/>
          <w:sz w:val="22"/>
          <w:szCs w:val="22"/>
          <w:lang w:val="es-ES"/>
        </w:rPr>
        <w:t>:</w:t>
      </w:r>
    </w:p>
    <w:p w14:paraId="3097CAC6" w14:textId="39DD7C51" w:rsidR="3BC43353" w:rsidRDefault="3BC43353" w:rsidP="3BC43353">
      <w:pPr>
        <w:jc w:val="both"/>
        <w:rPr>
          <w:rFonts w:ascii="Verdana" w:hAnsi="Verdana" w:cs="Arial"/>
          <w:lang w:val="es-ES"/>
        </w:rPr>
      </w:pPr>
    </w:p>
    <w:p w14:paraId="1368F154" w14:textId="73142444" w:rsidR="48531126" w:rsidRDefault="527767B1" w:rsidP="3BC43353">
      <w:pPr>
        <w:jc w:val="center"/>
      </w:pPr>
      <w:r>
        <w:rPr>
          <w:noProof/>
        </w:rPr>
        <w:lastRenderedPageBreak/>
        <w:drawing>
          <wp:inline distT="0" distB="0" distL="0" distR="0" wp14:anchorId="387D6ED0" wp14:editId="0B7744CD">
            <wp:extent cx="5735254" cy="5612638"/>
            <wp:effectExtent l="0" t="0" r="0" b="0"/>
            <wp:docPr id="1850455468" name="Picture 185045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735254" cy="5612638"/>
                    </a:xfrm>
                    <a:prstGeom prst="rect">
                      <a:avLst/>
                    </a:prstGeom>
                  </pic:spPr>
                </pic:pic>
              </a:graphicData>
            </a:graphic>
          </wp:inline>
        </w:drawing>
      </w:r>
    </w:p>
    <w:p w14:paraId="734749E5" w14:textId="5E9761D5" w:rsidR="449377F1" w:rsidRDefault="449377F1" w:rsidP="449377F1">
      <w:pPr>
        <w:jc w:val="both"/>
        <w:rPr>
          <w:rFonts w:ascii="Verdana" w:hAnsi="Verdana" w:cs="Arial"/>
          <w:lang w:val="es-ES"/>
        </w:rPr>
      </w:pPr>
    </w:p>
    <w:p w14:paraId="5377362B" w14:textId="032BFEF4" w:rsidR="0A93BF36" w:rsidRDefault="460D1EF7" w:rsidP="449377F1">
      <w:pPr>
        <w:jc w:val="both"/>
        <w:rPr>
          <w:rFonts w:ascii="Verdana Pro" w:eastAsia="Verdana Pro" w:hAnsi="Verdana Pro" w:cs="Verdana Pro"/>
          <w:sz w:val="22"/>
          <w:szCs w:val="22"/>
          <w:lang w:val="es-ES"/>
        </w:rPr>
      </w:pPr>
      <w:r w:rsidRPr="449377F1">
        <w:rPr>
          <w:rFonts w:ascii="Verdana Pro" w:eastAsia="Verdana Pro" w:hAnsi="Verdana Pro" w:cs="Verdana Pro"/>
          <w:sz w:val="22"/>
          <w:szCs w:val="22"/>
          <w:lang w:val="es-ES"/>
        </w:rPr>
        <w:t xml:space="preserve">Del análisis de las entidades con mayor número de procesos, se tuvo este top de las 40 entidades de los sectores institucional y de seguridad </w:t>
      </w:r>
      <w:r w:rsidR="455CCEB3" w:rsidRPr="449377F1">
        <w:rPr>
          <w:rFonts w:ascii="Verdana Pro" w:eastAsia="Verdana Pro" w:hAnsi="Verdana Pro" w:cs="Verdana Pro"/>
          <w:sz w:val="22"/>
          <w:szCs w:val="22"/>
          <w:lang w:val="es-ES"/>
        </w:rPr>
        <w:t xml:space="preserve">pública, </w:t>
      </w:r>
      <w:r w:rsidRPr="449377F1">
        <w:rPr>
          <w:rFonts w:ascii="Verdana Pro" w:eastAsia="Verdana Pro" w:hAnsi="Verdana Pro" w:cs="Verdana Pro"/>
          <w:sz w:val="22"/>
          <w:szCs w:val="22"/>
          <w:lang w:val="es-ES"/>
        </w:rPr>
        <w:t>son:</w:t>
      </w:r>
    </w:p>
    <w:p w14:paraId="6076A5AD" w14:textId="1A417317" w:rsidR="3BC43353" w:rsidRDefault="3BC43353" w:rsidP="3BC43353">
      <w:pPr>
        <w:jc w:val="center"/>
      </w:pPr>
    </w:p>
    <w:p w14:paraId="14512CE8" w14:textId="0B3B3D7A" w:rsidR="460D1EF7" w:rsidRDefault="460D1EF7" w:rsidP="449377F1">
      <w:pPr>
        <w:jc w:val="center"/>
      </w:pPr>
      <w:r>
        <w:rPr>
          <w:noProof/>
        </w:rPr>
        <w:lastRenderedPageBreak/>
        <w:drawing>
          <wp:inline distT="0" distB="0" distL="0" distR="0" wp14:anchorId="13EC7750" wp14:editId="5CAF7FA6">
            <wp:extent cx="5924567" cy="6055783"/>
            <wp:effectExtent l="0" t="0" r="0" b="0"/>
            <wp:docPr id="1095602993" name="Picture 109560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924567" cy="6055783"/>
                    </a:xfrm>
                    <a:prstGeom prst="rect">
                      <a:avLst/>
                    </a:prstGeom>
                  </pic:spPr>
                </pic:pic>
              </a:graphicData>
            </a:graphic>
          </wp:inline>
        </w:drawing>
      </w:r>
    </w:p>
    <w:p w14:paraId="66448DF7" w14:textId="03B6E7EC" w:rsidR="449377F1" w:rsidRDefault="449377F1" w:rsidP="449377F1">
      <w:pPr>
        <w:jc w:val="center"/>
      </w:pPr>
    </w:p>
    <w:p w14:paraId="101C11D5" w14:textId="0A580DF5" w:rsidR="54226BC7" w:rsidRDefault="54226BC7" w:rsidP="449377F1">
      <w:pPr>
        <w:jc w:val="both"/>
        <w:rPr>
          <w:rFonts w:ascii="Verdana" w:hAnsi="Verdana" w:cs="Arial"/>
          <w:sz w:val="22"/>
          <w:szCs w:val="22"/>
        </w:rPr>
      </w:pPr>
      <w:r w:rsidRPr="449377F1">
        <w:rPr>
          <w:rFonts w:ascii="Verdana" w:hAnsi="Verdana" w:cs="Arial"/>
          <w:sz w:val="22"/>
          <w:szCs w:val="22"/>
        </w:rPr>
        <w:t xml:space="preserve">De este análisis se puede evidenciar de conformidad con las modalidades de contratación según las vigencias analizadas del 2021 a parte del 2024, </w:t>
      </w:r>
      <w:r w:rsidR="0579245D" w:rsidRPr="449377F1">
        <w:rPr>
          <w:rFonts w:ascii="Verdana" w:hAnsi="Verdana" w:cs="Arial"/>
          <w:sz w:val="22"/>
          <w:szCs w:val="22"/>
        </w:rPr>
        <w:t xml:space="preserve">la relevancia en </w:t>
      </w:r>
      <w:r w:rsidR="0579245D" w:rsidRPr="449377F1">
        <w:rPr>
          <w:rFonts w:ascii="Verdana" w:hAnsi="Verdana" w:cs="Arial"/>
          <w:sz w:val="22"/>
          <w:szCs w:val="22"/>
        </w:rPr>
        <w:lastRenderedPageBreak/>
        <w:t xml:space="preserve">montos de inversión de la licitación de obras públicas con un 88%, seguida por la modalidad de selección abreviada de menor cuantía: </w:t>
      </w:r>
    </w:p>
    <w:p w14:paraId="31EBA0CF" w14:textId="611CD4FC" w:rsidR="449377F1" w:rsidRDefault="449377F1" w:rsidP="449377F1">
      <w:pPr>
        <w:jc w:val="both"/>
        <w:rPr>
          <w:rFonts w:ascii="Verdana" w:hAnsi="Verdana" w:cs="Arial"/>
          <w:sz w:val="22"/>
          <w:szCs w:val="22"/>
        </w:rPr>
      </w:pPr>
    </w:p>
    <w:tbl>
      <w:tblPr>
        <w:tblW w:w="0" w:type="auto"/>
        <w:tblLayout w:type="fixed"/>
        <w:tblLook w:val="06A0" w:firstRow="1" w:lastRow="0" w:firstColumn="1" w:lastColumn="0" w:noHBand="1" w:noVBand="1"/>
      </w:tblPr>
      <w:tblGrid>
        <w:gridCol w:w="1223"/>
        <w:gridCol w:w="1570"/>
        <w:gridCol w:w="1863"/>
        <w:gridCol w:w="1606"/>
        <w:gridCol w:w="1659"/>
        <w:gridCol w:w="1870"/>
      </w:tblGrid>
      <w:tr w:rsidR="3BC43353" w14:paraId="651BE3A4" w14:textId="77777777" w:rsidTr="3BCD5C0E">
        <w:trPr>
          <w:trHeight w:val="900"/>
        </w:trPr>
        <w:tc>
          <w:tcPr>
            <w:tcW w:w="1223" w:type="dxa"/>
            <w:tcBorders>
              <w:top w:val="nil"/>
              <w:left w:val="nil"/>
              <w:bottom w:val="single" w:sz="4" w:space="0" w:color="44B3E1"/>
              <w:right w:val="nil"/>
            </w:tcBorders>
            <w:shd w:val="clear" w:color="auto" w:fill="C0E6F5"/>
            <w:tcMar>
              <w:top w:w="15" w:type="dxa"/>
              <w:left w:w="15" w:type="dxa"/>
              <w:right w:w="15" w:type="dxa"/>
            </w:tcMar>
            <w:vAlign w:val="center"/>
          </w:tcPr>
          <w:p w14:paraId="0970D52C" w14:textId="467D3B62" w:rsidR="3BC43353" w:rsidRDefault="7B4445E4" w:rsidP="3BCD5C0E">
            <w:pPr>
              <w:jc w:val="center"/>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Vigencia</w:t>
            </w:r>
          </w:p>
        </w:tc>
        <w:tc>
          <w:tcPr>
            <w:tcW w:w="1570" w:type="dxa"/>
            <w:tcBorders>
              <w:top w:val="nil"/>
              <w:left w:val="nil"/>
              <w:bottom w:val="single" w:sz="4" w:space="0" w:color="44B3E1"/>
              <w:right w:val="nil"/>
            </w:tcBorders>
            <w:shd w:val="clear" w:color="auto" w:fill="C0E6F5"/>
            <w:tcMar>
              <w:top w:w="15" w:type="dxa"/>
              <w:left w:w="15" w:type="dxa"/>
              <w:right w:w="15" w:type="dxa"/>
            </w:tcMar>
            <w:vAlign w:val="center"/>
          </w:tcPr>
          <w:p w14:paraId="0E115817" w14:textId="6E24CBC7" w:rsidR="3BC43353" w:rsidRDefault="7B4445E4" w:rsidP="3BCD5C0E">
            <w:pPr>
              <w:jc w:val="center"/>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Concurso de méritos abierto</w:t>
            </w:r>
          </w:p>
        </w:tc>
        <w:tc>
          <w:tcPr>
            <w:tcW w:w="1863" w:type="dxa"/>
            <w:tcBorders>
              <w:top w:val="nil"/>
              <w:left w:val="nil"/>
              <w:bottom w:val="single" w:sz="4" w:space="0" w:color="44B3E1"/>
              <w:right w:val="nil"/>
            </w:tcBorders>
            <w:shd w:val="clear" w:color="auto" w:fill="C0E6F5"/>
            <w:tcMar>
              <w:top w:w="15" w:type="dxa"/>
              <w:left w:w="15" w:type="dxa"/>
              <w:right w:w="15" w:type="dxa"/>
            </w:tcMar>
            <w:vAlign w:val="center"/>
          </w:tcPr>
          <w:p w14:paraId="11A97DCC" w14:textId="0CFB4744" w:rsidR="3BC43353" w:rsidRDefault="7B4445E4" w:rsidP="3BCD5C0E">
            <w:pPr>
              <w:jc w:val="center"/>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Licitación pública Obra Publica</w:t>
            </w:r>
          </w:p>
        </w:tc>
        <w:tc>
          <w:tcPr>
            <w:tcW w:w="1606" w:type="dxa"/>
            <w:tcBorders>
              <w:top w:val="nil"/>
              <w:left w:val="nil"/>
              <w:bottom w:val="single" w:sz="4" w:space="0" w:color="44B3E1"/>
              <w:right w:val="nil"/>
            </w:tcBorders>
            <w:shd w:val="clear" w:color="auto" w:fill="C0E6F5"/>
            <w:tcMar>
              <w:top w:w="15" w:type="dxa"/>
              <w:left w:w="15" w:type="dxa"/>
              <w:right w:w="15" w:type="dxa"/>
            </w:tcMar>
            <w:vAlign w:val="center"/>
          </w:tcPr>
          <w:p w14:paraId="32EBCDAB" w14:textId="74DFA9BF" w:rsidR="3BC43353" w:rsidRDefault="7B4445E4" w:rsidP="3BCD5C0E">
            <w:pPr>
              <w:jc w:val="center"/>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Mínima cuantía</w:t>
            </w:r>
          </w:p>
        </w:tc>
        <w:tc>
          <w:tcPr>
            <w:tcW w:w="1659" w:type="dxa"/>
            <w:tcBorders>
              <w:top w:val="nil"/>
              <w:left w:val="nil"/>
              <w:bottom w:val="single" w:sz="4" w:space="0" w:color="44B3E1"/>
              <w:right w:val="nil"/>
            </w:tcBorders>
            <w:shd w:val="clear" w:color="auto" w:fill="C0E6F5"/>
            <w:tcMar>
              <w:top w:w="15" w:type="dxa"/>
              <w:left w:w="15" w:type="dxa"/>
              <w:right w:w="15" w:type="dxa"/>
            </w:tcMar>
            <w:vAlign w:val="center"/>
          </w:tcPr>
          <w:p w14:paraId="3C9CD118" w14:textId="69918011" w:rsidR="3BC43353" w:rsidRDefault="7B4445E4" w:rsidP="3BCD5C0E">
            <w:pPr>
              <w:jc w:val="center"/>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Selección Abreviada de Menor Cuantía</w:t>
            </w:r>
          </w:p>
        </w:tc>
        <w:tc>
          <w:tcPr>
            <w:tcW w:w="1870" w:type="dxa"/>
            <w:tcBorders>
              <w:top w:val="nil"/>
              <w:left w:val="nil"/>
              <w:bottom w:val="single" w:sz="4" w:space="0" w:color="44B3E1"/>
              <w:right w:val="nil"/>
            </w:tcBorders>
            <w:shd w:val="clear" w:color="auto" w:fill="C0E6F5"/>
            <w:tcMar>
              <w:top w:w="15" w:type="dxa"/>
              <w:left w:w="15" w:type="dxa"/>
              <w:right w:w="15" w:type="dxa"/>
            </w:tcMar>
            <w:vAlign w:val="center"/>
          </w:tcPr>
          <w:p w14:paraId="6A600DC4" w14:textId="2396D1EF" w:rsidR="3BC43353" w:rsidRDefault="7B4445E4" w:rsidP="3BCD5C0E">
            <w:pPr>
              <w:jc w:val="center"/>
              <w:rPr>
                <w:rFonts w:ascii="Verdana Pro" w:eastAsia="Verdana Pro" w:hAnsi="Verdana Pro" w:cs="Verdana Pro"/>
                <w:b/>
                <w:bCs/>
                <w:color w:val="000000" w:themeColor="text1"/>
                <w:sz w:val="16"/>
                <w:szCs w:val="16"/>
              </w:rPr>
            </w:pPr>
            <w:proofErr w:type="gramStart"/>
            <w:r w:rsidRPr="3BCD5C0E">
              <w:rPr>
                <w:rFonts w:ascii="Verdana Pro" w:eastAsia="Verdana Pro" w:hAnsi="Verdana Pro" w:cs="Verdana Pro"/>
                <w:b/>
                <w:bCs/>
                <w:color w:val="000000" w:themeColor="text1"/>
                <w:sz w:val="16"/>
                <w:szCs w:val="16"/>
              </w:rPr>
              <w:t>Total</w:t>
            </w:r>
            <w:proofErr w:type="gramEnd"/>
            <w:r w:rsidRPr="3BCD5C0E">
              <w:rPr>
                <w:rFonts w:ascii="Verdana Pro" w:eastAsia="Verdana Pro" w:hAnsi="Verdana Pro" w:cs="Verdana Pro"/>
                <w:b/>
                <w:bCs/>
                <w:color w:val="000000" w:themeColor="text1"/>
                <w:sz w:val="16"/>
                <w:szCs w:val="16"/>
              </w:rPr>
              <w:t xml:space="preserve"> general</w:t>
            </w:r>
          </w:p>
        </w:tc>
      </w:tr>
      <w:tr w:rsidR="3BC43353" w14:paraId="30771D00" w14:textId="77777777" w:rsidTr="3BCD5C0E">
        <w:trPr>
          <w:trHeight w:val="330"/>
        </w:trPr>
        <w:tc>
          <w:tcPr>
            <w:tcW w:w="1223" w:type="dxa"/>
            <w:tcBorders>
              <w:top w:val="single" w:sz="4" w:space="0" w:color="44B3E1"/>
              <w:left w:val="nil"/>
              <w:bottom w:val="nil"/>
              <w:right w:val="nil"/>
            </w:tcBorders>
            <w:tcMar>
              <w:top w:w="15" w:type="dxa"/>
              <w:left w:w="15" w:type="dxa"/>
              <w:right w:w="15" w:type="dxa"/>
            </w:tcMar>
            <w:vAlign w:val="bottom"/>
          </w:tcPr>
          <w:p w14:paraId="2327FD19" w14:textId="7BFD444B" w:rsidR="3BC43353" w:rsidRDefault="7B4445E4" w:rsidP="3BCD5C0E">
            <w:pPr>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2021</w:t>
            </w:r>
          </w:p>
        </w:tc>
        <w:tc>
          <w:tcPr>
            <w:tcW w:w="1570" w:type="dxa"/>
            <w:tcBorders>
              <w:top w:val="single" w:sz="4" w:space="0" w:color="44B3E1"/>
              <w:left w:val="nil"/>
              <w:bottom w:val="nil"/>
              <w:right w:val="nil"/>
            </w:tcBorders>
            <w:tcMar>
              <w:top w:w="15" w:type="dxa"/>
              <w:left w:w="15" w:type="dxa"/>
              <w:right w:w="15" w:type="dxa"/>
            </w:tcMar>
            <w:vAlign w:val="bottom"/>
          </w:tcPr>
          <w:p w14:paraId="3ACCB0B2" w14:textId="15297D03" w:rsidR="3BC43353" w:rsidRDefault="3BC43353" w:rsidP="3BCD5C0E">
            <w:pPr>
              <w:rPr>
                <w:rFonts w:ascii="Verdana Pro" w:eastAsia="Verdana Pro" w:hAnsi="Verdana Pro" w:cs="Verdana Pro"/>
                <w:sz w:val="18"/>
                <w:szCs w:val="18"/>
              </w:rPr>
            </w:pPr>
          </w:p>
        </w:tc>
        <w:tc>
          <w:tcPr>
            <w:tcW w:w="1863" w:type="dxa"/>
            <w:tcBorders>
              <w:top w:val="single" w:sz="4" w:space="0" w:color="44B3E1"/>
              <w:left w:val="nil"/>
              <w:bottom w:val="nil"/>
              <w:right w:val="nil"/>
            </w:tcBorders>
            <w:tcMar>
              <w:top w:w="15" w:type="dxa"/>
              <w:left w:w="15" w:type="dxa"/>
              <w:right w:w="15" w:type="dxa"/>
            </w:tcMar>
            <w:vAlign w:val="bottom"/>
          </w:tcPr>
          <w:p w14:paraId="2DD0C0FF" w14:textId="36634739"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44.662.128.827</w:t>
            </w:r>
          </w:p>
        </w:tc>
        <w:tc>
          <w:tcPr>
            <w:tcW w:w="1606" w:type="dxa"/>
            <w:tcBorders>
              <w:top w:val="single" w:sz="4" w:space="0" w:color="44B3E1"/>
              <w:left w:val="nil"/>
              <w:bottom w:val="nil"/>
              <w:right w:val="nil"/>
            </w:tcBorders>
            <w:tcMar>
              <w:top w:w="15" w:type="dxa"/>
              <w:left w:w="15" w:type="dxa"/>
              <w:right w:w="15" w:type="dxa"/>
            </w:tcMar>
            <w:vAlign w:val="bottom"/>
          </w:tcPr>
          <w:p w14:paraId="6472F991" w14:textId="5297F945"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51.917.495</w:t>
            </w:r>
          </w:p>
        </w:tc>
        <w:tc>
          <w:tcPr>
            <w:tcW w:w="1659" w:type="dxa"/>
            <w:tcBorders>
              <w:top w:val="single" w:sz="4" w:space="0" w:color="44B3E1"/>
              <w:left w:val="nil"/>
              <w:bottom w:val="nil"/>
              <w:right w:val="nil"/>
            </w:tcBorders>
            <w:tcMar>
              <w:top w:w="15" w:type="dxa"/>
              <w:left w:w="15" w:type="dxa"/>
              <w:right w:w="15" w:type="dxa"/>
            </w:tcMar>
            <w:vAlign w:val="bottom"/>
          </w:tcPr>
          <w:p w14:paraId="624BEB78" w14:textId="731F29B1"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6.170.185.796</w:t>
            </w:r>
          </w:p>
        </w:tc>
        <w:tc>
          <w:tcPr>
            <w:tcW w:w="1870" w:type="dxa"/>
            <w:tcBorders>
              <w:top w:val="single" w:sz="4" w:space="0" w:color="44B3E1"/>
              <w:left w:val="nil"/>
              <w:bottom w:val="nil"/>
              <w:right w:val="nil"/>
            </w:tcBorders>
            <w:tcMar>
              <w:top w:w="15" w:type="dxa"/>
              <w:left w:w="15" w:type="dxa"/>
              <w:right w:w="15" w:type="dxa"/>
            </w:tcMar>
            <w:vAlign w:val="bottom"/>
          </w:tcPr>
          <w:p w14:paraId="23926558" w14:textId="7C0D1ACB"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50.884.232.118</w:t>
            </w:r>
          </w:p>
        </w:tc>
      </w:tr>
      <w:tr w:rsidR="3BC43353" w14:paraId="093EDEB9" w14:textId="77777777" w:rsidTr="3BCD5C0E">
        <w:trPr>
          <w:trHeight w:val="330"/>
        </w:trPr>
        <w:tc>
          <w:tcPr>
            <w:tcW w:w="1223" w:type="dxa"/>
            <w:tcBorders>
              <w:top w:val="nil"/>
              <w:left w:val="nil"/>
              <w:bottom w:val="nil"/>
              <w:right w:val="nil"/>
            </w:tcBorders>
            <w:tcMar>
              <w:top w:w="15" w:type="dxa"/>
              <w:left w:w="15" w:type="dxa"/>
              <w:right w:w="15" w:type="dxa"/>
            </w:tcMar>
            <w:vAlign w:val="bottom"/>
          </w:tcPr>
          <w:p w14:paraId="1844351F" w14:textId="683E23D2" w:rsidR="3BC43353" w:rsidRDefault="7B4445E4" w:rsidP="3BCD5C0E">
            <w:pPr>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2022</w:t>
            </w:r>
          </w:p>
        </w:tc>
        <w:tc>
          <w:tcPr>
            <w:tcW w:w="1570" w:type="dxa"/>
            <w:tcBorders>
              <w:top w:val="nil"/>
              <w:left w:val="nil"/>
              <w:bottom w:val="nil"/>
              <w:right w:val="nil"/>
            </w:tcBorders>
            <w:tcMar>
              <w:top w:w="15" w:type="dxa"/>
              <w:left w:w="15" w:type="dxa"/>
              <w:right w:w="15" w:type="dxa"/>
            </w:tcMar>
            <w:vAlign w:val="bottom"/>
          </w:tcPr>
          <w:p w14:paraId="73C70175" w14:textId="5EC269C4"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35.535.526.316</w:t>
            </w:r>
          </w:p>
        </w:tc>
        <w:tc>
          <w:tcPr>
            <w:tcW w:w="1863" w:type="dxa"/>
            <w:tcBorders>
              <w:top w:val="nil"/>
              <w:left w:val="nil"/>
              <w:bottom w:val="nil"/>
              <w:right w:val="nil"/>
            </w:tcBorders>
            <w:tcMar>
              <w:top w:w="15" w:type="dxa"/>
              <w:left w:w="15" w:type="dxa"/>
              <w:right w:w="15" w:type="dxa"/>
            </w:tcMar>
            <w:vAlign w:val="bottom"/>
          </w:tcPr>
          <w:p w14:paraId="5CF03E29" w14:textId="02EA42CD"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550.470.117.818</w:t>
            </w:r>
          </w:p>
        </w:tc>
        <w:tc>
          <w:tcPr>
            <w:tcW w:w="1606" w:type="dxa"/>
            <w:tcBorders>
              <w:top w:val="nil"/>
              <w:left w:val="nil"/>
              <w:bottom w:val="nil"/>
              <w:right w:val="nil"/>
            </w:tcBorders>
            <w:tcMar>
              <w:top w:w="15" w:type="dxa"/>
              <w:left w:w="15" w:type="dxa"/>
              <w:right w:w="15" w:type="dxa"/>
            </w:tcMar>
            <w:vAlign w:val="bottom"/>
          </w:tcPr>
          <w:p w14:paraId="182D361B" w14:textId="18E95A0D"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79.950.745</w:t>
            </w:r>
          </w:p>
        </w:tc>
        <w:tc>
          <w:tcPr>
            <w:tcW w:w="1659" w:type="dxa"/>
            <w:tcBorders>
              <w:top w:val="nil"/>
              <w:left w:val="nil"/>
              <w:bottom w:val="nil"/>
              <w:right w:val="nil"/>
            </w:tcBorders>
            <w:tcMar>
              <w:top w:w="15" w:type="dxa"/>
              <w:left w:w="15" w:type="dxa"/>
              <w:right w:w="15" w:type="dxa"/>
            </w:tcMar>
            <w:vAlign w:val="bottom"/>
          </w:tcPr>
          <w:p w14:paraId="50C6B61B" w14:textId="54C174B1"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107.645.858.315</w:t>
            </w:r>
          </w:p>
        </w:tc>
        <w:tc>
          <w:tcPr>
            <w:tcW w:w="1870" w:type="dxa"/>
            <w:tcBorders>
              <w:top w:val="nil"/>
              <w:left w:val="nil"/>
              <w:bottom w:val="nil"/>
              <w:right w:val="nil"/>
            </w:tcBorders>
            <w:tcMar>
              <w:top w:w="15" w:type="dxa"/>
              <w:left w:w="15" w:type="dxa"/>
              <w:right w:w="15" w:type="dxa"/>
            </w:tcMar>
            <w:vAlign w:val="bottom"/>
          </w:tcPr>
          <w:p w14:paraId="379C30F6" w14:textId="0FEA46DA"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693.731.453.194</w:t>
            </w:r>
          </w:p>
        </w:tc>
      </w:tr>
      <w:tr w:rsidR="3BC43353" w14:paraId="35170B19" w14:textId="77777777" w:rsidTr="3BCD5C0E">
        <w:trPr>
          <w:trHeight w:val="330"/>
        </w:trPr>
        <w:tc>
          <w:tcPr>
            <w:tcW w:w="1223" w:type="dxa"/>
            <w:tcBorders>
              <w:top w:val="nil"/>
              <w:left w:val="nil"/>
              <w:bottom w:val="nil"/>
              <w:right w:val="nil"/>
            </w:tcBorders>
            <w:tcMar>
              <w:top w:w="15" w:type="dxa"/>
              <w:left w:w="15" w:type="dxa"/>
              <w:right w:w="15" w:type="dxa"/>
            </w:tcMar>
            <w:vAlign w:val="bottom"/>
          </w:tcPr>
          <w:p w14:paraId="47D99B4D" w14:textId="5FA290CC" w:rsidR="3BC43353" w:rsidRDefault="7B4445E4" w:rsidP="3BCD5C0E">
            <w:pPr>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2023</w:t>
            </w:r>
          </w:p>
        </w:tc>
        <w:tc>
          <w:tcPr>
            <w:tcW w:w="1570" w:type="dxa"/>
            <w:tcBorders>
              <w:top w:val="nil"/>
              <w:left w:val="nil"/>
              <w:bottom w:val="nil"/>
              <w:right w:val="nil"/>
            </w:tcBorders>
            <w:tcMar>
              <w:top w:w="15" w:type="dxa"/>
              <w:left w:w="15" w:type="dxa"/>
              <w:right w:w="15" w:type="dxa"/>
            </w:tcMar>
            <w:vAlign w:val="bottom"/>
          </w:tcPr>
          <w:p w14:paraId="608FB9FB" w14:textId="7C917E25"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43.664.954.044</w:t>
            </w:r>
          </w:p>
        </w:tc>
        <w:tc>
          <w:tcPr>
            <w:tcW w:w="1863" w:type="dxa"/>
            <w:tcBorders>
              <w:top w:val="nil"/>
              <w:left w:val="nil"/>
              <w:bottom w:val="nil"/>
              <w:right w:val="nil"/>
            </w:tcBorders>
            <w:tcMar>
              <w:top w:w="15" w:type="dxa"/>
              <w:left w:w="15" w:type="dxa"/>
              <w:right w:w="15" w:type="dxa"/>
            </w:tcMar>
            <w:vAlign w:val="bottom"/>
          </w:tcPr>
          <w:p w14:paraId="2C2D2627" w14:textId="217A0C4F"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826.567.868.335</w:t>
            </w:r>
          </w:p>
        </w:tc>
        <w:tc>
          <w:tcPr>
            <w:tcW w:w="1606" w:type="dxa"/>
            <w:tcBorders>
              <w:top w:val="nil"/>
              <w:left w:val="nil"/>
              <w:bottom w:val="nil"/>
              <w:right w:val="nil"/>
            </w:tcBorders>
            <w:tcMar>
              <w:top w:w="15" w:type="dxa"/>
              <w:left w:w="15" w:type="dxa"/>
              <w:right w:w="15" w:type="dxa"/>
            </w:tcMar>
            <w:vAlign w:val="bottom"/>
          </w:tcPr>
          <w:p w14:paraId="6E066F2E" w14:textId="599EEA4A" w:rsidR="3BC43353" w:rsidRDefault="3BC43353" w:rsidP="3BCD5C0E">
            <w:pPr>
              <w:rPr>
                <w:rFonts w:ascii="Verdana Pro" w:eastAsia="Verdana Pro" w:hAnsi="Verdana Pro" w:cs="Verdana Pro"/>
                <w:sz w:val="18"/>
                <w:szCs w:val="18"/>
              </w:rPr>
            </w:pPr>
          </w:p>
        </w:tc>
        <w:tc>
          <w:tcPr>
            <w:tcW w:w="1659" w:type="dxa"/>
            <w:tcBorders>
              <w:top w:val="nil"/>
              <w:left w:val="nil"/>
              <w:bottom w:val="nil"/>
              <w:right w:val="nil"/>
            </w:tcBorders>
            <w:tcMar>
              <w:top w:w="15" w:type="dxa"/>
              <w:left w:w="15" w:type="dxa"/>
              <w:right w:w="15" w:type="dxa"/>
            </w:tcMar>
            <w:vAlign w:val="bottom"/>
          </w:tcPr>
          <w:p w14:paraId="627498A7" w14:textId="144415C6"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381.042.851.395</w:t>
            </w:r>
          </w:p>
        </w:tc>
        <w:tc>
          <w:tcPr>
            <w:tcW w:w="1870" w:type="dxa"/>
            <w:tcBorders>
              <w:top w:val="nil"/>
              <w:left w:val="nil"/>
              <w:bottom w:val="nil"/>
              <w:right w:val="nil"/>
            </w:tcBorders>
            <w:tcMar>
              <w:top w:w="15" w:type="dxa"/>
              <w:left w:w="15" w:type="dxa"/>
              <w:right w:w="15" w:type="dxa"/>
            </w:tcMar>
            <w:vAlign w:val="bottom"/>
          </w:tcPr>
          <w:p w14:paraId="13E67758" w14:textId="44E2AE47"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1.251.275.673.774</w:t>
            </w:r>
          </w:p>
        </w:tc>
      </w:tr>
      <w:tr w:rsidR="3BC43353" w14:paraId="36307A14" w14:textId="77777777" w:rsidTr="3BCD5C0E">
        <w:trPr>
          <w:trHeight w:val="330"/>
        </w:trPr>
        <w:tc>
          <w:tcPr>
            <w:tcW w:w="1223" w:type="dxa"/>
            <w:tcBorders>
              <w:top w:val="nil"/>
              <w:left w:val="nil"/>
              <w:bottom w:val="nil"/>
              <w:right w:val="nil"/>
            </w:tcBorders>
            <w:tcMar>
              <w:top w:w="15" w:type="dxa"/>
              <w:left w:w="15" w:type="dxa"/>
              <w:right w:w="15" w:type="dxa"/>
            </w:tcMar>
            <w:vAlign w:val="bottom"/>
          </w:tcPr>
          <w:p w14:paraId="43069AAB" w14:textId="44DD3765" w:rsidR="3BC43353" w:rsidRDefault="7B4445E4" w:rsidP="3BCD5C0E">
            <w:pPr>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2024</w:t>
            </w:r>
          </w:p>
        </w:tc>
        <w:tc>
          <w:tcPr>
            <w:tcW w:w="1570" w:type="dxa"/>
            <w:tcBorders>
              <w:top w:val="nil"/>
              <w:left w:val="nil"/>
              <w:bottom w:val="nil"/>
              <w:right w:val="nil"/>
            </w:tcBorders>
            <w:tcMar>
              <w:top w:w="15" w:type="dxa"/>
              <w:left w:w="15" w:type="dxa"/>
              <w:right w:w="15" w:type="dxa"/>
            </w:tcMar>
            <w:vAlign w:val="bottom"/>
          </w:tcPr>
          <w:p w14:paraId="0E43E8A4" w14:textId="44485454"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12.599.082.084</w:t>
            </w:r>
          </w:p>
        </w:tc>
        <w:tc>
          <w:tcPr>
            <w:tcW w:w="1863" w:type="dxa"/>
            <w:tcBorders>
              <w:top w:val="nil"/>
              <w:left w:val="nil"/>
              <w:bottom w:val="nil"/>
              <w:right w:val="nil"/>
            </w:tcBorders>
            <w:tcMar>
              <w:top w:w="15" w:type="dxa"/>
              <w:left w:w="15" w:type="dxa"/>
              <w:right w:w="15" w:type="dxa"/>
            </w:tcMar>
            <w:vAlign w:val="bottom"/>
          </w:tcPr>
          <w:p w14:paraId="1A35327A" w14:textId="486A5A61"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139.816.960.994</w:t>
            </w:r>
          </w:p>
        </w:tc>
        <w:tc>
          <w:tcPr>
            <w:tcW w:w="1606" w:type="dxa"/>
            <w:tcBorders>
              <w:top w:val="nil"/>
              <w:left w:val="nil"/>
              <w:bottom w:val="nil"/>
              <w:right w:val="nil"/>
            </w:tcBorders>
            <w:tcMar>
              <w:top w:w="15" w:type="dxa"/>
              <w:left w:w="15" w:type="dxa"/>
              <w:right w:w="15" w:type="dxa"/>
            </w:tcMar>
            <w:vAlign w:val="bottom"/>
          </w:tcPr>
          <w:p w14:paraId="5285C84B" w14:textId="59032938" w:rsidR="3BC43353" w:rsidRDefault="3BC43353" w:rsidP="3BCD5C0E">
            <w:pPr>
              <w:rPr>
                <w:rFonts w:ascii="Verdana Pro" w:eastAsia="Verdana Pro" w:hAnsi="Verdana Pro" w:cs="Verdana Pro"/>
                <w:sz w:val="18"/>
                <w:szCs w:val="18"/>
              </w:rPr>
            </w:pPr>
          </w:p>
        </w:tc>
        <w:tc>
          <w:tcPr>
            <w:tcW w:w="1659" w:type="dxa"/>
            <w:tcBorders>
              <w:top w:val="nil"/>
              <w:left w:val="nil"/>
              <w:bottom w:val="nil"/>
              <w:right w:val="nil"/>
            </w:tcBorders>
            <w:tcMar>
              <w:top w:w="15" w:type="dxa"/>
              <w:left w:w="15" w:type="dxa"/>
              <w:right w:w="15" w:type="dxa"/>
            </w:tcMar>
            <w:vAlign w:val="bottom"/>
          </w:tcPr>
          <w:p w14:paraId="7331BACA" w14:textId="441B283A"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96.112.209.917</w:t>
            </w:r>
          </w:p>
        </w:tc>
        <w:tc>
          <w:tcPr>
            <w:tcW w:w="1870" w:type="dxa"/>
            <w:tcBorders>
              <w:top w:val="nil"/>
              <w:left w:val="nil"/>
              <w:bottom w:val="nil"/>
              <w:right w:val="nil"/>
            </w:tcBorders>
            <w:tcMar>
              <w:top w:w="15" w:type="dxa"/>
              <w:left w:w="15" w:type="dxa"/>
              <w:right w:w="15" w:type="dxa"/>
            </w:tcMar>
            <w:vAlign w:val="bottom"/>
          </w:tcPr>
          <w:p w14:paraId="4728E673" w14:textId="1CDBFF18" w:rsidR="3BC43353" w:rsidRDefault="7B4445E4" w:rsidP="3BCD5C0E">
            <w:pPr>
              <w:jc w:val="right"/>
              <w:rPr>
                <w:rFonts w:ascii="Verdana Pro" w:eastAsia="Verdana Pro" w:hAnsi="Verdana Pro" w:cs="Verdana Pro"/>
                <w:color w:val="000000" w:themeColor="text1"/>
                <w:sz w:val="16"/>
                <w:szCs w:val="16"/>
              </w:rPr>
            </w:pPr>
            <w:r w:rsidRPr="3BCD5C0E">
              <w:rPr>
                <w:rFonts w:ascii="Verdana Pro" w:eastAsia="Verdana Pro" w:hAnsi="Verdana Pro" w:cs="Verdana Pro"/>
                <w:color w:val="000000" w:themeColor="text1"/>
                <w:sz w:val="16"/>
                <w:szCs w:val="16"/>
              </w:rPr>
              <w:t>248.528.252.995</w:t>
            </w:r>
          </w:p>
        </w:tc>
      </w:tr>
      <w:tr w:rsidR="3BC43353" w14:paraId="1619BF2B" w14:textId="77777777" w:rsidTr="3BCD5C0E">
        <w:trPr>
          <w:trHeight w:val="330"/>
        </w:trPr>
        <w:tc>
          <w:tcPr>
            <w:tcW w:w="1223" w:type="dxa"/>
            <w:tcBorders>
              <w:top w:val="single" w:sz="4" w:space="0" w:color="44B3E1"/>
              <w:left w:val="nil"/>
              <w:bottom w:val="nil"/>
              <w:right w:val="nil"/>
            </w:tcBorders>
            <w:shd w:val="clear" w:color="auto" w:fill="C0E6F5"/>
            <w:tcMar>
              <w:top w:w="15" w:type="dxa"/>
              <w:left w:w="15" w:type="dxa"/>
              <w:right w:w="15" w:type="dxa"/>
            </w:tcMar>
            <w:vAlign w:val="bottom"/>
          </w:tcPr>
          <w:p w14:paraId="27527711" w14:textId="6211BAA7" w:rsidR="3BC43353" w:rsidRDefault="7B4445E4" w:rsidP="3BCD5C0E">
            <w:pPr>
              <w:rPr>
                <w:rFonts w:ascii="Verdana Pro" w:eastAsia="Verdana Pro" w:hAnsi="Verdana Pro" w:cs="Verdana Pro"/>
                <w:b/>
                <w:bCs/>
                <w:color w:val="000000" w:themeColor="text1"/>
                <w:sz w:val="16"/>
                <w:szCs w:val="16"/>
              </w:rPr>
            </w:pPr>
            <w:proofErr w:type="gramStart"/>
            <w:r w:rsidRPr="3BCD5C0E">
              <w:rPr>
                <w:rFonts w:ascii="Verdana Pro" w:eastAsia="Verdana Pro" w:hAnsi="Verdana Pro" w:cs="Verdana Pro"/>
                <w:b/>
                <w:bCs/>
                <w:color w:val="000000" w:themeColor="text1"/>
                <w:sz w:val="16"/>
                <w:szCs w:val="16"/>
              </w:rPr>
              <w:t>Total</w:t>
            </w:r>
            <w:proofErr w:type="gramEnd"/>
            <w:r w:rsidRPr="3BCD5C0E">
              <w:rPr>
                <w:rFonts w:ascii="Verdana Pro" w:eastAsia="Verdana Pro" w:hAnsi="Verdana Pro" w:cs="Verdana Pro"/>
                <w:b/>
                <w:bCs/>
                <w:color w:val="000000" w:themeColor="text1"/>
                <w:sz w:val="16"/>
                <w:szCs w:val="16"/>
              </w:rPr>
              <w:t xml:space="preserve"> general</w:t>
            </w:r>
          </w:p>
        </w:tc>
        <w:tc>
          <w:tcPr>
            <w:tcW w:w="1570" w:type="dxa"/>
            <w:tcBorders>
              <w:top w:val="single" w:sz="4" w:space="0" w:color="44B3E1"/>
              <w:left w:val="nil"/>
              <w:bottom w:val="nil"/>
              <w:right w:val="nil"/>
            </w:tcBorders>
            <w:shd w:val="clear" w:color="auto" w:fill="C0E6F5"/>
            <w:tcMar>
              <w:top w:w="15" w:type="dxa"/>
              <w:left w:w="15" w:type="dxa"/>
              <w:right w:w="15" w:type="dxa"/>
            </w:tcMar>
            <w:vAlign w:val="bottom"/>
          </w:tcPr>
          <w:p w14:paraId="52D9748B" w14:textId="2189ECCC"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91.799.562.444</w:t>
            </w:r>
          </w:p>
        </w:tc>
        <w:tc>
          <w:tcPr>
            <w:tcW w:w="1863" w:type="dxa"/>
            <w:tcBorders>
              <w:top w:val="single" w:sz="4" w:space="0" w:color="44B3E1"/>
              <w:left w:val="nil"/>
              <w:bottom w:val="nil"/>
              <w:right w:val="nil"/>
            </w:tcBorders>
            <w:shd w:val="clear" w:color="auto" w:fill="C0E6F5"/>
            <w:tcMar>
              <w:top w:w="15" w:type="dxa"/>
              <w:left w:w="15" w:type="dxa"/>
              <w:right w:w="15" w:type="dxa"/>
            </w:tcMar>
            <w:vAlign w:val="bottom"/>
          </w:tcPr>
          <w:p w14:paraId="718069A6" w14:textId="415E091C"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1.561.517.075.974</w:t>
            </w:r>
          </w:p>
        </w:tc>
        <w:tc>
          <w:tcPr>
            <w:tcW w:w="1606" w:type="dxa"/>
            <w:tcBorders>
              <w:top w:val="single" w:sz="4" w:space="0" w:color="44B3E1"/>
              <w:left w:val="nil"/>
              <w:bottom w:val="nil"/>
              <w:right w:val="nil"/>
            </w:tcBorders>
            <w:shd w:val="clear" w:color="auto" w:fill="C0E6F5"/>
            <w:tcMar>
              <w:top w:w="15" w:type="dxa"/>
              <w:left w:w="15" w:type="dxa"/>
              <w:right w:w="15" w:type="dxa"/>
            </w:tcMar>
            <w:vAlign w:val="bottom"/>
          </w:tcPr>
          <w:p w14:paraId="358BB0FE" w14:textId="0DDFA5DB"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131.868.240</w:t>
            </w:r>
          </w:p>
        </w:tc>
        <w:tc>
          <w:tcPr>
            <w:tcW w:w="1659" w:type="dxa"/>
            <w:tcBorders>
              <w:top w:val="single" w:sz="4" w:space="0" w:color="44B3E1"/>
              <w:left w:val="nil"/>
              <w:bottom w:val="nil"/>
              <w:right w:val="nil"/>
            </w:tcBorders>
            <w:shd w:val="clear" w:color="auto" w:fill="C0E6F5"/>
            <w:tcMar>
              <w:top w:w="15" w:type="dxa"/>
              <w:left w:w="15" w:type="dxa"/>
              <w:right w:w="15" w:type="dxa"/>
            </w:tcMar>
            <w:vAlign w:val="bottom"/>
          </w:tcPr>
          <w:p w14:paraId="6D24D234" w14:textId="040D4C71"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590.971.105.423</w:t>
            </w:r>
          </w:p>
        </w:tc>
        <w:tc>
          <w:tcPr>
            <w:tcW w:w="1870" w:type="dxa"/>
            <w:tcBorders>
              <w:top w:val="single" w:sz="4" w:space="0" w:color="44B3E1"/>
              <w:left w:val="nil"/>
              <w:bottom w:val="nil"/>
              <w:right w:val="nil"/>
            </w:tcBorders>
            <w:shd w:val="clear" w:color="auto" w:fill="C0E6F5"/>
            <w:tcMar>
              <w:top w:w="15" w:type="dxa"/>
              <w:left w:w="15" w:type="dxa"/>
              <w:right w:w="15" w:type="dxa"/>
            </w:tcMar>
            <w:vAlign w:val="bottom"/>
          </w:tcPr>
          <w:p w14:paraId="32717F28" w14:textId="2C37B144"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2.244.419.612.081</w:t>
            </w:r>
          </w:p>
        </w:tc>
      </w:tr>
    </w:tbl>
    <w:p w14:paraId="38953A76" w14:textId="70FFB0F1" w:rsidR="3BC43353" w:rsidRDefault="3BC43353" w:rsidP="3BC43353">
      <w:pPr>
        <w:jc w:val="center"/>
      </w:pPr>
    </w:p>
    <w:p w14:paraId="2ABE8E62" w14:textId="5D5E667E" w:rsidR="3BC43353" w:rsidRDefault="45242018" w:rsidP="3BC43353">
      <w:pPr>
        <w:jc w:val="center"/>
      </w:pPr>
      <w:r>
        <w:rPr>
          <w:noProof/>
        </w:rPr>
        <w:drawing>
          <wp:inline distT="0" distB="0" distL="0" distR="0" wp14:anchorId="594D7DF6" wp14:editId="0AF581CC">
            <wp:extent cx="4584592" cy="2755631"/>
            <wp:effectExtent l="0" t="0" r="0" b="0"/>
            <wp:docPr id="1514476" name="Picture 151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4584592" cy="2755631"/>
                    </a:xfrm>
                    <a:prstGeom prst="rect">
                      <a:avLst/>
                    </a:prstGeom>
                  </pic:spPr>
                </pic:pic>
              </a:graphicData>
            </a:graphic>
          </wp:inline>
        </w:drawing>
      </w:r>
    </w:p>
    <w:p w14:paraId="6B6B4EC8" w14:textId="79FEADBC" w:rsidR="449377F1" w:rsidRDefault="449377F1" w:rsidP="449377F1">
      <w:pPr>
        <w:jc w:val="center"/>
      </w:pPr>
    </w:p>
    <w:p w14:paraId="64F5A17A" w14:textId="2B7A4A6B" w:rsidR="76A3CF00" w:rsidRDefault="76A3CF00" w:rsidP="449377F1">
      <w:pPr>
        <w:jc w:val="both"/>
        <w:rPr>
          <w:rFonts w:ascii="Verdana" w:hAnsi="Verdana" w:cs="Arial"/>
          <w:sz w:val="22"/>
          <w:szCs w:val="22"/>
        </w:rPr>
      </w:pPr>
      <w:r w:rsidRPr="449377F1">
        <w:rPr>
          <w:rFonts w:ascii="Verdana" w:hAnsi="Verdana" w:cs="Arial"/>
          <w:sz w:val="22"/>
          <w:szCs w:val="22"/>
        </w:rPr>
        <w:t xml:space="preserve">Sin embargo, al </w:t>
      </w:r>
      <w:r w:rsidR="6CA1A00A" w:rsidRPr="449377F1">
        <w:rPr>
          <w:rFonts w:ascii="Verdana" w:hAnsi="Verdana" w:cs="Arial"/>
          <w:sz w:val="22"/>
          <w:szCs w:val="22"/>
        </w:rPr>
        <w:t>realizar</w:t>
      </w:r>
      <w:r w:rsidRPr="449377F1">
        <w:rPr>
          <w:rFonts w:ascii="Verdana" w:hAnsi="Verdana" w:cs="Arial"/>
          <w:sz w:val="22"/>
          <w:szCs w:val="22"/>
        </w:rPr>
        <w:t xml:space="preserve"> la comparación en </w:t>
      </w:r>
      <w:r w:rsidR="1EEA206E" w:rsidRPr="449377F1">
        <w:rPr>
          <w:rFonts w:ascii="Verdana" w:hAnsi="Verdana" w:cs="Arial"/>
          <w:sz w:val="22"/>
          <w:szCs w:val="22"/>
        </w:rPr>
        <w:t>número</w:t>
      </w:r>
      <w:r w:rsidRPr="449377F1">
        <w:rPr>
          <w:rFonts w:ascii="Verdana" w:hAnsi="Verdana" w:cs="Arial"/>
          <w:sz w:val="22"/>
          <w:szCs w:val="22"/>
        </w:rPr>
        <w:t xml:space="preserve"> de procesos </w:t>
      </w:r>
      <w:r w:rsidR="480233A8" w:rsidRPr="449377F1">
        <w:rPr>
          <w:rFonts w:ascii="Verdana" w:hAnsi="Verdana" w:cs="Arial"/>
          <w:sz w:val="22"/>
          <w:szCs w:val="22"/>
        </w:rPr>
        <w:t>adelantados</w:t>
      </w:r>
      <w:r w:rsidRPr="449377F1">
        <w:rPr>
          <w:rFonts w:ascii="Verdana" w:hAnsi="Verdana" w:cs="Arial"/>
          <w:sz w:val="22"/>
          <w:szCs w:val="22"/>
        </w:rPr>
        <w:t xml:space="preserve"> por modalidad de contratación </w:t>
      </w:r>
      <w:r w:rsidR="7FDB0954" w:rsidRPr="449377F1">
        <w:rPr>
          <w:rFonts w:ascii="Verdana" w:hAnsi="Verdana" w:cs="Arial"/>
          <w:sz w:val="22"/>
          <w:szCs w:val="22"/>
        </w:rPr>
        <w:t>de selección abreviada de menor cuantía representa el 55% y la lici</w:t>
      </w:r>
      <w:r w:rsidR="6A845233" w:rsidRPr="449377F1">
        <w:rPr>
          <w:rFonts w:ascii="Verdana" w:hAnsi="Verdana" w:cs="Arial"/>
          <w:sz w:val="22"/>
          <w:szCs w:val="22"/>
        </w:rPr>
        <w:t>tación de obra pública representa el 25% de los procesos seguidos por el concurso de méritos que reporta un 20% en número de procesos:</w:t>
      </w:r>
    </w:p>
    <w:p w14:paraId="502B9496" w14:textId="705FC07F" w:rsidR="4BB8CFD3" w:rsidRDefault="4BB8CFD3" w:rsidP="3BCD5C0E">
      <w:pPr>
        <w:rPr>
          <w:rFonts w:ascii="Verdana Pro" w:eastAsia="Verdana Pro" w:hAnsi="Verdana Pro" w:cs="Verdana Pro"/>
        </w:rPr>
      </w:pPr>
      <w:r>
        <w:rPr>
          <w:noProof/>
        </w:rPr>
        <w:lastRenderedPageBreak/>
        <w:drawing>
          <wp:inline distT="0" distB="0" distL="0" distR="0" wp14:anchorId="1E88E9EF" wp14:editId="6200ED23">
            <wp:extent cx="6346823" cy="1460855"/>
            <wp:effectExtent l="0" t="0" r="0" b="0"/>
            <wp:docPr id="1996114353" name="Picture 19961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6346823" cy="1460855"/>
                    </a:xfrm>
                    <a:prstGeom prst="rect">
                      <a:avLst/>
                    </a:prstGeom>
                  </pic:spPr>
                </pic:pic>
              </a:graphicData>
            </a:graphic>
          </wp:inline>
        </w:drawing>
      </w:r>
    </w:p>
    <w:tbl>
      <w:tblPr>
        <w:tblW w:w="0" w:type="auto"/>
        <w:jc w:val="center"/>
        <w:tblLayout w:type="fixed"/>
        <w:tblLook w:val="06A0" w:firstRow="1" w:lastRow="0" w:firstColumn="1" w:lastColumn="0" w:noHBand="1" w:noVBand="1"/>
      </w:tblPr>
      <w:tblGrid>
        <w:gridCol w:w="4114"/>
        <w:gridCol w:w="2512"/>
      </w:tblGrid>
      <w:tr w:rsidR="3BC43353" w14:paraId="5F341E90" w14:textId="77777777" w:rsidTr="449377F1">
        <w:trPr>
          <w:trHeight w:val="300"/>
          <w:jc w:val="center"/>
        </w:trPr>
        <w:tc>
          <w:tcPr>
            <w:tcW w:w="4114" w:type="dxa"/>
            <w:tcBorders>
              <w:top w:val="nil"/>
              <w:left w:val="nil"/>
              <w:bottom w:val="single" w:sz="4" w:space="0" w:color="44B3E1"/>
              <w:right w:val="nil"/>
            </w:tcBorders>
            <w:shd w:val="clear" w:color="auto" w:fill="C0E6F5"/>
            <w:tcMar>
              <w:top w:w="15" w:type="dxa"/>
              <w:left w:w="15" w:type="dxa"/>
              <w:right w:w="15" w:type="dxa"/>
            </w:tcMar>
            <w:vAlign w:val="bottom"/>
          </w:tcPr>
          <w:p w14:paraId="6906B198" w14:textId="180F162D"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Etiquetas de fila</w:t>
            </w:r>
          </w:p>
        </w:tc>
        <w:tc>
          <w:tcPr>
            <w:tcW w:w="2512" w:type="dxa"/>
            <w:tcBorders>
              <w:top w:val="nil"/>
              <w:left w:val="nil"/>
              <w:bottom w:val="single" w:sz="4" w:space="0" w:color="44B3E1"/>
              <w:right w:val="nil"/>
            </w:tcBorders>
            <w:shd w:val="clear" w:color="auto" w:fill="C0E6F5"/>
            <w:tcMar>
              <w:top w:w="15" w:type="dxa"/>
              <w:left w:w="15" w:type="dxa"/>
              <w:right w:w="15" w:type="dxa"/>
            </w:tcMar>
            <w:vAlign w:val="bottom"/>
          </w:tcPr>
          <w:p w14:paraId="057ACB97" w14:textId="353CEA4E"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Cuenta de Modalidad</w:t>
            </w:r>
          </w:p>
        </w:tc>
      </w:tr>
      <w:tr w:rsidR="3BC43353" w14:paraId="0CA38602" w14:textId="77777777" w:rsidTr="449377F1">
        <w:trPr>
          <w:trHeight w:val="300"/>
          <w:jc w:val="center"/>
        </w:trPr>
        <w:tc>
          <w:tcPr>
            <w:tcW w:w="4114" w:type="dxa"/>
            <w:tcBorders>
              <w:top w:val="single" w:sz="4" w:space="0" w:color="44B3E1"/>
              <w:left w:val="nil"/>
              <w:bottom w:val="nil"/>
              <w:right w:val="nil"/>
            </w:tcBorders>
            <w:tcMar>
              <w:top w:w="15" w:type="dxa"/>
              <w:left w:w="15" w:type="dxa"/>
              <w:right w:w="15" w:type="dxa"/>
            </w:tcMar>
            <w:vAlign w:val="bottom"/>
          </w:tcPr>
          <w:p w14:paraId="28DDD2CA" w14:textId="7D5AE005"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Concurso de méritos abierto</w:t>
            </w:r>
          </w:p>
        </w:tc>
        <w:tc>
          <w:tcPr>
            <w:tcW w:w="2512" w:type="dxa"/>
            <w:tcBorders>
              <w:top w:val="single" w:sz="4" w:space="0" w:color="44B3E1"/>
              <w:left w:val="nil"/>
              <w:bottom w:val="nil"/>
              <w:right w:val="nil"/>
            </w:tcBorders>
            <w:tcMar>
              <w:top w:w="15" w:type="dxa"/>
              <w:left w:w="15" w:type="dxa"/>
              <w:right w:w="15" w:type="dxa"/>
            </w:tcMar>
            <w:vAlign w:val="bottom"/>
          </w:tcPr>
          <w:p w14:paraId="6B819CA0" w14:textId="1CF0CAA0"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170</w:t>
            </w:r>
          </w:p>
        </w:tc>
      </w:tr>
      <w:tr w:rsidR="3BC43353" w14:paraId="3DB6F7DC" w14:textId="77777777" w:rsidTr="449377F1">
        <w:trPr>
          <w:trHeight w:val="300"/>
          <w:jc w:val="center"/>
        </w:trPr>
        <w:tc>
          <w:tcPr>
            <w:tcW w:w="4114" w:type="dxa"/>
            <w:tcBorders>
              <w:top w:val="nil"/>
              <w:left w:val="nil"/>
              <w:bottom w:val="nil"/>
              <w:right w:val="nil"/>
            </w:tcBorders>
            <w:tcMar>
              <w:top w:w="15" w:type="dxa"/>
              <w:left w:w="15" w:type="dxa"/>
              <w:right w:w="15" w:type="dxa"/>
            </w:tcMar>
            <w:vAlign w:val="bottom"/>
          </w:tcPr>
          <w:p w14:paraId="58A8D2C8" w14:textId="24FD7118"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Licitación pública Obra Publica</w:t>
            </w:r>
          </w:p>
        </w:tc>
        <w:tc>
          <w:tcPr>
            <w:tcW w:w="2512" w:type="dxa"/>
            <w:tcBorders>
              <w:top w:val="nil"/>
              <w:left w:val="nil"/>
              <w:bottom w:val="nil"/>
              <w:right w:val="nil"/>
            </w:tcBorders>
            <w:tcMar>
              <w:top w:w="15" w:type="dxa"/>
              <w:left w:w="15" w:type="dxa"/>
              <w:right w:w="15" w:type="dxa"/>
            </w:tcMar>
            <w:vAlign w:val="bottom"/>
          </w:tcPr>
          <w:p w14:paraId="30FB1703" w14:textId="534D1FB1"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221</w:t>
            </w:r>
          </w:p>
        </w:tc>
      </w:tr>
      <w:tr w:rsidR="3BC43353" w14:paraId="2964F231" w14:textId="77777777" w:rsidTr="449377F1">
        <w:trPr>
          <w:trHeight w:val="300"/>
          <w:jc w:val="center"/>
        </w:trPr>
        <w:tc>
          <w:tcPr>
            <w:tcW w:w="4114" w:type="dxa"/>
            <w:tcBorders>
              <w:top w:val="nil"/>
              <w:left w:val="nil"/>
              <w:bottom w:val="nil"/>
              <w:right w:val="nil"/>
            </w:tcBorders>
            <w:tcMar>
              <w:top w:w="15" w:type="dxa"/>
              <w:left w:w="15" w:type="dxa"/>
              <w:right w:w="15" w:type="dxa"/>
            </w:tcMar>
            <w:vAlign w:val="bottom"/>
          </w:tcPr>
          <w:p w14:paraId="492C3EC3" w14:textId="1FDEEE31"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Mínima cuantía</w:t>
            </w:r>
          </w:p>
        </w:tc>
        <w:tc>
          <w:tcPr>
            <w:tcW w:w="2512" w:type="dxa"/>
            <w:tcBorders>
              <w:top w:val="nil"/>
              <w:left w:val="nil"/>
              <w:bottom w:val="nil"/>
              <w:right w:val="nil"/>
            </w:tcBorders>
            <w:tcMar>
              <w:top w:w="15" w:type="dxa"/>
              <w:left w:w="15" w:type="dxa"/>
              <w:right w:w="15" w:type="dxa"/>
            </w:tcMar>
            <w:vAlign w:val="bottom"/>
          </w:tcPr>
          <w:p w14:paraId="550A35A0" w14:textId="72DC244C"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w:t>
            </w:r>
          </w:p>
        </w:tc>
      </w:tr>
      <w:tr w:rsidR="3BC43353" w14:paraId="797CAFDB" w14:textId="77777777" w:rsidTr="449377F1">
        <w:trPr>
          <w:trHeight w:val="300"/>
          <w:jc w:val="center"/>
        </w:trPr>
        <w:tc>
          <w:tcPr>
            <w:tcW w:w="4114" w:type="dxa"/>
            <w:tcBorders>
              <w:top w:val="nil"/>
              <w:left w:val="nil"/>
              <w:bottom w:val="nil"/>
              <w:right w:val="nil"/>
            </w:tcBorders>
            <w:tcMar>
              <w:top w:w="15" w:type="dxa"/>
              <w:left w:w="15" w:type="dxa"/>
              <w:right w:w="15" w:type="dxa"/>
            </w:tcMar>
            <w:vAlign w:val="bottom"/>
          </w:tcPr>
          <w:p w14:paraId="3C92ADF1" w14:textId="36A44DD7"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Selección Abreviada de Menor Cuantía</w:t>
            </w:r>
          </w:p>
        </w:tc>
        <w:tc>
          <w:tcPr>
            <w:tcW w:w="2512" w:type="dxa"/>
            <w:tcBorders>
              <w:top w:val="nil"/>
              <w:left w:val="nil"/>
              <w:bottom w:val="nil"/>
              <w:right w:val="nil"/>
            </w:tcBorders>
            <w:tcMar>
              <w:top w:w="15" w:type="dxa"/>
              <w:left w:w="15" w:type="dxa"/>
              <w:right w:w="15" w:type="dxa"/>
            </w:tcMar>
            <w:vAlign w:val="bottom"/>
          </w:tcPr>
          <w:p w14:paraId="6D3AE431" w14:textId="5C0CF1F7"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475</w:t>
            </w:r>
          </w:p>
        </w:tc>
      </w:tr>
      <w:tr w:rsidR="3BC43353" w14:paraId="7464E549" w14:textId="77777777" w:rsidTr="449377F1">
        <w:trPr>
          <w:trHeight w:val="300"/>
          <w:jc w:val="center"/>
        </w:trPr>
        <w:tc>
          <w:tcPr>
            <w:tcW w:w="4114" w:type="dxa"/>
            <w:tcBorders>
              <w:top w:val="single" w:sz="4" w:space="0" w:color="44B3E1"/>
              <w:left w:val="nil"/>
              <w:bottom w:val="nil"/>
              <w:right w:val="nil"/>
            </w:tcBorders>
            <w:shd w:val="clear" w:color="auto" w:fill="C0E6F5"/>
            <w:tcMar>
              <w:top w:w="15" w:type="dxa"/>
              <w:left w:w="15" w:type="dxa"/>
              <w:right w:w="15" w:type="dxa"/>
            </w:tcMar>
            <w:vAlign w:val="bottom"/>
          </w:tcPr>
          <w:p w14:paraId="6F78366B" w14:textId="1282BF50"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512" w:type="dxa"/>
            <w:tcBorders>
              <w:top w:val="single" w:sz="4" w:space="0" w:color="44B3E1"/>
              <w:left w:val="nil"/>
              <w:bottom w:val="nil"/>
              <w:right w:val="nil"/>
            </w:tcBorders>
            <w:shd w:val="clear" w:color="auto" w:fill="C0E6F5"/>
            <w:tcMar>
              <w:top w:w="15" w:type="dxa"/>
              <w:left w:w="15" w:type="dxa"/>
              <w:right w:w="15" w:type="dxa"/>
            </w:tcMar>
            <w:vAlign w:val="bottom"/>
          </w:tcPr>
          <w:p w14:paraId="77568E68" w14:textId="34688725"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r>
    </w:tbl>
    <w:p w14:paraId="0358D30D" w14:textId="0E47F1B8" w:rsidR="449377F1" w:rsidRDefault="449377F1" w:rsidP="449377F1">
      <w:pPr>
        <w:rPr>
          <w:rFonts w:ascii="Verdana Pro" w:eastAsia="Verdana Pro" w:hAnsi="Verdana Pro" w:cs="Verdana Pro"/>
        </w:rPr>
      </w:pPr>
    </w:p>
    <w:p w14:paraId="5C416118" w14:textId="2986E597" w:rsidR="17D8A88A" w:rsidRDefault="17D8A88A" w:rsidP="449377F1">
      <w:pPr>
        <w:jc w:val="center"/>
      </w:pPr>
      <w:r>
        <w:rPr>
          <w:noProof/>
        </w:rPr>
        <w:drawing>
          <wp:inline distT="0" distB="0" distL="0" distR="0" wp14:anchorId="71743956" wp14:editId="2DA2DD82">
            <wp:extent cx="4142545" cy="2169238"/>
            <wp:effectExtent l="0" t="0" r="0" b="0"/>
            <wp:docPr id="753534901" name="Picture 75353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142545" cy="2169238"/>
                    </a:xfrm>
                    <a:prstGeom prst="rect">
                      <a:avLst/>
                    </a:prstGeom>
                  </pic:spPr>
                </pic:pic>
              </a:graphicData>
            </a:graphic>
          </wp:inline>
        </w:drawing>
      </w:r>
    </w:p>
    <w:p w14:paraId="73530742" w14:textId="5DCF62C6" w:rsidR="449377F1" w:rsidRDefault="449377F1" w:rsidP="449377F1">
      <w:pPr>
        <w:jc w:val="both"/>
        <w:rPr>
          <w:rFonts w:ascii="Verdana Pro" w:eastAsia="Verdana Pro" w:hAnsi="Verdana Pro" w:cs="Verdana Pro"/>
          <w:sz w:val="22"/>
          <w:szCs w:val="22"/>
        </w:rPr>
      </w:pPr>
    </w:p>
    <w:p w14:paraId="5AF38E34" w14:textId="4461DA78" w:rsidR="3BC43353" w:rsidRDefault="19E53FA5"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De este análisis específico </w:t>
      </w:r>
      <w:r w:rsidR="0921C894" w:rsidRPr="449377F1">
        <w:rPr>
          <w:rFonts w:ascii="Verdana Pro" w:eastAsia="Verdana Pro" w:hAnsi="Verdana Pro" w:cs="Verdana Pro"/>
          <w:sz w:val="22"/>
          <w:szCs w:val="22"/>
        </w:rPr>
        <w:t xml:space="preserve">de los 870 procesos identificados </w:t>
      </w:r>
      <w:r w:rsidRPr="449377F1">
        <w:rPr>
          <w:rFonts w:ascii="Verdana Pro" w:eastAsia="Verdana Pro" w:hAnsi="Verdana Pro" w:cs="Verdana Pro"/>
          <w:sz w:val="22"/>
          <w:szCs w:val="22"/>
        </w:rPr>
        <w:t xml:space="preserve">para el tipo de edificaciones institucionales y de seguridad pública que separa </w:t>
      </w:r>
      <w:r w:rsidR="30F16284" w:rsidRPr="449377F1">
        <w:rPr>
          <w:rFonts w:ascii="Verdana Pro" w:eastAsia="Verdana Pro" w:hAnsi="Verdana Pro" w:cs="Verdana Pro"/>
          <w:sz w:val="22"/>
          <w:szCs w:val="22"/>
        </w:rPr>
        <w:t xml:space="preserve">adicionalmente </w:t>
      </w:r>
      <w:r w:rsidRPr="449377F1">
        <w:rPr>
          <w:rFonts w:ascii="Verdana Pro" w:eastAsia="Verdana Pro" w:hAnsi="Verdana Pro" w:cs="Verdana Pro"/>
          <w:sz w:val="22"/>
          <w:szCs w:val="22"/>
        </w:rPr>
        <w:t>los procesos para sitios de reclusión</w:t>
      </w:r>
      <w:r w:rsidR="08657F1D" w:rsidRPr="449377F1">
        <w:rPr>
          <w:rFonts w:ascii="Verdana Pro" w:eastAsia="Verdana Pro" w:hAnsi="Verdana Pro" w:cs="Verdana Pro"/>
          <w:sz w:val="22"/>
          <w:szCs w:val="22"/>
        </w:rPr>
        <w:t>, resultan relevantes los procesos de consultoría y de interventoría</w:t>
      </w:r>
      <w:r w:rsidR="5ACA779D" w:rsidRPr="449377F1">
        <w:rPr>
          <w:rFonts w:ascii="Verdana Pro" w:eastAsia="Verdana Pro" w:hAnsi="Verdana Pro" w:cs="Verdana Pro"/>
          <w:sz w:val="22"/>
          <w:szCs w:val="22"/>
        </w:rPr>
        <w:t xml:space="preserve"> que representan el 20% del análisis</w:t>
      </w:r>
      <w:r w:rsidR="08657F1D" w:rsidRPr="449377F1">
        <w:rPr>
          <w:rFonts w:ascii="Verdana Pro" w:eastAsia="Verdana Pro" w:hAnsi="Verdana Pro" w:cs="Verdana Pro"/>
          <w:sz w:val="22"/>
          <w:szCs w:val="22"/>
        </w:rPr>
        <w:t xml:space="preserve">: </w:t>
      </w:r>
    </w:p>
    <w:p w14:paraId="71066086" w14:textId="02A4AD52" w:rsidR="449377F1" w:rsidRDefault="449377F1" w:rsidP="449377F1">
      <w:pPr>
        <w:jc w:val="both"/>
        <w:rPr>
          <w:rFonts w:ascii="Verdana Pro" w:eastAsia="Verdana Pro" w:hAnsi="Verdana Pro" w:cs="Verdana Pro"/>
          <w:sz w:val="22"/>
          <w:szCs w:val="22"/>
        </w:rPr>
      </w:pPr>
    </w:p>
    <w:tbl>
      <w:tblPr>
        <w:tblW w:w="8641" w:type="dxa"/>
        <w:jc w:val="center"/>
        <w:tblLayout w:type="fixed"/>
        <w:tblLook w:val="06A0" w:firstRow="1" w:lastRow="0" w:firstColumn="1" w:lastColumn="0" w:noHBand="1" w:noVBand="1"/>
      </w:tblPr>
      <w:tblGrid>
        <w:gridCol w:w="3498"/>
        <w:gridCol w:w="3105"/>
        <w:gridCol w:w="2038"/>
      </w:tblGrid>
      <w:tr w:rsidR="3BC43353" w14:paraId="3EE6BE23" w14:textId="77777777" w:rsidTr="3BCD5C0E">
        <w:trPr>
          <w:trHeight w:val="330"/>
          <w:jc w:val="center"/>
        </w:trPr>
        <w:tc>
          <w:tcPr>
            <w:tcW w:w="3498" w:type="dxa"/>
            <w:tcBorders>
              <w:top w:val="nil"/>
              <w:left w:val="nil"/>
              <w:bottom w:val="single" w:sz="4" w:space="0" w:color="44B3E1"/>
              <w:right w:val="nil"/>
            </w:tcBorders>
            <w:shd w:val="clear" w:color="auto" w:fill="C0E6F5"/>
            <w:tcMar>
              <w:top w:w="15" w:type="dxa"/>
              <w:left w:w="15" w:type="dxa"/>
              <w:right w:w="15" w:type="dxa"/>
            </w:tcMar>
            <w:vAlign w:val="bottom"/>
          </w:tcPr>
          <w:p w14:paraId="50DE0880" w14:textId="2D9A0973"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Tipo de Contratos</w:t>
            </w:r>
          </w:p>
        </w:tc>
        <w:tc>
          <w:tcPr>
            <w:tcW w:w="3105" w:type="dxa"/>
            <w:tcBorders>
              <w:top w:val="nil"/>
              <w:left w:val="nil"/>
              <w:bottom w:val="single" w:sz="4" w:space="0" w:color="44B3E1"/>
              <w:right w:val="nil"/>
            </w:tcBorders>
            <w:shd w:val="clear" w:color="auto" w:fill="C0E6F5"/>
            <w:tcMar>
              <w:top w:w="15" w:type="dxa"/>
              <w:left w:w="15" w:type="dxa"/>
              <w:right w:w="15" w:type="dxa"/>
            </w:tcMar>
            <w:vAlign w:val="bottom"/>
          </w:tcPr>
          <w:p w14:paraId="633C6F30" w14:textId="31C644E8"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Valor</w:t>
            </w:r>
          </w:p>
        </w:tc>
        <w:tc>
          <w:tcPr>
            <w:tcW w:w="2038" w:type="dxa"/>
            <w:tcBorders>
              <w:top w:val="nil"/>
              <w:left w:val="nil"/>
              <w:bottom w:val="single" w:sz="4" w:space="0" w:color="44B3E1"/>
              <w:right w:val="nil"/>
            </w:tcBorders>
            <w:shd w:val="clear" w:color="auto" w:fill="C0E6F5"/>
            <w:tcMar>
              <w:top w:w="15" w:type="dxa"/>
              <w:left w:w="15" w:type="dxa"/>
              <w:right w:w="15" w:type="dxa"/>
            </w:tcMar>
            <w:vAlign w:val="bottom"/>
          </w:tcPr>
          <w:p w14:paraId="0C2965D4" w14:textId="36F2ADAF"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No. Procesos</w:t>
            </w:r>
          </w:p>
        </w:tc>
      </w:tr>
      <w:tr w:rsidR="3BC43353" w14:paraId="5ADD8B4C" w14:textId="77777777" w:rsidTr="3BCD5C0E">
        <w:trPr>
          <w:trHeight w:val="330"/>
          <w:jc w:val="center"/>
        </w:trPr>
        <w:tc>
          <w:tcPr>
            <w:tcW w:w="3498" w:type="dxa"/>
            <w:tcBorders>
              <w:top w:val="single" w:sz="4" w:space="0" w:color="44B3E1"/>
              <w:left w:val="nil"/>
              <w:bottom w:val="single" w:sz="4" w:space="0" w:color="44B3E1"/>
              <w:right w:val="nil"/>
            </w:tcBorders>
            <w:tcMar>
              <w:top w:w="15" w:type="dxa"/>
              <w:left w:w="15" w:type="dxa"/>
              <w:right w:w="15" w:type="dxa"/>
            </w:tcMar>
            <w:vAlign w:val="bottom"/>
          </w:tcPr>
          <w:p w14:paraId="0FF5D919" w14:textId="1AFC26D6"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lastRenderedPageBreak/>
              <w:t>Consultoría</w:t>
            </w:r>
          </w:p>
        </w:tc>
        <w:tc>
          <w:tcPr>
            <w:tcW w:w="3105" w:type="dxa"/>
            <w:tcBorders>
              <w:top w:val="single" w:sz="4" w:space="0" w:color="44B3E1"/>
              <w:left w:val="nil"/>
              <w:bottom w:val="single" w:sz="4" w:space="0" w:color="44B3E1"/>
              <w:right w:val="nil"/>
            </w:tcBorders>
            <w:tcMar>
              <w:top w:w="15" w:type="dxa"/>
              <w:left w:w="15" w:type="dxa"/>
              <w:right w:w="15" w:type="dxa"/>
            </w:tcMar>
            <w:vAlign w:val="bottom"/>
          </w:tcPr>
          <w:p w14:paraId="2A6758BE" w14:textId="3FFF8C59"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12.345.673.881 </w:t>
            </w:r>
          </w:p>
        </w:tc>
        <w:tc>
          <w:tcPr>
            <w:tcW w:w="2038" w:type="dxa"/>
            <w:tcBorders>
              <w:top w:val="single" w:sz="4" w:space="0" w:color="44B3E1"/>
              <w:left w:val="nil"/>
              <w:bottom w:val="single" w:sz="4" w:space="0" w:color="44B3E1"/>
              <w:right w:val="nil"/>
            </w:tcBorders>
            <w:tcMar>
              <w:top w:w="15" w:type="dxa"/>
              <w:left w:w="15" w:type="dxa"/>
              <w:right w:w="15" w:type="dxa"/>
            </w:tcMar>
            <w:vAlign w:val="bottom"/>
          </w:tcPr>
          <w:p w14:paraId="73BA1062" w14:textId="5F6A7202"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28</w:t>
            </w:r>
          </w:p>
        </w:tc>
      </w:tr>
      <w:tr w:rsidR="3BC43353" w14:paraId="78546538" w14:textId="77777777" w:rsidTr="3BCD5C0E">
        <w:trPr>
          <w:trHeight w:val="330"/>
          <w:jc w:val="center"/>
        </w:trPr>
        <w:tc>
          <w:tcPr>
            <w:tcW w:w="3498" w:type="dxa"/>
            <w:tcBorders>
              <w:top w:val="single" w:sz="4" w:space="0" w:color="44B3E1"/>
              <w:left w:val="nil"/>
              <w:bottom w:val="nil"/>
              <w:right w:val="nil"/>
            </w:tcBorders>
            <w:tcMar>
              <w:top w:w="15" w:type="dxa"/>
              <w:left w:w="135" w:type="dxa"/>
              <w:right w:w="15" w:type="dxa"/>
            </w:tcMar>
            <w:vAlign w:val="bottom"/>
          </w:tcPr>
          <w:p w14:paraId="18E811F1" w14:textId="23BBC83A"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3105" w:type="dxa"/>
            <w:tcBorders>
              <w:top w:val="single" w:sz="4" w:space="0" w:color="44B3E1"/>
              <w:left w:val="nil"/>
              <w:bottom w:val="nil"/>
              <w:right w:val="nil"/>
            </w:tcBorders>
            <w:tcMar>
              <w:top w:w="15" w:type="dxa"/>
              <w:left w:w="15" w:type="dxa"/>
              <w:right w:w="15" w:type="dxa"/>
            </w:tcMar>
            <w:vAlign w:val="bottom"/>
          </w:tcPr>
          <w:p w14:paraId="5F66DBB5" w14:textId="0DD39241"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9.242.684.436 </w:t>
            </w:r>
          </w:p>
        </w:tc>
        <w:tc>
          <w:tcPr>
            <w:tcW w:w="2038" w:type="dxa"/>
            <w:tcBorders>
              <w:top w:val="single" w:sz="4" w:space="0" w:color="44B3E1"/>
              <w:left w:val="nil"/>
              <w:bottom w:val="nil"/>
              <w:right w:val="nil"/>
            </w:tcBorders>
            <w:tcMar>
              <w:top w:w="15" w:type="dxa"/>
              <w:left w:w="15" w:type="dxa"/>
              <w:right w:w="15" w:type="dxa"/>
            </w:tcMar>
            <w:vAlign w:val="bottom"/>
          </w:tcPr>
          <w:p w14:paraId="178BEFF7" w14:textId="2AF67462"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16</w:t>
            </w:r>
          </w:p>
        </w:tc>
      </w:tr>
      <w:tr w:rsidR="3BC43353" w14:paraId="0CDC0C5D" w14:textId="77777777" w:rsidTr="3BCD5C0E">
        <w:trPr>
          <w:trHeight w:val="330"/>
          <w:jc w:val="center"/>
        </w:trPr>
        <w:tc>
          <w:tcPr>
            <w:tcW w:w="3498" w:type="dxa"/>
            <w:tcBorders>
              <w:top w:val="nil"/>
              <w:left w:val="nil"/>
              <w:bottom w:val="nil"/>
              <w:right w:val="nil"/>
            </w:tcBorders>
            <w:tcMar>
              <w:top w:w="15" w:type="dxa"/>
              <w:left w:w="135" w:type="dxa"/>
              <w:right w:w="15" w:type="dxa"/>
            </w:tcMar>
            <w:vAlign w:val="bottom"/>
          </w:tcPr>
          <w:p w14:paraId="585DB4FF" w14:textId="17662E21"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3105" w:type="dxa"/>
            <w:tcBorders>
              <w:top w:val="nil"/>
              <w:left w:val="nil"/>
              <w:bottom w:val="nil"/>
              <w:right w:val="nil"/>
            </w:tcBorders>
            <w:tcMar>
              <w:top w:w="15" w:type="dxa"/>
              <w:left w:w="15" w:type="dxa"/>
              <w:right w:w="15" w:type="dxa"/>
            </w:tcMar>
            <w:vAlign w:val="bottom"/>
          </w:tcPr>
          <w:p w14:paraId="574F066A" w14:textId="0873BF53"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3.001.138.773 </w:t>
            </w:r>
          </w:p>
        </w:tc>
        <w:tc>
          <w:tcPr>
            <w:tcW w:w="2038" w:type="dxa"/>
            <w:tcBorders>
              <w:top w:val="nil"/>
              <w:left w:val="nil"/>
              <w:bottom w:val="nil"/>
              <w:right w:val="nil"/>
            </w:tcBorders>
            <w:tcMar>
              <w:top w:w="15" w:type="dxa"/>
              <w:left w:w="15" w:type="dxa"/>
              <w:right w:w="15" w:type="dxa"/>
            </w:tcMar>
            <w:vAlign w:val="bottom"/>
          </w:tcPr>
          <w:p w14:paraId="5C6B9FDA" w14:textId="5DA217DA"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11</w:t>
            </w:r>
          </w:p>
        </w:tc>
      </w:tr>
      <w:tr w:rsidR="3BC43353" w14:paraId="5A47EB5D" w14:textId="77777777" w:rsidTr="3BCD5C0E">
        <w:trPr>
          <w:trHeight w:val="330"/>
          <w:jc w:val="center"/>
        </w:trPr>
        <w:tc>
          <w:tcPr>
            <w:tcW w:w="3498" w:type="dxa"/>
            <w:tcBorders>
              <w:top w:val="nil"/>
              <w:left w:val="nil"/>
              <w:bottom w:val="nil"/>
              <w:right w:val="nil"/>
            </w:tcBorders>
            <w:tcMar>
              <w:top w:w="15" w:type="dxa"/>
              <w:left w:w="135" w:type="dxa"/>
              <w:right w:w="15" w:type="dxa"/>
            </w:tcMar>
            <w:vAlign w:val="bottom"/>
          </w:tcPr>
          <w:p w14:paraId="47AD7656" w14:textId="4B8FD29C"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3105" w:type="dxa"/>
            <w:tcBorders>
              <w:top w:val="nil"/>
              <w:left w:val="nil"/>
              <w:bottom w:val="nil"/>
              <w:right w:val="nil"/>
            </w:tcBorders>
            <w:tcMar>
              <w:top w:w="15" w:type="dxa"/>
              <w:left w:w="15" w:type="dxa"/>
              <w:right w:w="15" w:type="dxa"/>
            </w:tcMar>
            <w:vAlign w:val="bottom"/>
          </w:tcPr>
          <w:p w14:paraId="1E66DCB7" w14:textId="50F63460"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101.850.672 </w:t>
            </w:r>
          </w:p>
        </w:tc>
        <w:tc>
          <w:tcPr>
            <w:tcW w:w="2038" w:type="dxa"/>
            <w:tcBorders>
              <w:top w:val="nil"/>
              <w:left w:val="nil"/>
              <w:bottom w:val="nil"/>
              <w:right w:val="nil"/>
            </w:tcBorders>
            <w:tcMar>
              <w:top w:w="15" w:type="dxa"/>
              <w:left w:w="15" w:type="dxa"/>
              <w:right w:w="15" w:type="dxa"/>
            </w:tcMar>
            <w:vAlign w:val="bottom"/>
          </w:tcPr>
          <w:p w14:paraId="374857B0" w14:textId="32F3CC42"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r>
      <w:tr w:rsidR="3BC43353" w14:paraId="0010ACAE" w14:textId="77777777" w:rsidTr="3BCD5C0E">
        <w:trPr>
          <w:trHeight w:val="330"/>
          <w:jc w:val="center"/>
        </w:trPr>
        <w:tc>
          <w:tcPr>
            <w:tcW w:w="3498" w:type="dxa"/>
            <w:tcBorders>
              <w:top w:val="nil"/>
              <w:left w:val="nil"/>
              <w:bottom w:val="single" w:sz="4" w:space="0" w:color="44B3E1"/>
              <w:right w:val="nil"/>
            </w:tcBorders>
            <w:tcMar>
              <w:top w:w="15" w:type="dxa"/>
              <w:left w:w="15" w:type="dxa"/>
              <w:right w:w="15" w:type="dxa"/>
            </w:tcMar>
            <w:vAlign w:val="bottom"/>
          </w:tcPr>
          <w:p w14:paraId="0C2C0507" w14:textId="2FEEFE19"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Interventoría</w:t>
            </w:r>
          </w:p>
        </w:tc>
        <w:tc>
          <w:tcPr>
            <w:tcW w:w="3105" w:type="dxa"/>
            <w:tcBorders>
              <w:top w:val="nil"/>
              <w:left w:val="nil"/>
              <w:bottom w:val="single" w:sz="4" w:space="0" w:color="44B3E1"/>
              <w:right w:val="nil"/>
            </w:tcBorders>
            <w:tcMar>
              <w:top w:w="15" w:type="dxa"/>
              <w:left w:w="15" w:type="dxa"/>
              <w:right w:w="15" w:type="dxa"/>
            </w:tcMar>
            <w:vAlign w:val="bottom"/>
          </w:tcPr>
          <w:p w14:paraId="478B68A3" w14:textId="0F82D506"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79.453.888.563 </w:t>
            </w:r>
          </w:p>
        </w:tc>
        <w:tc>
          <w:tcPr>
            <w:tcW w:w="2038" w:type="dxa"/>
            <w:tcBorders>
              <w:top w:val="nil"/>
              <w:left w:val="nil"/>
              <w:bottom w:val="single" w:sz="4" w:space="0" w:color="44B3E1"/>
              <w:right w:val="nil"/>
            </w:tcBorders>
            <w:tcMar>
              <w:top w:w="15" w:type="dxa"/>
              <w:left w:w="15" w:type="dxa"/>
              <w:right w:w="15" w:type="dxa"/>
            </w:tcMar>
            <w:vAlign w:val="bottom"/>
          </w:tcPr>
          <w:p w14:paraId="55D5AE0F" w14:textId="5C2EACC6"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142</w:t>
            </w:r>
          </w:p>
        </w:tc>
      </w:tr>
      <w:tr w:rsidR="3BC43353" w14:paraId="5ED43109" w14:textId="77777777" w:rsidTr="3BCD5C0E">
        <w:trPr>
          <w:trHeight w:val="330"/>
          <w:jc w:val="center"/>
        </w:trPr>
        <w:tc>
          <w:tcPr>
            <w:tcW w:w="3498" w:type="dxa"/>
            <w:tcBorders>
              <w:top w:val="single" w:sz="4" w:space="0" w:color="44B3E1"/>
              <w:left w:val="nil"/>
              <w:bottom w:val="nil"/>
              <w:right w:val="nil"/>
            </w:tcBorders>
            <w:tcMar>
              <w:top w:w="15" w:type="dxa"/>
              <w:left w:w="135" w:type="dxa"/>
              <w:right w:w="15" w:type="dxa"/>
            </w:tcMar>
            <w:vAlign w:val="bottom"/>
          </w:tcPr>
          <w:p w14:paraId="1CA337CF" w14:textId="6F79124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3105" w:type="dxa"/>
            <w:tcBorders>
              <w:top w:val="single" w:sz="4" w:space="0" w:color="44B3E1"/>
              <w:left w:val="nil"/>
              <w:bottom w:val="nil"/>
              <w:right w:val="nil"/>
            </w:tcBorders>
            <w:tcMar>
              <w:top w:w="15" w:type="dxa"/>
              <w:left w:w="15" w:type="dxa"/>
              <w:right w:w="15" w:type="dxa"/>
            </w:tcMar>
            <w:vAlign w:val="bottom"/>
          </w:tcPr>
          <w:p w14:paraId="2334EB54" w14:textId="1273B370"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37.948.530.439 </w:t>
            </w:r>
          </w:p>
        </w:tc>
        <w:tc>
          <w:tcPr>
            <w:tcW w:w="2038" w:type="dxa"/>
            <w:tcBorders>
              <w:top w:val="single" w:sz="4" w:space="0" w:color="44B3E1"/>
              <w:left w:val="nil"/>
              <w:bottom w:val="nil"/>
              <w:right w:val="nil"/>
            </w:tcBorders>
            <w:tcMar>
              <w:top w:w="15" w:type="dxa"/>
              <w:left w:w="15" w:type="dxa"/>
              <w:right w:w="15" w:type="dxa"/>
            </w:tcMar>
            <w:vAlign w:val="bottom"/>
          </w:tcPr>
          <w:p w14:paraId="56420D81" w14:textId="148955E2"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79</w:t>
            </w:r>
          </w:p>
        </w:tc>
      </w:tr>
      <w:tr w:rsidR="3BC43353" w14:paraId="0B9D7BAB" w14:textId="77777777" w:rsidTr="3BCD5C0E">
        <w:trPr>
          <w:trHeight w:val="330"/>
          <w:jc w:val="center"/>
        </w:trPr>
        <w:tc>
          <w:tcPr>
            <w:tcW w:w="3498" w:type="dxa"/>
            <w:tcBorders>
              <w:top w:val="nil"/>
              <w:left w:val="nil"/>
              <w:bottom w:val="nil"/>
              <w:right w:val="nil"/>
            </w:tcBorders>
            <w:tcMar>
              <w:top w:w="15" w:type="dxa"/>
              <w:left w:w="135" w:type="dxa"/>
              <w:right w:w="15" w:type="dxa"/>
            </w:tcMar>
            <w:vAlign w:val="bottom"/>
          </w:tcPr>
          <w:p w14:paraId="096A44FE" w14:textId="725F3CC2"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3105" w:type="dxa"/>
            <w:tcBorders>
              <w:top w:val="nil"/>
              <w:left w:val="nil"/>
              <w:bottom w:val="nil"/>
              <w:right w:val="nil"/>
            </w:tcBorders>
            <w:tcMar>
              <w:top w:w="15" w:type="dxa"/>
              <w:left w:w="15" w:type="dxa"/>
              <w:right w:w="15" w:type="dxa"/>
            </w:tcMar>
            <w:vAlign w:val="bottom"/>
          </w:tcPr>
          <w:p w14:paraId="71763C09" w14:textId="25D4A130"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41.505.358.124 </w:t>
            </w:r>
          </w:p>
        </w:tc>
        <w:tc>
          <w:tcPr>
            <w:tcW w:w="2038" w:type="dxa"/>
            <w:tcBorders>
              <w:top w:val="nil"/>
              <w:left w:val="nil"/>
              <w:bottom w:val="nil"/>
              <w:right w:val="nil"/>
            </w:tcBorders>
            <w:tcMar>
              <w:top w:w="15" w:type="dxa"/>
              <w:left w:w="15" w:type="dxa"/>
              <w:right w:w="15" w:type="dxa"/>
            </w:tcMar>
            <w:vAlign w:val="bottom"/>
          </w:tcPr>
          <w:p w14:paraId="17A31093" w14:textId="64DF7488"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63</w:t>
            </w:r>
          </w:p>
        </w:tc>
      </w:tr>
      <w:tr w:rsidR="3BC43353" w14:paraId="05E4BCA2" w14:textId="77777777" w:rsidTr="3BCD5C0E">
        <w:trPr>
          <w:trHeight w:val="330"/>
          <w:jc w:val="center"/>
        </w:trPr>
        <w:tc>
          <w:tcPr>
            <w:tcW w:w="3498" w:type="dxa"/>
            <w:tcBorders>
              <w:top w:val="nil"/>
              <w:left w:val="nil"/>
              <w:bottom w:val="single" w:sz="4" w:space="0" w:color="44B3E1"/>
              <w:right w:val="nil"/>
            </w:tcBorders>
            <w:tcMar>
              <w:top w:w="15" w:type="dxa"/>
              <w:left w:w="15" w:type="dxa"/>
              <w:right w:w="15" w:type="dxa"/>
            </w:tcMar>
            <w:vAlign w:val="bottom"/>
          </w:tcPr>
          <w:p w14:paraId="67D3498D" w14:textId="094A6C02"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Obra</w:t>
            </w:r>
          </w:p>
        </w:tc>
        <w:tc>
          <w:tcPr>
            <w:tcW w:w="3105" w:type="dxa"/>
            <w:tcBorders>
              <w:top w:val="nil"/>
              <w:left w:val="nil"/>
              <w:bottom w:val="single" w:sz="4" w:space="0" w:color="44B3E1"/>
              <w:right w:val="nil"/>
            </w:tcBorders>
            <w:tcMar>
              <w:top w:w="15" w:type="dxa"/>
              <w:left w:w="15" w:type="dxa"/>
              <w:right w:w="15" w:type="dxa"/>
            </w:tcMar>
            <w:vAlign w:val="bottom"/>
          </w:tcPr>
          <w:p w14:paraId="56FF1857" w14:textId="0E9CD3FE"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2.152.620.049.637 </w:t>
            </w:r>
          </w:p>
        </w:tc>
        <w:tc>
          <w:tcPr>
            <w:tcW w:w="2038" w:type="dxa"/>
            <w:tcBorders>
              <w:top w:val="nil"/>
              <w:left w:val="nil"/>
              <w:bottom w:val="single" w:sz="4" w:space="0" w:color="44B3E1"/>
              <w:right w:val="nil"/>
            </w:tcBorders>
            <w:tcMar>
              <w:top w:w="15" w:type="dxa"/>
              <w:left w:w="15" w:type="dxa"/>
              <w:right w:w="15" w:type="dxa"/>
            </w:tcMar>
            <w:vAlign w:val="bottom"/>
          </w:tcPr>
          <w:p w14:paraId="4FA312D1" w14:textId="30AB3CB0"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700</w:t>
            </w:r>
          </w:p>
        </w:tc>
      </w:tr>
      <w:tr w:rsidR="3BC43353" w14:paraId="7E8C2FE1" w14:textId="77777777" w:rsidTr="3BCD5C0E">
        <w:trPr>
          <w:trHeight w:val="330"/>
          <w:jc w:val="center"/>
        </w:trPr>
        <w:tc>
          <w:tcPr>
            <w:tcW w:w="3498" w:type="dxa"/>
            <w:tcBorders>
              <w:top w:val="single" w:sz="4" w:space="0" w:color="44B3E1"/>
              <w:left w:val="nil"/>
              <w:bottom w:val="nil"/>
              <w:right w:val="nil"/>
            </w:tcBorders>
            <w:tcMar>
              <w:top w:w="15" w:type="dxa"/>
              <w:left w:w="135" w:type="dxa"/>
              <w:right w:w="15" w:type="dxa"/>
            </w:tcMar>
            <w:vAlign w:val="bottom"/>
          </w:tcPr>
          <w:p w14:paraId="548C57A0" w14:textId="766FEA69"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3105" w:type="dxa"/>
            <w:tcBorders>
              <w:top w:val="single" w:sz="4" w:space="0" w:color="44B3E1"/>
              <w:left w:val="nil"/>
              <w:bottom w:val="nil"/>
              <w:right w:val="nil"/>
            </w:tcBorders>
            <w:tcMar>
              <w:top w:w="15" w:type="dxa"/>
              <w:left w:w="15" w:type="dxa"/>
              <w:right w:w="15" w:type="dxa"/>
            </w:tcMar>
            <w:vAlign w:val="bottom"/>
          </w:tcPr>
          <w:p w14:paraId="65B14DA2" w14:textId="58859CB5"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1.089.308.577.503 </w:t>
            </w:r>
          </w:p>
        </w:tc>
        <w:tc>
          <w:tcPr>
            <w:tcW w:w="2038" w:type="dxa"/>
            <w:tcBorders>
              <w:top w:val="single" w:sz="4" w:space="0" w:color="44B3E1"/>
              <w:left w:val="nil"/>
              <w:bottom w:val="nil"/>
              <w:right w:val="nil"/>
            </w:tcBorders>
            <w:tcMar>
              <w:top w:w="15" w:type="dxa"/>
              <w:left w:w="15" w:type="dxa"/>
              <w:right w:w="15" w:type="dxa"/>
            </w:tcMar>
            <w:vAlign w:val="bottom"/>
          </w:tcPr>
          <w:p w14:paraId="53E72495" w14:textId="38E85162"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513</w:t>
            </w:r>
          </w:p>
        </w:tc>
      </w:tr>
      <w:tr w:rsidR="3BC43353" w14:paraId="21C682B6" w14:textId="77777777" w:rsidTr="3BCD5C0E">
        <w:trPr>
          <w:trHeight w:val="330"/>
          <w:jc w:val="center"/>
        </w:trPr>
        <w:tc>
          <w:tcPr>
            <w:tcW w:w="3498" w:type="dxa"/>
            <w:tcBorders>
              <w:top w:val="nil"/>
              <w:left w:val="nil"/>
              <w:bottom w:val="nil"/>
              <w:right w:val="nil"/>
            </w:tcBorders>
            <w:tcMar>
              <w:top w:w="15" w:type="dxa"/>
              <w:left w:w="135" w:type="dxa"/>
              <w:right w:w="15" w:type="dxa"/>
            </w:tcMar>
            <w:vAlign w:val="bottom"/>
          </w:tcPr>
          <w:p w14:paraId="5748A2E0" w14:textId="6680572E"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3105" w:type="dxa"/>
            <w:tcBorders>
              <w:top w:val="nil"/>
              <w:left w:val="nil"/>
              <w:bottom w:val="nil"/>
              <w:right w:val="nil"/>
            </w:tcBorders>
            <w:tcMar>
              <w:top w:w="15" w:type="dxa"/>
              <w:left w:w="15" w:type="dxa"/>
              <w:right w:w="15" w:type="dxa"/>
            </w:tcMar>
            <w:vAlign w:val="bottom"/>
          </w:tcPr>
          <w:p w14:paraId="4DD94B1D" w14:textId="1DE27337"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500.488.514.358 </w:t>
            </w:r>
          </w:p>
        </w:tc>
        <w:tc>
          <w:tcPr>
            <w:tcW w:w="2038" w:type="dxa"/>
            <w:tcBorders>
              <w:top w:val="nil"/>
              <w:left w:val="nil"/>
              <w:bottom w:val="nil"/>
              <w:right w:val="nil"/>
            </w:tcBorders>
            <w:tcMar>
              <w:top w:w="15" w:type="dxa"/>
              <w:left w:w="15" w:type="dxa"/>
              <w:right w:w="15" w:type="dxa"/>
            </w:tcMar>
            <w:vAlign w:val="bottom"/>
          </w:tcPr>
          <w:p w14:paraId="3ACED679" w14:textId="4447D44B"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130</w:t>
            </w:r>
          </w:p>
        </w:tc>
      </w:tr>
      <w:tr w:rsidR="3BC43353" w14:paraId="7CF6CF47" w14:textId="77777777" w:rsidTr="3BCD5C0E">
        <w:trPr>
          <w:trHeight w:val="330"/>
          <w:jc w:val="center"/>
        </w:trPr>
        <w:tc>
          <w:tcPr>
            <w:tcW w:w="3498" w:type="dxa"/>
            <w:tcBorders>
              <w:top w:val="nil"/>
              <w:left w:val="nil"/>
              <w:bottom w:val="nil"/>
              <w:right w:val="nil"/>
            </w:tcBorders>
            <w:tcMar>
              <w:top w:w="15" w:type="dxa"/>
              <w:left w:w="135" w:type="dxa"/>
              <w:right w:w="15" w:type="dxa"/>
            </w:tcMar>
            <w:vAlign w:val="bottom"/>
          </w:tcPr>
          <w:p w14:paraId="554E94E3" w14:textId="2B633F8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3105" w:type="dxa"/>
            <w:tcBorders>
              <w:top w:val="nil"/>
              <w:left w:val="nil"/>
              <w:bottom w:val="nil"/>
              <w:right w:val="nil"/>
            </w:tcBorders>
            <w:tcMar>
              <w:top w:w="15" w:type="dxa"/>
              <w:left w:w="15" w:type="dxa"/>
              <w:right w:w="15" w:type="dxa"/>
            </w:tcMar>
            <w:vAlign w:val="bottom"/>
          </w:tcPr>
          <w:p w14:paraId="7AEC4EA6" w14:textId="1FE68533"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562.822.957.776 </w:t>
            </w:r>
          </w:p>
        </w:tc>
        <w:tc>
          <w:tcPr>
            <w:tcW w:w="2038" w:type="dxa"/>
            <w:tcBorders>
              <w:top w:val="nil"/>
              <w:left w:val="nil"/>
              <w:bottom w:val="nil"/>
              <w:right w:val="nil"/>
            </w:tcBorders>
            <w:tcMar>
              <w:top w:w="15" w:type="dxa"/>
              <w:left w:w="15" w:type="dxa"/>
              <w:right w:w="15" w:type="dxa"/>
            </w:tcMar>
            <w:vAlign w:val="bottom"/>
          </w:tcPr>
          <w:p w14:paraId="6BF77750" w14:textId="4D242E1A"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57</w:t>
            </w:r>
          </w:p>
        </w:tc>
      </w:tr>
      <w:tr w:rsidR="3BC43353" w14:paraId="46B90637" w14:textId="77777777" w:rsidTr="3BCD5C0E">
        <w:trPr>
          <w:trHeight w:val="330"/>
          <w:jc w:val="center"/>
        </w:trPr>
        <w:tc>
          <w:tcPr>
            <w:tcW w:w="3498" w:type="dxa"/>
            <w:tcBorders>
              <w:top w:val="single" w:sz="4" w:space="0" w:color="44B3E1"/>
              <w:left w:val="nil"/>
              <w:bottom w:val="nil"/>
              <w:right w:val="nil"/>
            </w:tcBorders>
            <w:shd w:val="clear" w:color="auto" w:fill="C0E6F5"/>
            <w:tcMar>
              <w:top w:w="15" w:type="dxa"/>
              <w:left w:w="15" w:type="dxa"/>
              <w:right w:w="15" w:type="dxa"/>
            </w:tcMar>
            <w:vAlign w:val="bottom"/>
          </w:tcPr>
          <w:p w14:paraId="342B5CBD" w14:textId="32C506B1"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3105" w:type="dxa"/>
            <w:tcBorders>
              <w:top w:val="single" w:sz="4" w:space="0" w:color="44B3E1"/>
              <w:left w:val="nil"/>
              <w:bottom w:val="nil"/>
              <w:right w:val="nil"/>
            </w:tcBorders>
            <w:shd w:val="clear" w:color="auto" w:fill="C0E6F5"/>
            <w:tcMar>
              <w:top w:w="15" w:type="dxa"/>
              <w:left w:w="15" w:type="dxa"/>
              <w:right w:w="15" w:type="dxa"/>
            </w:tcMar>
            <w:vAlign w:val="bottom"/>
          </w:tcPr>
          <w:p w14:paraId="4EE5D6C9" w14:textId="40CD1D3B"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2.244.419.612.081 </w:t>
            </w:r>
          </w:p>
        </w:tc>
        <w:tc>
          <w:tcPr>
            <w:tcW w:w="2038" w:type="dxa"/>
            <w:tcBorders>
              <w:top w:val="single" w:sz="4" w:space="0" w:color="44B3E1"/>
              <w:left w:val="nil"/>
              <w:bottom w:val="nil"/>
              <w:right w:val="nil"/>
            </w:tcBorders>
            <w:shd w:val="clear" w:color="auto" w:fill="C0E6F5"/>
            <w:tcMar>
              <w:top w:w="15" w:type="dxa"/>
              <w:left w:w="15" w:type="dxa"/>
              <w:right w:w="15" w:type="dxa"/>
            </w:tcMar>
            <w:vAlign w:val="bottom"/>
          </w:tcPr>
          <w:p w14:paraId="71271083" w14:textId="5D28A5DB"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r>
    </w:tbl>
    <w:p w14:paraId="607BAB60" w14:textId="755D7B79" w:rsidR="3BC43353" w:rsidRDefault="3BC43353" w:rsidP="3BCD5C0E">
      <w:pPr>
        <w:rPr>
          <w:rFonts w:ascii="Verdana Pro" w:eastAsia="Verdana Pro" w:hAnsi="Verdana Pro" w:cs="Verdana Pro"/>
        </w:rPr>
      </w:pPr>
    </w:p>
    <w:p w14:paraId="2CF178E8" w14:textId="24DCAA1E" w:rsidR="3EDB6F8B" w:rsidRDefault="3EDB6F8B"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En relación con el tipo de edificaciones que se analizaron en estos 870 procesos, institucionales y de seguridad pública que separa adicionalmente los procesos para sitios de reclusión, resultan relevantes los procesos de consultoría y de interventoría que representan el 20% del análisis:</w:t>
      </w:r>
    </w:p>
    <w:p w14:paraId="70B47C37" w14:textId="77DE7ACD" w:rsidR="449377F1" w:rsidRDefault="449377F1" w:rsidP="449377F1">
      <w:pPr>
        <w:rPr>
          <w:rFonts w:ascii="Verdana Pro" w:eastAsia="Verdana Pro" w:hAnsi="Verdana Pro" w:cs="Verdana Pro"/>
        </w:rPr>
      </w:pPr>
    </w:p>
    <w:p w14:paraId="49423B56" w14:textId="625D1483" w:rsidR="7E478CDF" w:rsidRDefault="44666851" w:rsidP="3BCD5C0E">
      <w:pPr>
        <w:jc w:val="center"/>
        <w:rPr>
          <w:rFonts w:ascii="Verdana Pro" w:eastAsia="Verdana Pro" w:hAnsi="Verdana Pro" w:cs="Verdana Pro"/>
        </w:rPr>
      </w:pPr>
      <w:r>
        <w:rPr>
          <w:noProof/>
        </w:rPr>
        <w:drawing>
          <wp:inline distT="0" distB="0" distL="0" distR="0" wp14:anchorId="1073B524" wp14:editId="64C4E000">
            <wp:extent cx="4192171" cy="1216990"/>
            <wp:effectExtent l="0" t="0" r="0" b="0"/>
            <wp:docPr id="748877154" name="Picture 748877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4192171" cy="1216990"/>
                    </a:xfrm>
                    <a:prstGeom prst="rect">
                      <a:avLst/>
                    </a:prstGeom>
                  </pic:spPr>
                </pic:pic>
              </a:graphicData>
            </a:graphic>
          </wp:inline>
        </w:drawing>
      </w:r>
    </w:p>
    <w:p w14:paraId="22153D8A" w14:textId="0C1800C4" w:rsidR="449377F1" w:rsidRDefault="449377F1" w:rsidP="449377F1">
      <w:pPr>
        <w:jc w:val="both"/>
        <w:rPr>
          <w:rFonts w:ascii="Verdana Pro" w:eastAsia="Verdana Pro" w:hAnsi="Verdana Pro" w:cs="Verdana Pro"/>
          <w:sz w:val="22"/>
          <w:szCs w:val="22"/>
        </w:rPr>
      </w:pPr>
    </w:p>
    <w:p w14:paraId="70F41100" w14:textId="26FA2CCD" w:rsidR="3BC43353" w:rsidRDefault="23FB30AF" w:rsidP="449377F1">
      <w:pPr>
        <w:jc w:val="both"/>
        <w:rPr>
          <w:rFonts w:ascii="Verdana Pro" w:eastAsia="Verdana Pro" w:hAnsi="Verdana Pro" w:cs="Verdana Pro"/>
          <w:sz w:val="22"/>
          <w:szCs w:val="22"/>
        </w:rPr>
      </w:pPr>
      <w:r w:rsidRPr="449377F1">
        <w:rPr>
          <w:rFonts w:ascii="Verdana Pro" w:eastAsia="Verdana Pro" w:hAnsi="Verdana Pro" w:cs="Verdana Pro"/>
          <w:sz w:val="22"/>
          <w:szCs w:val="22"/>
        </w:rPr>
        <w:t xml:space="preserve">Y en términos de inversión de recursos se encuentra que </w:t>
      </w:r>
      <w:r w:rsidR="737640CA" w:rsidRPr="449377F1">
        <w:rPr>
          <w:rFonts w:ascii="Verdana Pro" w:eastAsia="Verdana Pro" w:hAnsi="Verdana Pro" w:cs="Verdana Pro"/>
          <w:sz w:val="22"/>
          <w:szCs w:val="22"/>
        </w:rPr>
        <w:t xml:space="preserve">los procesos para seguridad pública representan el 51% de la inversión analizada en estos 870 procesos, seguido por las edificaciones de tipo de servicio </w:t>
      </w:r>
      <w:r w:rsidR="0009B14A" w:rsidRPr="449377F1">
        <w:rPr>
          <w:rFonts w:ascii="Verdana Pro" w:eastAsia="Verdana Pro" w:hAnsi="Verdana Pro" w:cs="Verdana Pro"/>
          <w:sz w:val="22"/>
          <w:szCs w:val="22"/>
        </w:rPr>
        <w:t>público</w:t>
      </w:r>
      <w:r w:rsidR="737640CA" w:rsidRPr="449377F1">
        <w:rPr>
          <w:rFonts w:ascii="Verdana Pro" w:eastAsia="Verdana Pro" w:hAnsi="Verdana Pro" w:cs="Verdana Pro"/>
          <w:sz w:val="22"/>
          <w:szCs w:val="22"/>
        </w:rPr>
        <w:t xml:space="preserve"> y de reclusión con un 25% </w:t>
      </w:r>
      <w:r w:rsidR="6F080B8A" w:rsidRPr="449377F1">
        <w:rPr>
          <w:rFonts w:ascii="Verdana Pro" w:eastAsia="Verdana Pro" w:hAnsi="Verdana Pro" w:cs="Verdana Pro"/>
          <w:sz w:val="22"/>
          <w:szCs w:val="22"/>
        </w:rPr>
        <w:t xml:space="preserve">y 24% </w:t>
      </w:r>
      <w:r w:rsidR="0F02068E" w:rsidRPr="449377F1">
        <w:rPr>
          <w:rFonts w:ascii="Verdana Pro" w:eastAsia="Verdana Pro" w:hAnsi="Verdana Pro" w:cs="Verdana Pro"/>
          <w:sz w:val="22"/>
          <w:szCs w:val="22"/>
        </w:rPr>
        <w:t>respectivamente</w:t>
      </w:r>
      <w:r w:rsidR="6F080B8A" w:rsidRPr="449377F1">
        <w:rPr>
          <w:rFonts w:ascii="Verdana Pro" w:eastAsia="Verdana Pro" w:hAnsi="Verdana Pro" w:cs="Verdana Pro"/>
          <w:sz w:val="22"/>
          <w:szCs w:val="22"/>
        </w:rPr>
        <w:t xml:space="preserve">. </w:t>
      </w:r>
    </w:p>
    <w:p w14:paraId="1AA7761F" w14:textId="156AFB8A" w:rsidR="7E478CDF" w:rsidRDefault="7E478CDF" w:rsidP="3BCD5C0E">
      <w:pPr>
        <w:jc w:val="center"/>
        <w:rPr>
          <w:rFonts w:ascii="Verdana Pro" w:eastAsia="Verdana Pro" w:hAnsi="Verdana Pro" w:cs="Verdana Pro"/>
        </w:rPr>
      </w:pPr>
      <w:r>
        <w:rPr>
          <w:noProof/>
        </w:rPr>
        <w:lastRenderedPageBreak/>
        <w:drawing>
          <wp:inline distT="0" distB="0" distL="0" distR="0" wp14:anchorId="47D4A3BD" wp14:editId="61C3FF90">
            <wp:extent cx="4584592" cy="2588943"/>
            <wp:effectExtent l="0" t="0" r="0" b="0"/>
            <wp:docPr id="1900826111" name="Picture 190082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4584592" cy="2588943"/>
                    </a:xfrm>
                    <a:prstGeom prst="rect">
                      <a:avLst/>
                    </a:prstGeom>
                  </pic:spPr>
                </pic:pic>
              </a:graphicData>
            </a:graphic>
          </wp:inline>
        </w:drawing>
      </w:r>
    </w:p>
    <w:p w14:paraId="72585D94" w14:textId="53D88D0C" w:rsidR="3BC43353" w:rsidRDefault="3BC43353" w:rsidP="3BCD5C0E">
      <w:pPr>
        <w:rPr>
          <w:rFonts w:ascii="Verdana Pro" w:eastAsia="Verdana Pro" w:hAnsi="Verdana Pro" w:cs="Verdana Pro"/>
        </w:rPr>
      </w:pPr>
    </w:p>
    <w:p w14:paraId="0C8D2BCA" w14:textId="04D59B06" w:rsidR="5591FEBC" w:rsidRDefault="5591FEBC" w:rsidP="449377F1">
      <w:pPr>
        <w:jc w:val="both"/>
        <w:rPr>
          <w:rFonts w:ascii="Verdana Pro" w:eastAsia="Verdana Pro" w:hAnsi="Verdana Pro" w:cs="Verdana Pro"/>
        </w:rPr>
      </w:pPr>
      <w:r w:rsidRPr="449377F1">
        <w:rPr>
          <w:rFonts w:ascii="Verdana Pro" w:eastAsia="Verdana Pro" w:hAnsi="Verdana Pro" w:cs="Verdana Pro"/>
          <w:sz w:val="22"/>
          <w:szCs w:val="22"/>
        </w:rPr>
        <w:t>En el análisis</w:t>
      </w:r>
      <w:r w:rsidR="069FC793" w:rsidRPr="449377F1">
        <w:rPr>
          <w:rFonts w:ascii="Verdana Pro" w:eastAsia="Verdana Pro" w:hAnsi="Verdana Pro" w:cs="Verdana Pro"/>
          <w:sz w:val="22"/>
          <w:szCs w:val="22"/>
        </w:rPr>
        <w:t>,</w:t>
      </w:r>
      <w:r w:rsidRPr="449377F1">
        <w:rPr>
          <w:rFonts w:ascii="Verdana Pro" w:eastAsia="Verdana Pro" w:hAnsi="Verdana Pro" w:cs="Verdana Pro"/>
          <w:sz w:val="22"/>
          <w:szCs w:val="22"/>
        </w:rPr>
        <w:t xml:space="preserve"> el 70% de estos 870 procesos corresponden es congruente el valor invertido con el </w:t>
      </w:r>
      <w:r w:rsidR="3580DE03" w:rsidRPr="449377F1">
        <w:rPr>
          <w:rFonts w:ascii="Verdana Pro" w:eastAsia="Verdana Pro" w:hAnsi="Verdana Pro" w:cs="Verdana Pro"/>
          <w:sz w:val="22"/>
          <w:szCs w:val="22"/>
        </w:rPr>
        <w:t>número</w:t>
      </w:r>
      <w:r w:rsidRPr="449377F1">
        <w:rPr>
          <w:rFonts w:ascii="Verdana Pro" w:eastAsia="Verdana Pro" w:hAnsi="Verdana Pro" w:cs="Verdana Pro"/>
          <w:sz w:val="22"/>
          <w:szCs w:val="22"/>
        </w:rPr>
        <w:t xml:space="preserve"> de procesos del tipo de edificaciones de seguridad pública</w:t>
      </w:r>
      <w:r w:rsidRPr="449377F1">
        <w:rPr>
          <w:rFonts w:ascii="Verdana Pro" w:eastAsia="Verdana Pro" w:hAnsi="Verdana Pro" w:cs="Verdana Pro"/>
        </w:rPr>
        <w:t xml:space="preserve"> </w:t>
      </w:r>
      <w:r w:rsidR="1E36A875" w:rsidRPr="449377F1">
        <w:rPr>
          <w:rFonts w:ascii="Verdana Pro" w:eastAsia="Verdana Pro" w:hAnsi="Verdana Pro" w:cs="Verdana Pro"/>
        </w:rPr>
        <w:t xml:space="preserve">y el 30% restante se representan en los tipos de edificación institucional y de reclusión: </w:t>
      </w:r>
    </w:p>
    <w:p w14:paraId="6A0B3CAE" w14:textId="0B14ED69" w:rsidR="449377F1" w:rsidRDefault="449377F1" w:rsidP="449377F1">
      <w:pPr>
        <w:rPr>
          <w:rFonts w:ascii="Verdana Pro" w:eastAsia="Verdana Pro" w:hAnsi="Verdana Pro" w:cs="Verdana Pro"/>
        </w:rPr>
      </w:pPr>
    </w:p>
    <w:p w14:paraId="6CFCB201" w14:textId="0465825A" w:rsidR="6A52A110" w:rsidRDefault="6A52A110" w:rsidP="3BCD5C0E">
      <w:pPr>
        <w:jc w:val="center"/>
        <w:rPr>
          <w:rFonts w:ascii="Verdana Pro" w:eastAsia="Verdana Pro" w:hAnsi="Verdana Pro" w:cs="Verdana Pro"/>
        </w:rPr>
      </w:pPr>
      <w:r>
        <w:rPr>
          <w:noProof/>
        </w:rPr>
        <w:drawing>
          <wp:inline distT="0" distB="0" distL="0" distR="0" wp14:anchorId="5BEEF8FF" wp14:editId="62378944">
            <wp:extent cx="4584592" cy="2434162"/>
            <wp:effectExtent l="0" t="0" r="0" b="0"/>
            <wp:docPr id="972285021" name="Picture 97228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584592" cy="2434162"/>
                    </a:xfrm>
                    <a:prstGeom prst="rect">
                      <a:avLst/>
                    </a:prstGeom>
                  </pic:spPr>
                </pic:pic>
              </a:graphicData>
            </a:graphic>
          </wp:inline>
        </w:drawing>
      </w:r>
    </w:p>
    <w:p w14:paraId="3E716599" w14:textId="12DC3B42" w:rsidR="3BC43353" w:rsidRDefault="3BC43353" w:rsidP="3BCD5C0E">
      <w:pPr>
        <w:rPr>
          <w:rFonts w:ascii="Verdana Pro" w:eastAsia="Verdana Pro" w:hAnsi="Verdana Pro" w:cs="Verdana Pro"/>
        </w:rPr>
      </w:pPr>
    </w:p>
    <w:p w14:paraId="1C42EFD7" w14:textId="0C26080F" w:rsidR="34580B7B" w:rsidRPr="00B00FCB" w:rsidRDefault="34580B7B" w:rsidP="449377F1">
      <w:pPr>
        <w:jc w:val="both"/>
        <w:rPr>
          <w:rFonts w:ascii="Verdana" w:hAnsi="Verdana" w:cs="Arial"/>
          <w:sz w:val="22"/>
          <w:szCs w:val="22"/>
        </w:rPr>
      </w:pPr>
      <w:r w:rsidRPr="449377F1">
        <w:rPr>
          <w:rFonts w:ascii="Verdana Pro" w:eastAsia="Verdana Pro" w:hAnsi="Verdana Pro" w:cs="Verdana Pro"/>
          <w:sz w:val="22"/>
          <w:szCs w:val="22"/>
        </w:rPr>
        <w:t xml:space="preserve">Ahora bien, </w:t>
      </w:r>
      <w:r w:rsidR="2AF77070" w:rsidRPr="449377F1">
        <w:rPr>
          <w:rFonts w:ascii="Verdana Pro" w:eastAsia="Verdana Pro" w:hAnsi="Verdana Pro" w:cs="Verdana Pro"/>
          <w:sz w:val="22"/>
          <w:szCs w:val="22"/>
        </w:rPr>
        <w:t xml:space="preserve">en </w:t>
      </w:r>
      <w:r w:rsidR="2AF77070" w:rsidRPr="005E7310">
        <w:rPr>
          <w:rFonts w:ascii="Verdana Pro" w:eastAsia="Verdana Pro" w:hAnsi="Verdana Pro" w:cs="Verdana Pro"/>
          <w:sz w:val="22"/>
          <w:szCs w:val="22"/>
        </w:rPr>
        <w:t xml:space="preserve">los </w:t>
      </w:r>
      <w:r w:rsidR="590B497B" w:rsidRPr="00B00FCB">
        <w:rPr>
          <w:rFonts w:ascii="Verdana" w:hAnsi="Verdana" w:cs="Arial"/>
          <w:sz w:val="22"/>
          <w:szCs w:val="22"/>
        </w:rPr>
        <w:t>registros de</w:t>
      </w:r>
      <w:r w:rsidR="198044EC" w:rsidRPr="00B00FCB">
        <w:rPr>
          <w:rFonts w:ascii="Verdana" w:hAnsi="Verdana" w:cs="Arial"/>
          <w:sz w:val="22"/>
          <w:szCs w:val="22"/>
        </w:rPr>
        <w:t xml:space="preserve"> </w:t>
      </w:r>
      <w:r w:rsidR="590B497B" w:rsidRPr="00B00FCB">
        <w:rPr>
          <w:rFonts w:ascii="Verdana" w:hAnsi="Verdana" w:cs="Arial"/>
          <w:sz w:val="22"/>
          <w:szCs w:val="22"/>
        </w:rPr>
        <w:t>l</w:t>
      </w:r>
      <w:r w:rsidR="198044EC" w:rsidRPr="00B00FCB">
        <w:rPr>
          <w:rFonts w:ascii="Verdana" w:hAnsi="Verdana" w:cs="Arial"/>
          <w:sz w:val="22"/>
          <w:szCs w:val="22"/>
        </w:rPr>
        <w:t xml:space="preserve">a plataforma </w:t>
      </w:r>
      <w:r w:rsidR="590B497B" w:rsidRPr="00B00FCB">
        <w:rPr>
          <w:rFonts w:ascii="Verdana" w:hAnsi="Verdana" w:cs="Arial"/>
          <w:sz w:val="22"/>
          <w:szCs w:val="22"/>
        </w:rPr>
        <w:t>SECOP I</w:t>
      </w:r>
      <w:r w:rsidR="201BC4CF" w:rsidRPr="00B00FCB">
        <w:rPr>
          <w:rFonts w:ascii="Verdana" w:hAnsi="Verdana" w:cs="Arial"/>
          <w:sz w:val="22"/>
          <w:szCs w:val="22"/>
        </w:rPr>
        <w:t xml:space="preserve"> y II</w:t>
      </w:r>
      <w:r w:rsidR="590B497B" w:rsidRPr="00B00FCB">
        <w:rPr>
          <w:rFonts w:ascii="Verdana" w:hAnsi="Verdana" w:cs="Arial"/>
          <w:sz w:val="22"/>
          <w:szCs w:val="22"/>
        </w:rPr>
        <w:t xml:space="preserve">, la participación por género del representante legal del proveedor adjudicado muestra una mayor participación del </w:t>
      </w:r>
      <w:r w:rsidR="590B497B" w:rsidRPr="00B00FCB">
        <w:rPr>
          <w:rFonts w:ascii="Verdana" w:hAnsi="Verdana" w:cs="Arial"/>
          <w:sz w:val="22"/>
          <w:szCs w:val="22"/>
        </w:rPr>
        <w:lastRenderedPageBreak/>
        <w:t>género “Masculino” tanto en los valores contratados por $7,3 billones de pesos, como en el número de contratos con 6.853, frente a aquellos proveedores con representante legal “Femenino” con valores contratados por $1,2 billones de pesos a través de 1.439 contratos. Esto refleja una disparidad significativa en el género relacionado con la representación legal de los proveedores en el ámbito de la contratación pública del sector transporte en el SECOP I.</w:t>
      </w:r>
    </w:p>
    <w:p w14:paraId="5EEBC318" w14:textId="77777777" w:rsidR="449377F1" w:rsidRPr="00B00FCB" w:rsidRDefault="449377F1" w:rsidP="449377F1">
      <w:pPr>
        <w:jc w:val="both"/>
        <w:rPr>
          <w:rFonts w:ascii="Verdana" w:hAnsi="Verdana" w:cs="Arial"/>
          <w:sz w:val="22"/>
          <w:szCs w:val="22"/>
        </w:rPr>
      </w:pPr>
    </w:p>
    <w:p w14:paraId="2EC6C0F6" w14:textId="634EFC57" w:rsidR="590B497B" w:rsidRPr="00B00FCB" w:rsidRDefault="590B497B" w:rsidP="449377F1">
      <w:pPr>
        <w:jc w:val="both"/>
        <w:rPr>
          <w:rFonts w:ascii="Verdana" w:hAnsi="Verdana" w:cs="Arial"/>
          <w:sz w:val="22"/>
          <w:szCs w:val="22"/>
        </w:rPr>
      </w:pPr>
      <w:r w:rsidRPr="00B00FCB">
        <w:rPr>
          <w:rFonts w:ascii="Verdana" w:hAnsi="Verdana" w:cs="Arial"/>
          <w:sz w:val="22"/>
          <w:szCs w:val="22"/>
        </w:rPr>
        <w:t>Para los procesos registrados en el SECOP II, el valor más alto no tuvo un registro válido para el análisis, toda vez que “No Definido” tuvo un valor de $15 billones de pesos, representativo del 56% de los valores para este sector, a través de 2.571 contratos. Esta información pudo no ser requerida por la plataforma al momento del registro del contrato o no diligenciada por los usuarios de la plataforma.</w:t>
      </w:r>
    </w:p>
    <w:p w14:paraId="1CC1ACCE" w14:textId="77777777" w:rsidR="449377F1" w:rsidRPr="00B00FCB" w:rsidRDefault="449377F1" w:rsidP="449377F1">
      <w:pPr>
        <w:jc w:val="both"/>
        <w:rPr>
          <w:rFonts w:ascii="Verdana" w:hAnsi="Verdana" w:cs="Arial"/>
          <w:sz w:val="22"/>
          <w:szCs w:val="22"/>
        </w:rPr>
      </w:pPr>
    </w:p>
    <w:p w14:paraId="60BC28CF" w14:textId="69EB8452" w:rsidR="590B497B" w:rsidRDefault="590B497B" w:rsidP="449377F1">
      <w:pPr>
        <w:jc w:val="both"/>
        <w:rPr>
          <w:rFonts w:ascii="Verdana" w:hAnsi="Verdana" w:cs="Arial"/>
          <w:sz w:val="22"/>
          <w:szCs w:val="22"/>
        </w:rPr>
      </w:pPr>
      <w:r w:rsidRPr="00B00FCB">
        <w:rPr>
          <w:rFonts w:ascii="Verdana" w:hAnsi="Verdana" w:cs="Arial"/>
          <w:sz w:val="22"/>
          <w:szCs w:val="22"/>
        </w:rPr>
        <w:t>Los registros del género de los representantes legales “Femenino” y “Masculino”, agrupan el 44% de los valores en el SECOP II y son significativamente menores en comparación con la categoría “No Definido”. A partir de esto, la representación legal marcada como “Femenino” concentró $2,4 billones de pesos equivalentes al 9% del total del sector, siendo la prevalente, frente al registro “Masculino” con valores por $490 mil millones de pesos que concentraron el 1,9% del gasto del sector.</w:t>
      </w:r>
    </w:p>
    <w:p w14:paraId="1BA9A91A" w14:textId="75722401" w:rsidR="449377F1" w:rsidRDefault="449377F1" w:rsidP="449377F1">
      <w:pPr>
        <w:rPr>
          <w:rFonts w:ascii="Verdana Pro" w:eastAsia="Verdana Pro" w:hAnsi="Verdana Pro" w:cs="Verdana Pro"/>
          <w:sz w:val="22"/>
          <w:szCs w:val="22"/>
        </w:rPr>
      </w:pPr>
    </w:p>
    <w:p w14:paraId="48F07248" w14:textId="585B3E06" w:rsidR="449377F1" w:rsidRDefault="449377F1" w:rsidP="449377F1">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233"/>
        <w:gridCol w:w="2076"/>
        <w:gridCol w:w="1821"/>
      </w:tblGrid>
      <w:tr w:rsidR="3BC43353" w14:paraId="33CEFE29" w14:textId="77777777" w:rsidTr="3BCD5C0E">
        <w:trPr>
          <w:trHeight w:val="330"/>
          <w:jc w:val="center"/>
        </w:trPr>
        <w:tc>
          <w:tcPr>
            <w:tcW w:w="4309" w:type="dxa"/>
            <w:gridSpan w:val="2"/>
            <w:tcBorders>
              <w:top w:val="nil"/>
              <w:left w:val="nil"/>
              <w:bottom w:val="nil"/>
              <w:right w:val="nil"/>
            </w:tcBorders>
            <w:shd w:val="clear" w:color="auto" w:fill="C0E6F5"/>
            <w:tcMar>
              <w:top w:w="15" w:type="dxa"/>
              <w:left w:w="15" w:type="dxa"/>
              <w:right w:w="15" w:type="dxa"/>
            </w:tcMar>
            <w:vAlign w:val="center"/>
          </w:tcPr>
          <w:p w14:paraId="57E79D35" w14:textId="0ACBF09F"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Género Representante Legal</w:t>
            </w:r>
          </w:p>
        </w:tc>
        <w:tc>
          <w:tcPr>
            <w:tcW w:w="1821" w:type="dxa"/>
            <w:tcBorders>
              <w:top w:val="nil"/>
              <w:left w:val="nil"/>
              <w:bottom w:val="single" w:sz="4" w:space="0" w:color="44B3E1"/>
              <w:right w:val="nil"/>
            </w:tcBorders>
            <w:shd w:val="clear" w:color="auto" w:fill="C0E6F5"/>
            <w:tcMar>
              <w:top w:w="15" w:type="dxa"/>
              <w:left w:w="15" w:type="dxa"/>
              <w:right w:w="15" w:type="dxa"/>
            </w:tcMar>
            <w:vAlign w:val="center"/>
          </w:tcPr>
          <w:p w14:paraId="41625BFE" w14:textId="052B41F9"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w:t>
            </w:r>
          </w:p>
        </w:tc>
      </w:tr>
      <w:tr w:rsidR="3BC43353" w14:paraId="26654553" w14:textId="77777777" w:rsidTr="3BCD5C0E">
        <w:trPr>
          <w:trHeight w:val="330"/>
          <w:jc w:val="center"/>
        </w:trPr>
        <w:tc>
          <w:tcPr>
            <w:tcW w:w="2233" w:type="dxa"/>
            <w:tcBorders>
              <w:top w:val="nil"/>
              <w:left w:val="nil"/>
              <w:bottom w:val="nil"/>
              <w:right w:val="nil"/>
            </w:tcBorders>
            <w:tcMar>
              <w:top w:w="15" w:type="dxa"/>
              <w:left w:w="15" w:type="dxa"/>
              <w:right w:w="15" w:type="dxa"/>
            </w:tcMar>
            <w:vAlign w:val="bottom"/>
          </w:tcPr>
          <w:p w14:paraId="162CF5FE" w14:textId="72A8D7ED"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Hombre</w:t>
            </w:r>
          </w:p>
        </w:tc>
        <w:tc>
          <w:tcPr>
            <w:tcW w:w="2076" w:type="dxa"/>
            <w:tcBorders>
              <w:top w:val="nil"/>
              <w:left w:val="nil"/>
              <w:bottom w:val="nil"/>
              <w:right w:val="nil"/>
            </w:tcBorders>
            <w:tcMar>
              <w:top w:w="15" w:type="dxa"/>
              <w:left w:w="15" w:type="dxa"/>
              <w:right w:w="15" w:type="dxa"/>
            </w:tcMar>
            <w:vAlign w:val="center"/>
          </w:tcPr>
          <w:p w14:paraId="509B4719" w14:textId="7AF77FCF"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226</w:t>
            </w:r>
          </w:p>
        </w:tc>
        <w:tc>
          <w:tcPr>
            <w:tcW w:w="1821" w:type="dxa"/>
            <w:tcBorders>
              <w:top w:val="single" w:sz="4" w:space="0" w:color="44B3E1"/>
              <w:left w:val="nil"/>
              <w:bottom w:val="nil"/>
              <w:right w:val="nil"/>
            </w:tcBorders>
            <w:tcMar>
              <w:top w:w="15" w:type="dxa"/>
              <w:left w:w="15" w:type="dxa"/>
              <w:right w:w="15" w:type="dxa"/>
            </w:tcMar>
            <w:vAlign w:val="center"/>
          </w:tcPr>
          <w:p w14:paraId="6A64B858" w14:textId="01A21E3A"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26%</w:t>
            </w:r>
          </w:p>
        </w:tc>
      </w:tr>
      <w:tr w:rsidR="3BC43353" w14:paraId="5CC4BA93" w14:textId="77777777" w:rsidTr="3BCD5C0E">
        <w:trPr>
          <w:trHeight w:val="330"/>
          <w:jc w:val="center"/>
        </w:trPr>
        <w:tc>
          <w:tcPr>
            <w:tcW w:w="2233" w:type="dxa"/>
            <w:tcBorders>
              <w:top w:val="nil"/>
              <w:left w:val="nil"/>
              <w:bottom w:val="nil"/>
              <w:right w:val="nil"/>
            </w:tcBorders>
            <w:tcMar>
              <w:top w:w="15" w:type="dxa"/>
              <w:left w:w="15" w:type="dxa"/>
              <w:right w:w="15" w:type="dxa"/>
            </w:tcMar>
            <w:vAlign w:val="bottom"/>
          </w:tcPr>
          <w:p w14:paraId="665B40C3" w14:textId="45098F51"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Mujer</w:t>
            </w:r>
          </w:p>
        </w:tc>
        <w:tc>
          <w:tcPr>
            <w:tcW w:w="2076" w:type="dxa"/>
            <w:tcBorders>
              <w:top w:val="nil"/>
              <w:left w:val="nil"/>
              <w:bottom w:val="nil"/>
              <w:right w:val="nil"/>
            </w:tcBorders>
            <w:tcMar>
              <w:top w:w="15" w:type="dxa"/>
              <w:left w:w="15" w:type="dxa"/>
              <w:right w:w="15" w:type="dxa"/>
            </w:tcMar>
            <w:vAlign w:val="center"/>
          </w:tcPr>
          <w:p w14:paraId="1532F4D3" w14:textId="730B2DB3"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101</w:t>
            </w:r>
          </w:p>
        </w:tc>
        <w:tc>
          <w:tcPr>
            <w:tcW w:w="1821" w:type="dxa"/>
            <w:tcBorders>
              <w:top w:val="nil"/>
              <w:left w:val="nil"/>
              <w:bottom w:val="nil"/>
              <w:right w:val="nil"/>
            </w:tcBorders>
            <w:tcMar>
              <w:top w:w="15" w:type="dxa"/>
              <w:left w:w="15" w:type="dxa"/>
              <w:right w:w="15" w:type="dxa"/>
            </w:tcMar>
            <w:vAlign w:val="center"/>
          </w:tcPr>
          <w:p w14:paraId="4056411D" w14:textId="479C45CD"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12%</w:t>
            </w:r>
          </w:p>
        </w:tc>
      </w:tr>
      <w:tr w:rsidR="3BC43353" w14:paraId="5491F95C" w14:textId="77777777" w:rsidTr="3BCD5C0E">
        <w:trPr>
          <w:trHeight w:val="330"/>
          <w:jc w:val="center"/>
        </w:trPr>
        <w:tc>
          <w:tcPr>
            <w:tcW w:w="2233" w:type="dxa"/>
            <w:tcBorders>
              <w:top w:val="nil"/>
              <w:left w:val="nil"/>
              <w:bottom w:val="nil"/>
              <w:right w:val="nil"/>
            </w:tcBorders>
            <w:tcMar>
              <w:top w:w="15" w:type="dxa"/>
              <w:left w:w="15" w:type="dxa"/>
              <w:right w:w="15" w:type="dxa"/>
            </w:tcMar>
            <w:vAlign w:val="bottom"/>
          </w:tcPr>
          <w:p w14:paraId="118B713F" w14:textId="21D98F98"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No Definido</w:t>
            </w:r>
          </w:p>
        </w:tc>
        <w:tc>
          <w:tcPr>
            <w:tcW w:w="2076" w:type="dxa"/>
            <w:tcBorders>
              <w:top w:val="nil"/>
              <w:left w:val="nil"/>
              <w:bottom w:val="nil"/>
              <w:right w:val="nil"/>
            </w:tcBorders>
            <w:tcMar>
              <w:top w:w="15" w:type="dxa"/>
              <w:left w:w="15" w:type="dxa"/>
              <w:right w:w="15" w:type="dxa"/>
            </w:tcMar>
            <w:vAlign w:val="center"/>
          </w:tcPr>
          <w:p w14:paraId="6101DB5A" w14:textId="20AB7EFF"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543</w:t>
            </w:r>
          </w:p>
        </w:tc>
        <w:tc>
          <w:tcPr>
            <w:tcW w:w="1821" w:type="dxa"/>
            <w:tcBorders>
              <w:top w:val="nil"/>
              <w:left w:val="nil"/>
              <w:bottom w:val="nil"/>
              <w:right w:val="nil"/>
            </w:tcBorders>
            <w:tcMar>
              <w:top w:w="15" w:type="dxa"/>
              <w:left w:w="15" w:type="dxa"/>
              <w:right w:w="15" w:type="dxa"/>
            </w:tcMar>
            <w:vAlign w:val="center"/>
          </w:tcPr>
          <w:p w14:paraId="32F0AA54" w14:textId="40FC6032"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62%</w:t>
            </w:r>
          </w:p>
        </w:tc>
      </w:tr>
      <w:tr w:rsidR="3BC43353" w14:paraId="354AB47A" w14:textId="77777777" w:rsidTr="3BCD5C0E">
        <w:trPr>
          <w:trHeight w:val="330"/>
          <w:jc w:val="center"/>
        </w:trPr>
        <w:tc>
          <w:tcPr>
            <w:tcW w:w="2233" w:type="dxa"/>
            <w:tcBorders>
              <w:top w:val="single" w:sz="4" w:space="0" w:color="44B3E1"/>
              <w:left w:val="nil"/>
              <w:bottom w:val="nil"/>
              <w:right w:val="nil"/>
            </w:tcBorders>
            <w:shd w:val="clear" w:color="auto" w:fill="C0E6F5"/>
            <w:tcMar>
              <w:top w:w="15" w:type="dxa"/>
              <w:left w:w="15" w:type="dxa"/>
              <w:right w:w="15" w:type="dxa"/>
            </w:tcMar>
            <w:vAlign w:val="bottom"/>
          </w:tcPr>
          <w:p w14:paraId="2B1FC1E0" w14:textId="4DD7EEA2"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076" w:type="dxa"/>
            <w:tcBorders>
              <w:top w:val="single" w:sz="4" w:space="0" w:color="44B3E1"/>
              <w:left w:val="nil"/>
              <w:bottom w:val="nil"/>
              <w:right w:val="nil"/>
            </w:tcBorders>
            <w:shd w:val="clear" w:color="auto" w:fill="C0E6F5"/>
            <w:tcMar>
              <w:top w:w="15" w:type="dxa"/>
              <w:left w:w="15" w:type="dxa"/>
              <w:right w:w="15" w:type="dxa"/>
            </w:tcMar>
            <w:vAlign w:val="center"/>
          </w:tcPr>
          <w:p w14:paraId="17EE4B72" w14:textId="0D3F4255"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c>
          <w:tcPr>
            <w:tcW w:w="1821" w:type="dxa"/>
            <w:tcBorders>
              <w:top w:val="single" w:sz="4" w:space="0" w:color="44B3E1"/>
              <w:left w:val="nil"/>
              <w:bottom w:val="nil"/>
              <w:right w:val="nil"/>
            </w:tcBorders>
            <w:shd w:val="clear" w:color="auto" w:fill="C0E6F5"/>
            <w:tcMar>
              <w:top w:w="15" w:type="dxa"/>
              <w:left w:w="15" w:type="dxa"/>
              <w:right w:w="15" w:type="dxa"/>
            </w:tcMar>
            <w:vAlign w:val="center"/>
          </w:tcPr>
          <w:p w14:paraId="3C60C7F9" w14:textId="001B0B0F"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r>
    </w:tbl>
    <w:p w14:paraId="236FB291" w14:textId="7AFF5FF0"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3832"/>
        <w:gridCol w:w="2288"/>
      </w:tblGrid>
      <w:tr w:rsidR="3BC43353" w14:paraId="35477892" w14:textId="77777777" w:rsidTr="3BCD5C0E">
        <w:trPr>
          <w:trHeight w:val="330"/>
          <w:jc w:val="center"/>
        </w:trPr>
        <w:tc>
          <w:tcPr>
            <w:tcW w:w="6120" w:type="dxa"/>
            <w:gridSpan w:val="2"/>
            <w:tcBorders>
              <w:top w:val="nil"/>
              <w:left w:val="nil"/>
              <w:bottom w:val="single" w:sz="4" w:space="0" w:color="44B3E1"/>
              <w:right w:val="nil"/>
            </w:tcBorders>
            <w:shd w:val="clear" w:color="auto" w:fill="C0E6F5"/>
            <w:tcMar>
              <w:top w:w="15" w:type="dxa"/>
              <w:left w:w="15" w:type="dxa"/>
              <w:right w:w="15" w:type="dxa"/>
            </w:tcMar>
            <w:vAlign w:val="bottom"/>
          </w:tcPr>
          <w:p w14:paraId="241F3D25" w14:textId="20587A98"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Implementan D.T.</w:t>
            </w:r>
          </w:p>
        </w:tc>
      </w:tr>
      <w:tr w:rsidR="3BC43353" w14:paraId="21782541" w14:textId="77777777" w:rsidTr="3BCD5C0E">
        <w:trPr>
          <w:trHeight w:val="330"/>
          <w:jc w:val="center"/>
        </w:trPr>
        <w:tc>
          <w:tcPr>
            <w:tcW w:w="3832" w:type="dxa"/>
            <w:tcBorders>
              <w:top w:val="single" w:sz="4" w:space="0" w:color="44B3E1"/>
              <w:left w:val="nil"/>
              <w:bottom w:val="nil"/>
              <w:right w:val="nil"/>
            </w:tcBorders>
            <w:tcMar>
              <w:top w:w="15" w:type="dxa"/>
              <w:left w:w="15" w:type="dxa"/>
              <w:right w:w="15" w:type="dxa"/>
            </w:tcMar>
            <w:vAlign w:val="bottom"/>
          </w:tcPr>
          <w:p w14:paraId="3061D722" w14:textId="39088B16"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No</w:t>
            </w:r>
          </w:p>
        </w:tc>
        <w:tc>
          <w:tcPr>
            <w:tcW w:w="2288" w:type="dxa"/>
            <w:tcBorders>
              <w:top w:val="nil"/>
              <w:left w:val="nil"/>
              <w:bottom w:val="nil"/>
              <w:right w:val="nil"/>
            </w:tcBorders>
            <w:tcMar>
              <w:top w:w="15" w:type="dxa"/>
              <w:left w:w="15" w:type="dxa"/>
              <w:right w:w="15" w:type="dxa"/>
            </w:tcMar>
            <w:vAlign w:val="bottom"/>
          </w:tcPr>
          <w:p w14:paraId="3D92B45A" w14:textId="753C81B8"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795</w:t>
            </w:r>
          </w:p>
        </w:tc>
      </w:tr>
      <w:tr w:rsidR="3BC43353" w14:paraId="3F30CC56" w14:textId="77777777" w:rsidTr="3BCD5C0E">
        <w:trPr>
          <w:trHeight w:val="330"/>
          <w:jc w:val="center"/>
        </w:trPr>
        <w:tc>
          <w:tcPr>
            <w:tcW w:w="3832" w:type="dxa"/>
            <w:tcBorders>
              <w:top w:val="nil"/>
              <w:left w:val="nil"/>
              <w:bottom w:val="nil"/>
              <w:right w:val="nil"/>
            </w:tcBorders>
            <w:tcMar>
              <w:top w:w="15" w:type="dxa"/>
              <w:left w:w="15" w:type="dxa"/>
              <w:right w:w="15" w:type="dxa"/>
            </w:tcMar>
            <w:vAlign w:val="bottom"/>
          </w:tcPr>
          <w:p w14:paraId="74E5E36C" w14:textId="4FE00DE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w:t>
            </w:r>
          </w:p>
        </w:tc>
        <w:tc>
          <w:tcPr>
            <w:tcW w:w="2288" w:type="dxa"/>
            <w:tcBorders>
              <w:top w:val="nil"/>
              <w:left w:val="nil"/>
              <w:bottom w:val="nil"/>
              <w:right w:val="nil"/>
            </w:tcBorders>
            <w:tcMar>
              <w:top w:w="15" w:type="dxa"/>
              <w:left w:w="15" w:type="dxa"/>
              <w:right w:w="15" w:type="dxa"/>
            </w:tcMar>
            <w:vAlign w:val="bottom"/>
          </w:tcPr>
          <w:p w14:paraId="78249197" w14:textId="6CA5F31D" w:rsidR="3BC43353" w:rsidRDefault="7B4445E4"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75</w:t>
            </w:r>
          </w:p>
        </w:tc>
      </w:tr>
      <w:tr w:rsidR="3BC43353" w14:paraId="6ACD5AE9" w14:textId="77777777" w:rsidTr="3BCD5C0E">
        <w:trPr>
          <w:trHeight w:val="330"/>
          <w:jc w:val="center"/>
        </w:trPr>
        <w:tc>
          <w:tcPr>
            <w:tcW w:w="3832" w:type="dxa"/>
            <w:tcBorders>
              <w:top w:val="single" w:sz="4" w:space="0" w:color="44B3E1"/>
              <w:left w:val="nil"/>
              <w:bottom w:val="nil"/>
              <w:right w:val="nil"/>
            </w:tcBorders>
            <w:shd w:val="clear" w:color="auto" w:fill="C0E6F5"/>
            <w:tcMar>
              <w:top w:w="15" w:type="dxa"/>
              <w:left w:w="15" w:type="dxa"/>
              <w:right w:w="15" w:type="dxa"/>
            </w:tcMar>
            <w:vAlign w:val="bottom"/>
          </w:tcPr>
          <w:p w14:paraId="1F797F1C" w14:textId="0BCEBA54"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288" w:type="dxa"/>
            <w:tcBorders>
              <w:top w:val="single" w:sz="4" w:space="0" w:color="44B3E1"/>
              <w:left w:val="nil"/>
              <w:bottom w:val="nil"/>
              <w:right w:val="nil"/>
            </w:tcBorders>
            <w:shd w:val="clear" w:color="auto" w:fill="C0E6F5"/>
            <w:tcMar>
              <w:top w:w="15" w:type="dxa"/>
              <w:left w:w="15" w:type="dxa"/>
              <w:right w:w="15" w:type="dxa"/>
            </w:tcMar>
            <w:vAlign w:val="bottom"/>
          </w:tcPr>
          <w:p w14:paraId="4BECA7F0" w14:textId="430C7AF7" w:rsidR="3BC43353" w:rsidRDefault="7B4445E4"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r>
    </w:tbl>
    <w:p w14:paraId="6B82B53F" w14:textId="1E936348" w:rsidR="3BC43353" w:rsidRDefault="3BC43353" w:rsidP="3BCD5C0E">
      <w:pPr>
        <w:rPr>
          <w:rFonts w:ascii="Verdana Pro" w:eastAsia="Verdana Pro" w:hAnsi="Verdana Pro" w:cs="Verdana Pro"/>
        </w:rPr>
      </w:pPr>
    </w:p>
    <w:p w14:paraId="05CE72D0" w14:textId="03FA1C12" w:rsidR="3BC43353" w:rsidRDefault="3BC43353" w:rsidP="3BCD5C0E">
      <w:pPr>
        <w:rPr>
          <w:rFonts w:ascii="Verdana Pro" w:eastAsia="Verdana Pro" w:hAnsi="Verdana Pro" w:cs="Verdana Pro"/>
        </w:rPr>
      </w:pPr>
    </w:p>
    <w:p w14:paraId="70249443" w14:textId="5F929E47" w:rsidR="37360938" w:rsidRDefault="37360938" w:rsidP="3BCD5C0E">
      <w:pPr>
        <w:jc w:val="center"/>
        <w:rPr>
          <w:rFonts w:ascii="Verdana Pro" w:eastAsia="Verdana Pro" w:hAnsi="Verdana Pro" w:cs="Verdana Pro"/>
        </w:rPr>
      </w:pPr>
      <w:r>
        <w:rPr>
          <w:noProof/>
        </w:rPr>
        <w:lastRenderedPageBreak/>
        <w:drawing>
          <wp:inline distT="0" distB="0" distL="0" distR="0" wp14:anchorId="5B65EEF2" wp14:editId="5BA1FF7D">
            <wp:extent cx="4584592" cy="2755631"/>
            <wp:effectExtent l="0" t="0" r="0" b="0"/>
            <wp:docPr id="942622774" name="Picture 94262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4584592" cy="2755631"/>
                    </a:xfrm>
                    <a:prstGeom prst="rect">
                      <a:avLst/>
                    </a:prstGeom>
                  </pic:spPr>
                </pic:pic>
              </a:graphicData>
            </a:graphic>
          </wp:inline>
        </w:drawing>
      </w:r>
    </w:p>
    <w:p w14:paraId="6A0504A1" w14:textId="25EC8B3E"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3527"/>
        <w:gridCol w:w="1124"/>
        <w:gridCol w:w="1119"/>
      </w:tblGrid>
      <w:tr w:rsidR="3BC43353" w14:paraId="2298B988" w14:textId="77777777" w:rsidTr="3BCD5C0E">
        <w:trPr>
          <w:trHeight w:val="330"/>
          <w:jc w:val="center"/>
        </w:trPr>
        <w:tc>
          <w:tcPr>
            <w:tcW w:w="3527" w:type="dxa"/>
            <w:tcBorders>
              <w:top w:val="nil"/>
              <w:left w:val="nil"/>
              <w:bottom w:val="single" w:sz="4" w:space="0" w:color="44B3E1"/>
              <w:right w:val="nil"/>
            </w:tcBorders>
            <w:shd w:val="clear" w:color="auto" w:fill="C0E6F5"/>
            <w:tcMar>
              <w:top w:w="15" w:type="dxa"/>
              <w:left w:w="15" w:type="dxa"/>
              <w:right w:w="15" w:type="dxa"/>
            </w:tcMar>
            <w:vAlign w:val="bottom"/>
          </w:tcPr>
          <w:p w14:paraId="4DFC9795" w14:textId="1A285538"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Estado procesos </w:t>
            </w:r>
            <w:proofErr w:type="gramStart"/>
            <w:r w:rsidRPr="3BCD5C0E">
              <w:rPr>
                <w:rFonts w:ascii="Verdana Pro" w:eastAsia="Verdana Pro" w:hAnsi="Verdana Pro" w:cs="Verdana Pro"/>
                <w:b/>
                <w:bCs/>
                <w:color w:val="000000" w:themeColor="text1"/>
                <w:sz w:val="22"/>
                <w:szCs w:val="22"/>
              </w:rPr>
              <w:t>Octubre</w:t>
            </w:r>
            <w:proofErr w:type="gramEnd"/>
            <w:r w:rsidRPr="3BCD5C0E">
              <w:rPr>
                <w:rFonts w:ascii="Verdana Pro" w:eastAsia="Verdana Pro" w:hAnsi="Verdana Pro" w:cs="Verdana Pro"/>
                <w:b/>
                <w:bCs/>
                <w:color w:val="000000" w:themeColor="text1"/>
                <w:sz w:val="22"/>
                <w:szCs w:val="22"/>
              </w:rPr>
              <w:t xml:space="preserve"> 2024</w:t>
            </w:r>
          </w:p>
        </w:tc>
        <w:tc>
          <w:tcPr>
            <w:tcW w:w="1124" w:type="dxa"/>
            <w:tcBorders>
              <w:top w:val="nil"/>
              <w:left w:val="nil"/>
              <w:bottom w:val="single" w:sz="4" w:space="0" w:color="44B3E1"/>
              <w:right w:val="nil"/>
            </w:tcBorders>
            <w:shd w:val="clear" w:color="auto" w:fill="C0E6F5"/>
            <w:tcMar>
              <w:top w:w="15" w:type="dxa"/>
              <w:left w:w="15" w:type="dxa"/>
              <w:right w:w="15" w:type="dxa"/>
            </w:tcMar>
            <w:vAlign w:val="center"/>
          </w:tcPr>
          <w:p w14:paraId="4F061EA8" w14:textId="3F6C16D2"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No.</w:t>
            </w:r>
          </w:p>
        </w:tc>
        <w:tc>
          <w:tcPr>
            <w:tcW w:w="1119" w:type="dxa"/>
            <w:tcBorders>
              <w:top w:val="nil"/>
              <w:left w:val="nil"/>
              <w:bottom w:val="single" w:sz="4" w:space="0" w:color="44B3E1"/>
              <w:right w:val="nil"/>
            </w:tcBorders>
            <w:shd w:val="clear" w:color="auto" w:fill="C0E6F5"/>
            <w:tcMar>
              <w:top w:w="15" w:type="dxa"/>
              <w:left w:w="15" w:type="dxa"/>
              <w:right w:w="15" w:type="dxa"/>
            </w:tcMar>
            <w:vAlign w:val="center"/>
          </w:tcPr>
          <w:p w14:paraId="7683E0CE" w14:textId="017F50A2"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w:t>
            </w:r>
          </w:p>
        </w:tc>
      </w:tr>
      <w:tr w:rsidR="3BC43353" w14:paraId="3FCE4ED5" w14:textId="77777777" w:rsidTr="3BCD5C0E">
        <w:trPr>
          <w:trHeight w:val="330"/>
          <w:jc w:val="center"/>
        </w:trPr>
        <w:tc>
          <w:tcPr>
            <w:tcW w:w="3527" w:type="dxa"/>
            <w:tcBorders>
              <w:top w:val="single" w:sz="4" w:space="0" w:color="44B3E1"/>
              <w:left w:val="nil"/>
              <w:bottom w:val="nil"/>
              <w:right w:val="nil"/>
            </w:tcBorders>
            <w:tcMar>
              <w:top w:w="15" w:type="dxa"/>
              <w:left w:w="15" w:type="dxa"/>
              <w:right w:w="15" w:type="dxa"/>
            </w:tcMar>
            <w:vAlign w:val="bottom"/>
          </w:tcPr>
          <w:p w14:paraId="16CAA408" w14:textId="370DF32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Modificado</w:t>
            </w:r>
          </w:p>
        </w:tc>
        <w:tc>
          <w:tcPr>
            <w:tcW w:w="1124" w:type="dxa"/>
            <w:tcBorders>
              <w:top w:val="single" w:sz="4" w:space="0" w:color="44B3E1"/>
              <w:left w:val="nil"/>
              <w:bottom w:val="nil"/>
              <w:right w:val="nil"/>
            </w:tcBorders>
            <w:tcMar>
              <w:top w:w="15" w:type="dxa"/>
              <w:left w:w="15" w:type="dxa"/>
              <w:right w:w="15" w:type="dxa"/>
            </w:tcMar>
            <w:vAlign w:val="center"/>
          </w:tcPr>
          <w:p w14:paraId="5F0D3452" w14:textId="2690B2DF"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453</w:t>
            </w:r>
          </w:p>
        </w:tc>
        <w:tc>
          <w:tcPr>
            <w:tcW w:w="1119" w:type="dxa"/>
            <w:tcBorders>
              <w:top w:val="single" w:sz="4" w:space="0" w:color="44B3E1"/>
              <w:left w:val="nil"/>
              <w:bottom w:val="nil"/>
              <w:right w:val="nil"/>
            </w:tcBorders>
            <w:tcMar>
              <w:top w:w="15" w:type="dxa"/>
              <w:left w:w="15" w:type="dxa"/>
              <w:right w:w="15" w:type="dxa"/>
            </w:tcMar>
            <w:vAlign w:val="center"/>
          </w:tcPr>
          <w:p w14:paraId="2974EEF2" w14:textId="69268CB7"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52%</w:t>
            </w:r>
          </w:p>
        </w:tc>
      </w:tr>
      <w:tr w:rsidR="3BC43353" w14:paraId="0FA75B26"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6CC60FDD" w14:textId="0061195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Terminado</w:t>
            </w:r>
          </w:p>
        </w:tc>
        <w:tc>
          <w:tcPr>
            <w:tcW w:w="1124" w:type="dxa"/>
            <w:tcBorders>
              <w:top w:val="nil"/>
              <w:left w:val="nil"/>
              <w:bottom w:val="nil"/>
              <w:right w:val="nil"/>
            </w:tcBorders>
            <w:tcMar>
              <w:top w:w="15" w:type="dxa"/>
              <w:left w:w="15" w:type="dxa"/>
              <w:right w:w="15" w:type="dxa"/>
            </w:tcMar>
            <w:vAlign w:val="center"/>
          </w:tcPr>
          <w:p w14:paraId="2FC44D29" w14:textId="23DC0542"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191</w:t>
            </w:r>
          </w:p>
        </w:tc>
        <w:tc>
          <w:tcPr>
            <w:tcW w:w="1119" w:type="dxa"/>
            <w:tcBorders>
              <w:top w:val="nil"/>
              <w:left w:val="nil"/>
              <w:bottom w:val="nil"/>
              <w:right w:val="nil"/>
            </w:tcBorders>
            <w:tcMar>
              <w:top w:w="15" w:type="dxa"/>
              <w:left w:w="15" w:type="dxa"/>
              <w:right w:w="15" w:type="dxa"/>
            </w:tcMar>
            <w:vAlign w:val="center"/>
          </w:tcPr>
          <w:p w14:paraId="1220EAB4" w14:textId="3D7D1201"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w:t>
            </w:r>
          </w:p>
        </w:tc>
      </w:tr>
      <w:tr w:rsidR="3BC43353" w14:paraId="2001A821"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37149238" w14:textId="51CE65E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En ejecución</w:t>
            </w:r>
          </w:p>
        </w:tc>
        <w:tc>
          <w:tcPr>
            <w:tcW w:w="1124" w:type="dxa"/>
            <w:tcBorders>
              <w:top w:val="nil"/>
              <w:left w:val="nil"/>
              <w:bottom w:val="nil"/>
              <w:right w:val="nil"/>
            </w:tcBorders>
            <w:tcMar>
              <w:top w:w="15" w:type="dxa"/>
              <w:left w:w="15" w:type="dxa"/>
              <w:right w:w="15" w:type="dxa"/>
            </w:tcMar>
            <w:vAlign w:val="center"/>
          </w:tcPr>
          <w:p w14:paraId="32A52CAF" w14:textId="7254CB0D"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174</w:t>
            </w:r>
          </w:p>
        </w:tc>
        <w:tc>
          <w:tcPr>
            <w:tcW w:w="1119" w:type="dxa"/>
            <w:tcBorders>
              <w:top w:val="nil"/>
              <w:left w:val="nil"/>
              <w:bottom w:val="nil"/>
              <w:right w:val="nil"/>
            </w:tcBorders>
            <w:tcMar>
              <w:top w:w="15" w:type="dxa"/>
              <w:left w:w="15" w:type="dxa"/>
              <w:right w:w="15" w:type="dxa"/>
            </w:tcMar>
            <w:vAlign w:val="center"/>
          </w:tcPr>
          <w:p w14:paraId="2FBCA890" w14:textId="6DBEC125"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w:t>
            </w:r>
          </w:p>
        </w:tc>
      </w:tr>
      <w:tr w:rsidR="3BC43353" w14:paraId="17116172"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1F95AB46" w14:textId="7942273F"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Activo</w:t>
            </w:r>
          </w:p>
        </w:tc>
        <w:tc>
          <w:tcPr>
            <w:tcW w:w="1124" w:type="dxa"/>
            <w:tcBorders>
              <w:top w:val="nil"/>
              <w:left w:val="nil"/>
              <w:bottom w:val="nil"/>
              <w:right w:val="nil"/>
            </w:tcBorders>
            <w:tcMar>
              <w:top w:w="15" w:type="dxa"/>
              <w:left w:w="15" w:type="dxa"/>
              <w:right w:w="15" w:type="dxa"/>
            </w:tcMar>
            <w:vAlign w:val="center"/>
          </w:tcPr>
          <w:p w14:paraId="1EDB6A83" w14:textId="1058B89C"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24</w:t>
            </w:r>
          </w:p>
        </w:tc>
        <w:tc>
          <w:tcPr>
            <w:tcW w:w="1119" w:type="dxa"/>
            <w:tcBorders>
              <w:top w:val="nil"/>
              <w:left w:val="nil"/>
              <w:bottom w:val="nil"/>
              <w:right w:val="nil"/>
            </w:tcBorders>
            <w:tcMar>
              <w:top w:w="15" w:type="dxa"/>
              <w:left w:w="15" w:type="dxa"/>
              <w:right w:w="15" w:type="dxa"/>
            </w:tcMar>
            <w:vAlign w:val="center"/>
          </w:tcPr>
          <w:p w14:paraId="5687C71E" w14:textId="529E3BAD"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3%</w:t>
            </w:r>
          </w:p>
        </w:tc>
      </w:tr>
      <w:tr w:rsidR="3BC43353" w14:paraId="687F09BF"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735DD8CA" w14:textId="0F4C421C"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Suspendido</w:t>
            </w:r>
          </w:p>
        </w:tc>
        <w:tc>
          <w:tcPr>
            <w:tcW w:w="1124" w:type="dxa"/>
            <w:tcBorders>
              <w:top w:val="nil"/>
              <w:left w:val="nil"/>
              <w:bottom w:val="nil"/>
              <w:right w:val="nil"/>
            </w:tcBorders>
            <w:tcMar>
              <w:top w:w="15" w:type="dxa"/>
              <w:left w:w="15" w:type="dxa"/>
              <w:right w:w="15" w:type="dxa"/>
            </w:tcMar>
            <w:vAlign w:val="center"/>
          </w:tcPr>
          <w:p w14:paraId="022398B6" w14:textId="7FC3A842"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w:t>
            </w:r>
          </w:p>
        </w:tc>
        <w:tc>
          <w:tcPr>
            <w:tcW w:w="1119" w:type="dxa"/>
            <w:tcBorders>
              <w:top w:val="nil"/>
              <w:left w:val="nil"/>
              <w:bottom w:val="nil"/>
              <w:right w:val="nil"/>
            </w:tcBorders>
            <w:tcMar>
              <w:top w:w="15" w:type="dxa"/>
              <w:left w:w="15" w:type="dxa"/>
              <w:right w:w="15" w:type="dxa"/>
            </w:tcMar>
            <w:vAlign w:val="center"/>
          </w:tcPr>
          <w:p w14:paraId="2A29DC28" w14:textId="6EF8560A"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3%</w:t>
            </w:r>
          </w:p>
        </w:tc>
      </w:tr>
      <w:tr w:rsidR="3BC43353" w14:paraId="63A9F039"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3BE71BD6" w14:textId="32434339"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Cerrado</w:t>
            </w:r>
          </w:p>
        </w:tc>
        <w:tc>
          <w:tcPr>
            <w:tcW w:w="1124" w:type="dxa"/>
            <w:tcBorders>
              <w:top w:val="nil"/>
              <w:left w:val="nil"/>
              <w:bottom w:val="nil"/>
              <w:right w:val="nil"/>
            </w:tcBorders>
            <w:tcMar>
              <w:top w:w="15" w:type="dxa"/>
              <w:left w:w="15" w:type="dxa"/>
              <w:right w:w="15" w:type="dxa"/>
            </w:tcMar>
            <w:vAlign w:val="center"/>
          </w:tcPr>
          <w:p w14:paraId="2659C7E7" w14:textId="1FC0DEE5"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w:t>
            </w:r>
          </w:p>
        </w:tc>
        <w:tc>
          <w:tcPr>
            <w:tcW w:w="1119" w:type="dxa"/>
            <w:tcBorders>
              <w:top w:val="nil"/>
              <w:left w:val="nil"/>
              <w:bottom w:val="nil"/>
              <w:right w:val="nil"/>
            </w:tcBorders>
            <w:tcMar>
              <w:top w:w="15" w:type="dxa"/>
              <w:left w:w="15" w:type="dxa"/>
              <w:right w:w="15" w:type="dxa"/>
            </w:tcMar>
            <w:vAlign w:val="center"/>
          </w:tcPr>
          <w:p w14:paraId="2E970E46" w14:textId="6C48CF6C"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r>
      <w:tr w:rsidR="3BC43353" w14:paraId="3658237B" w14:textId="77777777" w:rsidTr="3BCD5C0E">
        <w:trPr>
          <w:trHeight w:val="330"/>
          <w:jc w:val="center"/>
        </w:trPr>
        <w:tc>
          <w:tcPr>
            <w:tcW w:w="3527" w:type="dxa"/>
            <w:tcBorders>
              <w:top w:val="nil"/>
              <w:left w:val="nil"/>
              <w:bottom w:val="nil"/>
              <w:right w:val="nil"/>
            </w:tcBorders>
            <w:tcMar>
              <w:top w:w="15" w:type="dxa"/>
              <w:left w:w="15" w:type="dxa"/>
              <w:right w:w="15" w:type="dxa"/>
            </w:tcMar>
            <w:vAlign w:val="bottom"/>
          </w:tcPr>
          <w:p w14:paraId="66B27A23" w14:textId="33D2978F"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Cedido</w:t>
            </w:r>
          </w:p>
        </w:tc>
        <w:tc>
          <w:tcPr>
            <w:tcW w:w="1124" w:type="dxa"/>
            <w:tcBorders>
              <w:top w:val="nil"/>
              <w:left w:val="nil"/>
              <w:bottom w:val="nil"/>
              <w:right w:val="nil"/>
            </w:tcBorders>
            <w:tcMar>
              <w:top w:w="15" w:type="dxa"/>
              <w:left w:w="15" w:type="dxa"/>
              <w:right w:w="15" w:type="dxa"/>
            </w:tcMar>
            <w:vAlign w:val="center"/>
          </w:tcPr>
          <w:p w14:paraId="1EFC0057" w14:textId="671E891C"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c>
          <w:tcPr>
            <w:tcW w:w="1119" w:type="dxa"/>
            <w:tcBorders>
              <w:top w:val="nil"/>
              <w:left w:val="nil"/>
              <w:bottom w:val="nil"/>
              <w:right w:val="nil"/>
            </w:tcBorders>
            <w:tcMar>
              <w:top w:w="15" w:type="dxa"/>
              <w:left w:w="15" w:type="dxa"/>
              <w:right w:w="15" w:type="dxa"/>
            </w:tcMar>
            <w:vAlign w:val="center"/>
          </w:tcPr>
          <w:p w14:paraId="42CA6283" w14:textId="7962BAEE"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0%</w:t>
            </w:r>
          </w:p>
        </w:tc>
      </w:tr>
      <w:tr w:rsidR="3BC43353" w14:paraId="6CD10872" w14:textId="77777777" w:rsidTr="3BCD5C0E">
        <w:trPr>
          <w:trHeight w:val="330"/>
          <w:jc w:val="center"/>
        </w:trPr>
        <w:tc>
          <w:tcPr>
            <w:tcW w:w="3527" w:type="dxa"/>
            <w:tcBorders>
              <w:top w:val="single" w:sz="4" w:space="0" w:color="44B3E1"/>
              <w:left w:val="nil"/>
              <w:bottom w:val="nil"/>
              <w:right w:val="nil"/>
            </w:tcBorders>
            <w:shd w:val="clear" w:color="auto" w:fill="C0E6F5"/>
            <w:tcMar>
              <w:top w:w="15" w:type="dxa"/>
              <w:left w:w="15" w:type="dxa"/>
              <w:right w:w="15" w:type="dxa"/>
            </w:tcMar>
            <w:vAlign w:val="bottom"/>
          </w:tcPr>
          <w:p w14:paraId="19D1CF3A" w14:textId="138EE179"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1124" w:type="dxa"/>
            <w:tcBorders>
              <w:top w:val="single" w:sz="4" w:space="0" w:color="44B3E1"/>
              <w:left w:val="nil"/>
              <w:bottom w:val="nil"/>
              <w:right w:val="nil"/>
            </w:tcBorders>
            <w:shd w:val="clear" w:color="auto" w:fill="C0E6F5"/>
            <w:tcMar>
              <w:top w:w="15" w:type="dxa"/>
              <w:left w:w="15" w:type="dxa"/>
              <w:right w:w="15" w:type="dxa"/>
            </w:tcMar>
            <w:vAlign w:val="center"/>
          </w:tcPr>
          <w:p w14:paraId="3B8F879A" w14:textId="70D5D3EF"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c>
          <w:tcPr>
            <w:tcW w:w="1119" w:type="dxa"/>
            <w:tcBorders>
              <w:top w:val="single" w:sz="4" w:space="0" w:color="44B3E1"/>
              <w:left w:val="nil"/>
              <w:bottom w:val="nil"/>
              <w:right w:val="nil"/>
            </w:tcBorders>
            <w:shd w:val="clear" w:color="auto" w:fill="C0E6F5"/>
            <w:tcMar>
              <w:top w:w="15" w:type="dxa"/>
              <w:left w:w="15" w:type="dxa"/>
              <w:right w:w="15" w:type="dxa"/>
            </w:tcMar>
            <w:vAlign w:val="center"/>
          </w:tcPr>
          <w:p w14:paraId="687E9535" w14:textId="39A6224B"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r>
    </w:tbl>
    <w:p w14:paraId="2E2B0EE7" w14:textId="41B496B1" w:rsidR="3BC43353" w:rsidRDefault="3BC43353" w:rsidP="3BCD5C0E">
      <w:pPr>
        <w:rPr>
          <w:rFonts w:ascii="Verdana Pro" w:eastAsia="Verdana Pro" w:hAnsi="Verdana Pro" w:cs="Verdana Pro"/>
        </w:rPr>
      </w:pPr>
    </w:p>
    <w:p w14:paraId="504A222D" w14:textId="5BDBAB03" w:rsidR="58E69060" w:rsidRDefault="58E69060" w:rsidP="3BCD5C0E">
      <w:pPr>
        <w:jc w:val="center"/>
        <w:rPr>
          <w:rFonts w:ascii="Verdana Pro" w:eastAsia="Verdana Pro" w:hAnsi="Verdana Pro" w:cs="Verdana Pro"/>
        </w:rPr>
      </w:pPr>
      <w:r>
        <w:rPr>
          <w:noProof/>
        </w:rPr>
        <w:lastRenderedPageBreak/>
        <w:drawing>
          <wp:inline distT="0" distB="0" distL="0" distR="0" wp14:anchorId="40D3A810" wp14:editId="506D5BE6">
            <wp:extent cx="4584592" cy="2755631"/>
            <wp:effectExtent l="0" t="0" r="0" b="0"/>
            <wp:docPr id="711540421" name="Picture 71154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584592" cy="2755631"/>
                    </a:xfrm>
                    <a:prstGeom prst="rect">
                      <a:avLst/>
                    </a:prstGeom>
                  </pic:spPr>
                </pic:pic>
              </a:graphicData>
            </a:graphic>
          </wp:inline>
        </w:drawing>
      </w:r>
    </w:p>
    <w:p w14:paraId="19926D0A" w14:textId="7A99A22B" w:rsidR="3BC43353" w:rsidRDefault="3BC43353" w:rsidP="3BCD5C0E">
      <w:pPr>
        <w:rPr>
          <w:rFonts w:ascii="Verdana Pro" w:eastAsia="Verdana Pro" w:hAnsi="Verdana Pro" w:cs="Verdana Pro"/>
        </w:rPr>
      </w:pPr>
    </w:p>
    <w:p w14:paraId="3A79C60C" w14:textId="352A8DD5" w:rsidR="3BC43353" w:rsidRDefault="3BC43353" w:rsidP="3BCD5C0E">
      <w:pPr>
        <w:rPr>
          <w:rFonts w:ascii="Verdana Pro" w:eastAsia="Verdana Pro" w:hAnsi="Verdana Pro" w:cs="Verdana Pro"/>
        </w:rPr>
      </w:pPr>
    </w:p>
    <w:tbl>
      <w:tblPr>
        <w:tblW w:w="8361" w:type="dxa"/>
        <w:jc w:val="center"/>
        <w:tblLayout w:type="fixed"/>
        <w:tblLook w:val="06A0" w:firstRow="1" w:lastRow="0" w:firstColumn="1" w:lastColumn="0" w:noHBand="1" w:noVBand="1"/>
      </w:tblPr>
      <w:tblGrid>
        <w:gridCol w:w="3396"/>
        <w:gridCol w:w="1770"/>
        <w:gridCol w:w="3195"/>
      </w:tblGrid>
      <w:tr w:rsidR="3BC43353" w14:paraId="532538C9" w14:textId="77777777" w:rsidTr="3BCD5C0E">
        <w:trPr>
          <w:trHeight w:val="330"/>
          <w:jc w:val="center"/>
        </w:trPr>
        <w:tc>
          <w:tcPr>
            <w:tcW w:w="3396" w:type="dxa"/>
            <w:tcBorders>
              <w:top w:val="nil"/>
              <w:left w:val="nil"/>
              <w:bottom w:val="single" w:sz="4" w:space="0" w:color="44B3E1"/>
              <w:right w:val="nil"/>
            </w:tcBorders>
            <w:shd w:val="clear" w:color="auto" w:fill="C0E6F5"/>
            <w:tcMar>
              <w:top w:w="15" w:type="dxa"/>
              <w:left w:w="15" w:type="dxa"/>
              <w:right w:w="15" w:type="dxa"/>
            </w:tcMar>
            <w:vAlign w:val="bottom"/>
          </w:tcPr>
          <w:p w14:paraId="10B4EDBA" w14:textId="47750F16"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Vigencia / Tipo de Edificación</w:t>
            </w:r>
          </w:p>
        </w:tc>
        <w:tc>
          <w:tcPr>
            <w:tcW w:w="1770" w:type="dxa"/>
            <w:tcBorders>
              <w:top w:val="nil"/>
              <w:left w:val="nil"/>
              <w:bottom w:val="single" w:sz="4" w:space="0" w:color="44B3E1"/>
              <w:right w:val="nil"/>
            </w:tcBorders>
            <w:shd w:val="clear" w:color="auto" w:fill="C0E6F5"/>
            <w:tcMar>
              <w:top w:w="15" w:type="dxa"/>
              <w:left w:w="15" w:type="dxa"/>
              <w:right w:w="15" w:type="dxa"/>
            </w:tcMar>
            <w:vAlign w:val="center"/>
          </w:tcPr>
          <w:p w14:paraId="388C249B" w14:textId="2B651C3D"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No. Procesos</w:t>
            </w:r>
          </w:p>
        </w:tc>
        <w:tc>
          <w:tcPr>
            <w:tcW w:w="3195" w:type="dxa"/>
            <w:tcBorders>
              <w:top w:val="nil"/>
              <w:left w:val="nil"/>
              <w:bottom w:val="single" w:sz="4" w:space="0" w:color="44B3E1"/>
              <w:right w:val="nil"/>
            </w:tcBorders>
            <w:shd w:val="clear" w:color="auto" w:fill="C0E6F5"/>
            <w:tcMar>
              <w:top w:w="15" w:type="dxa"/>
              <w:left w:w="15" w:type="dxa"/>
              <w:right w:w="15" w:type="dxa"/>
            </w:tcMar>
            <w:vAlign w:val="center"/>
          </w:tcPr>
          <w:p w14:paraId="59D36732" w14:textId="1D0075BB"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Valor</w:t>
            </w:r>
          </w:p>
        </w:tc>
      </w:tr>
      <w:tr w:rsidR="3BC43353" w14:paraId="03ED49C3" w14:textId="77777777" w:rsidTr="3BCD5C0E">
        <w:trPr>
          <w:trHeight w:val="330"/>
          <w:jc w:val="center"/>
        </w:trPr>
        <w:tc>
          <w:tcPr>
            <w:tcW w:w="3396" w:type="dxa"/>
            <w:tcBorders>
              <w:top w:val="single" w:sz="4" w:space="0" w:color="44B3E1"/>
              <w:left w:val="nil"/>
              <w:bottom w:val="single" w:sz="4" w:space="0" w:color="44B3E1"/>
              <w:right w:val="nil"/>
            </w:tcBorders>
            <w:tcMar>
              <w:top w:w="15" w:type="dxa"/>
              <w:left w:w="15" w:type="dxa"/>
              <w:right w:w="15" w:type="dxa"/>
            </w:tcMar>
            <w:vAlign w:val="bottom"/>
          </w:tcPr>
          <w:p w14:paraId="7BCD8C63" w14:textId="0A8B24F9"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2021</w:t>
            </w:r>
          </w:p>
        </w:tc>
        <w:tc>
          <w:tcPr>
            <w:tcW w:w="1770" w:type="dxa"/>
            <w:tcBorders>
              <w:top w:val="single" w:sz="4" w:space="0" w:color="44B3E1"/>
              <w:left w:val="nil"/>
              <w:bottom w:val="single" w:sz="4" w:space="0" w:color="44B3E1"/>
              <w:right w:val="nil"/>
            </w:tcBorders>
            <w:tcMar>
              <w:top w:w="15" w:type="dxa"/>
              <w:left w:w="15" w:type="dxa"/>
              <w:right w:w="15" w:type="dxa"/>
            </w:tcMar>
            <w:vAlign w:val="center"/>
          </w:tcPr>
          <w:p w14:paraId="58166672" w14:textId="1F2E5780"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18</w:t>
            </w:r>
          </w:p>
        </w:tc>
        <w:tc>
          <w:tcPr>
            <w:tcW w:w="3195" w:type="dxa"/>
            <w:tcBorders>
              <w:top w:val="single" w:sz="4" w:space="0" w:color="44B3E1"/>
              <w:left w:val="nil"/>
              <w:bottom w:val="single" w:sz="4" w:space="0" w:color="44B3E1"/>
              <w:right w:val="nil"/>
            </w:tcBorders>
            <w:tcMar>
              <w:top w:w="15" w:type="dxa"/>
              <w:left w:w="15" w:type="dxa"/>
              <w:right w:w="15" w:type="dxa"/>
            </w:tcMar>
            <w:vAlign w:val="center"/>
          </w:tcPr>
          <w:p w14:paraId="4C1839A3" w14:textId="055E663D"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50.884.232.118 </w:t>
            </w:r>
          </w:p>
        </w:tc>
      </w:tr>
      <w:tr w:rsidR="3BC43353" w14:paraId="34C7F3C8" w14:textId="77777777" w:rsidTr="3BCD5C0E">
        <w:trPr>
          <w:trHeight w:val="330"/>
          <w:jc w:val="center"/>
        </w:trPr>
        <w:tc>
          <w:tcPr>
            <w:tcW w:w="3396" w:type="dxa"/>
            <w:tcBorders>
              <w:top w:val="single" w:sz="4" w:space="0" w:color="44B3E1"/>
              <w:left w:val="nil"/>
              <w:bottom w:val="nil"/>
              <w:right w:val="nil"/>
            </w:tcBorders>
            <w:tcMar>
              <w:top w:w="15" w:type="dxa"/>
              <w:left w:w="135" w:type="dxa"/>
              <w:right w:w="15" w:type="dxa"/>
            </w:tcMar>
            <w:vAlign w:val="bottom"/>
          </w:tcPr>
          <w:p w14:paraId="1CF90254" w14:textId="6D0C41B5"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1770" w:type="dxa"/>
            <w:tcBorders>
              <w:top w:val="single" w:sz="4" w:space="0" w:color="44B3E1"/>
              <w:left w:val="nil"/>
              <w:bottom w:val="nil"/>
              <w:right w:val="nil"/>
            </w:tcBorders>
            <w:tcMar>
              <w:top w:w="15" w:type="dxa"/>
              <w:left w:w="15" w:type="dxa"/>
              <w:right w:w="15" w:type="dxa"/>
            </w:tcMar>
            <w:vAlign w:val="center"/>
          </w:tcPr>
          <w:p w14:paraId="00BB3BC7" w14:textId="29C0F021"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18</w:t>
            </w:r>
          </w:p>
        </w:tc>
        <w:tc>
          <w:tcPr>
            <w:tcW w:w="3195" w:type="dxa"/>
            <w:tcBorders>
              <w:top w:val="single" w:sz="4" w:space="0" w:color="44B3E1"/>
              <w:left w:val="nil"/>
              <w:bottom w:val="nil"/>
              <w:right w:val="nil"/>
            </w:tcBorders>
            <w:tcMar>
              <w:top w:w="15" w:type="dxa"/>
              <w:left w:w="15" w:type="dxa"/>
              <w:right w:w="15" w:type="dxa"/>
            </w:tcMar>
            <w:vAlign w:val="center"/>
          </w:tcPr>
          <w:p w14:paraId="22F024C9" w14:textId="49EB0EAA"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50.884.232.118 </w:t>
            </w:r>
          </w:p>
        </w:tc>
      </w:tr>
      <w:tr w:rsidR="3BC43353" w14:paraId="6099CAAF" w14:textId="77777777" w:rsidTr="3BCD5C0E">
        <w:trPr>
          <w:trHeight w:val="330"/>
          <w:jc w:val="center"/>
        </w:trPr>
        <w:tc>
          <w:tcPr>
            <w:tcW w:w="3396" w:type="dxa"/>
            <w:tcBorders>
              <w:top w:val="nil"/>
              <w:left w:val="nil"/>
              <w:bottom w:val="single" w:sz="4" w:space="0" w:color="44B3E1"/>
              <w:right w:val="nil"/>
            </w:tcBorders>
            <w:tcMar>
              <w:top w:w="15" w:type="dxa"/>
              <w:left w:w="15" w:type="dxa"/>
              <w:right w:w="15" w:type="dxa"/>
            </w:tcMar>
            <w:vAlign w:val="bottom"/>
          </w:tcPr>
          <w:p w14:paraId="7ED10AE4" w14:textId="677C13CE"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2022</w:t>
            </w:r>
          </w:p>
        </w:tc>
        <w:tc>
          <w:tcPr>
            <w:tcW w:w="1770" w:type="dxa"/>
            <w:tcBorders>
              <w:top w:val="nil"/>
              <w:left w:val="nil"/>
              <w:bottom w:val="single" w:sz="4" w:space="0" w:color="44B3E1"/>
              <w:right w:val="nil"/>
            </w:tcBorders>
            <w:tcMar>
              <w:top w:w="15" w:type="dxa"/>
              <w:left w:w="15" w:type="dxa"/>
              <w:right w:w="15" w:type="dxa"/>
            </w:tcMar>
            <w:vAlign w:val="center"/>
          </w:tcPr>
          <w:p w14:paraId="75F93D57" w14:textId="7E2AB3B0"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295</w:t>
            </w:r>
          </w:p>
        </w:tc>
        <w:tc>
          <w:tcPr>
            <w:tcW w:w="3195" w:type="dxa"/>
            <w:tcBorders>
              <w:top w:val="nil"/>
              <w:left w:val="nil"/>
              <w:bottom w:val="single" w:sz="4" w:space="0" w:color="44B3E1"/>
              <w:right w:val="nil"/>
            </w:tcBorders>
            <w:tcMar>
              <w:top w:w="15" w:type="dxa"/>
              <w:left w:w="15" w:type="dxa"/>
              <w:right w:w="15" w:type="dxa"/>
            </w:tcMar>
            <w:vAlign w:val="center"/>
          </w:tcPr>
          <w:p w14:paraId="3BF904F6" w14:textId="62631DF4"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693.731.453.194 </w:t>
            </w:r>
          </w:p>
        </w:tc>
      </w:tr>
      <w:tr w:rsidR="3BC43353" w14:paraId="11D11F8B" w14:textId="77777777" w:rsidTr="3BCD5C0E">
        <w:trPr>
          <w:trHeight w:val="330"/>
          <w:jc w:val="center"/>
        </w:trPr>
        <w:tc>
          <w:tcPr>
            <w:tcW w:w="3396" w:type="dxa"/>
            <w:tcBorders>
              <w:top w:val="single" w:sz="4" w:space="0" w:color="44B3E1"/>
              <w:left w:val="nil"/>
              <w:bottom w:val="nil"/>
              <w:right w:val="nil"/>
            </w:tcBorders>
            <w:tcMar>
              <w:top w:w="15" w:type="dxa"/>
              <w:left w:w="135" w:type="dxa"/>
              <w:right w:w="15" w:type="dxa"/>
            </w:tcMar>
            <w:vAlign w:val="bottom"/>
          </w:tcPr>
          <w:p w14:paraId="0B4948D5" w14:textId="17FEC29B"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1770" w:type="dxa"/>
            <w:tcBorders>
              <w:top w:val="single" w:sz="4" w:space="0" w:color="44B3E1"/>
              <w:left w:val="nil"/>
              <w:bottom w:val="nil"/>
              <w:right w:val="nil"/>
            </w:tcBorders>
            <w:tcMar>
              <w:top w:w="15" w:type="dxa"/>
              <w:left w:w="15" w:type="dxa"/>
              <w:right w:w="15" w:type="dxa"/>
            </w:tcMar>
            <w:vAlign w:val="center"/>
          </w:tcPr>
          <w:p w14:paraId="7D5658B9" w14:textId="40559A43"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174</w:t>
            </w:r>
          </w:p>
        </w:tc>
        <w:tc>
          <w:tcPr>
            <w:tcW w:w="3195" w:type="dxa"/>
            <w:tcBorders>
              <w:top w:val="single" w:sz="4" w:space="0" w:color="44B3E1"/>
              <w:left w:val="nil"/>
              <w:bottom w:val="nil"/>
              <w:right w:val="nil"/>
            </w:tcBorders>
            <w:tcMar>
              <w:top w:w="15" w:type="dxa"/>
              <w:left w:w="15" w:type="dxa"/>
              <w:right w:w="15" w:type="dxa"/>
            </w:tcMar>
            <w:vAlign w:val="center"/>
          </w:tcPr>
          <w:p w14:paraId="5716FC69" w14:textId="40E5E797"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194.099.988.215 </w:t>
            </w:r>
          </w:p>
        </w:tc>
      </w:tr>
      <w:tr w:rsidR="3BC43353" w14:paraId="37D6688D"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21AF67D1" w14:textId="3CD62C4E"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1770" w:type="dxa"/>
            <w:tcBorders>
              <w:top w:val="nil"/>
              <w:left w:val="nil"/>
              <w:bottom w:val="nil"/>
              <w:right w:val="nil"/>
            </w:tcBorders>
            <w:tcMar>
              <w:top w:w="15" w:type="dxa"/>
              <w:left w:w="15" w:type="dxa"/>
              <w:right w:w="15" w:type="dxa"/>
            </w:tcMar>
            <w:vAlign w:val="center"/>
          </w:tcPr>
          <w:p w14:paraId="39B77B86" w14:textId="5C184C19"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95</w:t>
            </w:r>
          </w:p>
        </w:tc>
        <w:tc>
          <w:tcPr>
            <w:tcW w:w="3195" w:type="dxa"/>
            <w:tcBorders>
              <w:top w:val="nil"/>
              <w:left w:val="nil"/>
              <w:bottom w:val="nil"/>
              <w:right w:val="nil"/>
            </w:tcBorders>
            <w:tcMar>
              <w:top w:w="15" w:type="dxa"/>
              <w:left w:w="15" w:type="dxa"/>
              <w:right w:w="15" w:type="dxa"/>
            </w:tcMar>
            <w:vAlign w:val="center"/>
          </w:tcPr>
          <w:p w14:paraId="7AA03002" w14:textId="6B7754E7"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298.190.531.636 </w:t>
            </w:r>
          </w:p>
        </w:tc>
      </w:tr>
      <w:tr w:rsidR="3BC43353" w14:paraId="4F70C2D3"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4210FEB9" w14:textId="11707785"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1770" w:type="dxa"/>
            <w:tcBorders>
              <w:top w:val="nil"/>
              <w:left w:val="nil"/>
              <w:bottom w:val="nil"/>
              <w:right w:val="nil"/>
            </w:tcBorders>
            <w:tcMar>
              <w:top w:w="15" w:type="dxa"/>
              <w:left w:w="15" w:type="dxa"/>
              <w:right w:w="15" w:type="dxa"/>
            </w:tcMar>
            <w:vAlign w:val="center"/>
          </w:tcPr>
          <w:p w14:paraId="6A19F58C" w14:textId="2530E8AE"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26</w:t>
            </w:r>
          </w:p>
        </w:tc>
        <w:tc>
          <w:tcPr>
            <w:tcW w:w="3195" w:type="dxa"/>
            <w:tcBorders>
              <w:top w:val="nil"/>
              <w:left w:val="nil"/>
              <w:bottom w:val="nil"/>
              <w:right w:val="nil"/>
            </w:tcBorders>
            <w:tcMar>
              <w:top w:w="15" w:type="dxa"/>
              <w:left w:w="15" w:type="dxa"/>
              <w:right w:w="15" w:type="dxa"/>
            </w:tcMar>
            <w:vAlign w:val="center"/>
          </w:tcPr>
          <w:p w14:paraId="72ADCE81" w14:textId="4512137B"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201.440.933.343 </w:t>
            </w:r>
          </w:p>
        </w:tc>
      </w:tr>
      <w:tr w:rsidR="3BC43353" w14:paraId="5B638A47" w14:textId="77777777" w:rsidTr="3BCD5C0E">
        <w:trPr>
          <w:trHeight w:val="330"/>
          <w:jc w:val="center"/>
        </w:trPr>
        <w:tc>
          <w:tcPr>
            <w:tcW w:w="3396" w:type="dxa"/>
            <w:tcBorders>
              <w:top w:val="nil"/>
              <w:left w:val="nil"/>
              <w:bottom w:val="single" w:sz="4" w:space="0" w:color="44B3E1"/>
              <w:right w:val="nil"/>
            </w:tcBorders>
            <w:tcMar>
              <w:top w:w="15" w:type="dxa"/>
              <w:left w:w="15" w:type="dxa"/>
              <w:right w:w="15" w:type="dxa"/>
            </w:tcMar>
            <w:vAlign w:val="bottom"/>
          </w:tcPr>
          <w:p w14:paraId="0BEE04E0" w14:textId="3A7B5F74"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2023</w:t>
            </w:r>
          </w:p>
        </w:tc>
        <w:tc>
          <w:tcPr>
            <w:tcW w:w="1770" w:type="dxa"/>
            <w:tcBorders>
              <w:top w:val="nil"/>
              <w:left w:val="nil"/>
              <w:bottom w:val="single" w:sz="4" w:space="0" w:color="44B3E1"/>
              <w:right w:val="nil"/>
            </w:tcBorders>
            <w:tcMar>
              <w:top w:w="15" w:type="dxa"/>
              <w:left w:w="15" w:type="dxa"/>
              <w:right w:w="15" w:type="dxa"/>
            </w:tcMar>
            <w:vAlign w:val="center"/>
          </w:tcPr>
          <w:p w14:paraId="5361CC79" w14:textId="740BC4EB"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386</w:t>
            </w:r>
          </w:p>
        </w:tc>
        <w:tc>
          <w:tcPr>
            <w:tcW w:w="3195" w:type="dxa"/>
            <w:tcBorders>
              <w:top w:val="nil"/>
              <w:left w:val="nil"/>
              <w:bottom w:val="single" w:sz="4" w:space="0" w:color="44B3E1"/>
              <w:right w:val="nil"/>
            </w:tcBorders>
            <w:tcMar>
              <w:top w:w="15" w:type="dxa"/>
              <w:left w:w="15" w:type="dxa"/>
              <w:right w:w="15" w:type="dxa"/>
            </w:tcMar>
            <w:vAlign w:val="center"/>
          </w:tcPr>
          <w:p w14:paraId="25D2DCD3" w14:textId="3B585077"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1.251.275.673.774 </w:t>
            </w:r>
          </w:p>
        </w:tc>
      </w:tr>
      <w:tr w:rsidR="3BC43353" w14:paraId="77DD8BC7" w14:textId="77777777" w:rsidTr="3BCD5C0E">
        <w:trPr>
          <w:trHeight w:val="330"/>
          <w:jc w:val="center"/>
        </w:trPr>
        <w:tc>
          <w:tcPr>
            <w:tcW w:w="3396" w:type="dxa"/>
            <w:tcBorders>
              <w:top w:val="single" w:sz="4" w:space="0" w:color="44B3E1"/>
              <w:left w:val="nil"/>
              <w:bottom w:val="nil"/>
              <w:right w:val="nil"/>
            </w:tcBorders>
            <w:tcMar>
              <w:top w:w="15" w:type="dxa"/>
              <w:left w:w="135" w:type="dxa"/>
              <w:right w:w="15" w:type="dxa"/>
            </w:tcMar>
            <w:vAlign w:val="bottom"/>
          </w:tcPr>
          <w:p w14:paraId="1BE38EC5" w14:textId="661B802F"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1770" w:type="dxa"/>
            <w:tcBorders>
              <w:top w:val="single" w:sz="4" w:space="0" w:color="44B3E1"/>
              <w:left w:val="nil"/>
              <w:bottom w:val="nil"/>
              <w:right w:val="nil"/>
            </w:tcBorders>
            <w:tcMar>
              <w:top w:w="15" w:type="dxa"/>
              <w:left w:w="15" w:type="dxa"/>
              <w:right w:w="15" w:type="dxa"/>
            </w:tcMar>
            <w:vAlign w:val="center"/>
          </w:tcPr>
          <w:p w14:paraId="4FDDCD0C" w14:textId="13CA3624"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285</w:t>
            </w:r>
          </w:p>
        </w:tc>
        <w:tc>
          <w:tcPr>
            <w:tcW w:w="3195" w:type="dxa"/>
            <w:tcBorders>
              <w:top w:val="single" w:sz="4" w:space="0" w:color="44B3E1"/>
              <w:left w:val="nil"/>
              <w:bottom w:val="nil"/>
              <w:right w:val="nil"/>
            </w:tcBorders>
            <w:tcMar>
              <w:top w:w="15" w:type="dxa"/>
              <w:left w:w="15" w:type="dxa"/>
              <w:right w:w="15" w:type="dxa"/>
            </w:tcMar>
            <w:vAlign w:val="center"/>
          </w:tcPr>
          <w:p w14:paraId="541A229C" w14:textId="25CF0170"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717.883.874.789 </w:t>
            </w:r>
          </w:p>
        </w:tc>
      </w:tr>
      <w:tr w:rsidR="3BC43353" w14:paraId="26706316"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3A710C51" w14:textId="5A085DD9"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1770" w:type="dxa"/>
            <w:tcBorders>
              <w:top w:val="nil"/>
              <w:left w:val="nil"/>
              <w:bottom w:val="nil"/>
              <w:right w:val="nil"/>
            </w:tcBorders>
            <w:tcMar>
              <w:top w:w="15" w:type="dxa"/>
              <w:left w:w="15" w:type="dxa"/>
              <w:right w:w="15" w:type="dxa"/>
            </w:tcMar>
            <w:vAlign w:val="center"/>
          </w:tcPr>
          <w:p w14:paraId="725D1DC3" w14:textId="24441B2E"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88</w:t>
            </w:r>
          </w:p>
        </w:tc>
        <w:tc>
          <w:tcPr>
            <w:tcW w:w="3195" w:type="dxa"/>
            <w:tcBorders>
              <w:top w:val="nil"/>
              <w:left w:val="nil"/>
              <w:bottom w:val="nil"/>
              <w:right w:val="nil"/>
            </w:tcBorders>
            <w:tcMar>
              <w:top w:w="15" w:type="dxa"/>
              <w:left w:w="15" w:type="dxa"/>
              <w:right w:w="15" w:type="dxa"/>
            </w:tcMar>
            <w:vAlign w:val="center"/>
          </w:tcPr>
          <w:p w14:paraId="52DB6EED" w14:textId="35B8DAD9"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223.891.173.725 </w:t>
            </w:r>
          </w:p>
        </w:tc>
      </w:tr>
      <w:tr w:rsidR="3BC43353" w14:paraId="049D52AB"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614CF9D0" w14:textId="0C1CC508"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1770" w:type="dxa"/>
            <w:tcBorders>
              <w:top w:val="nil"/>
              <w:left w:val="nil"/>
              <w:bottom w:val="nil"/>
              <w:right w:val="nil"/>
            </w:tcBorders>
            <w:tcMar>
              <w:top w:w="15" w:type="dxa"/>
              <w:left w:w="15" w:type="dxa"/>
              <w:right w:w="15" w:type="dxa"/>
            </w:tcMar>
            <w:vAlign w:val="center"/>
          </w:tcPr>
          <w:p w14:paraId="7A91DA2A" w14:textId="5E6E69BD"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13</w:t>
            </w:r>
          </w:p>
        </w:tc>
        <w:tc>
          <w:tcPr>
            <w:tcW w:w="3195" w:type="dxa"/>
            <w:tcBorders>
              <w:top w:val="nil"/>
              <w:left w:val="nil"/>
              <w:bottom w:val="nil"/>
              <w:right w:val="nil"/>
            </w:tcBorders>
            <w:tcMar>
              <w:top w:w="15" w:type="dxa"/>
              <w:left w:w="15" w:type="dxa"/>
              <w:right w:w="15" w:type="dxa"/>
            </w:tcMar>
            <w:vAlign w:val="center"/>
          </w:tcPr>
          <w:p w14:paraId="4258DDEF" w14:textId="248C4139"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309.500.625.260 </w:t>
            </w:r>
          </w:p>
        </w:tc>
      </w:tr>
      <w:tr w:rsidR="3BC43353" w14:paraId="5D041F00" w14:textId="77777777" w:rsidTr="3BCD5C0E">
        <w:trPr>
          <w:trHeight w:val="330"/>
          <w:jc w:val="center"/>
        </w:trPr>
        <w:tc>
          <w:tcPr>
            <w:tcW w:w="3396" w:type="dxa"/>
            <w:tcBorders>
              <w:top w:val="nil"/>
              <w:left w:val="nil"/>
              <w:bottom w:val="single" w:sz="4" w:space="0" w:color="44B3E1"/>
              <w:right w:val="nil"/>
            </w:tcBorders>
            <w:tcMar>
              <w:top w:w="15" w:type="dxa"/>
              <w:left w:w="15" w:type="dxa"/>
              <w:right w:w="15" w:type="dxa"/>
            </w:tcMar>
            <w:vAlign w:val="bottom"/>
          </w:tcPr>
          <w:p w14:paraId="2B0FFFBD" w14:textId="3325386A" w:rsidR="3BC43353" w:rsidRDefault="7B4445E4"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2024</w:t>
            </w:r>
          </w:p>
        </w:tc>
        <w:tc>
          <w:tcPr>
            <w:tcW w:w="1770" w:type="dxa"/>
            <w:tcBorders>
              <w:top w:val="nil"/>
              <w:left w:val="nil"/>
              <w:bottom w:val="single" w:sz="4" w:space="0" w:color="44B3E1"/>
              <w:right w:val="nil"/>
            </w:tcBorders>
            <w:tcMar>
              <w:top w:w="15" w:type="dxa"/>
              <w:left w:w="15" w:type="dxa"/>
              <w:right w:w="15" w:type="dxa"/>
            </w:tcMar>
            <w:vAlign w:val="center"/>
          </w:tcPr>
          <w:p w14:paraId="37BE45BC" w14:textId="61F4FB58"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171</w:t>
            </w:r>
          </w:p>
        </w:tc>
        <w:tc>
          <w:tcPr>
            <w:tcW w:w="3195" w:type="dxa"/>
            <w:tcBorders>
              <w:top w:val="nil"/>
              <w:left w:val="nil"/>
              <w:bottom w:val="single" w:sz="4" w:space="0" w:color="44B3E1"/>
              <w:right w:val="nil"/>
            </w:tcBorders>
            <w:tcMar>
              <w:top w:w="15" w:type="dxa"/>
              <w:left w:w="15" w:type="dxa"/>
              <w:right w:w="15" w:type="dxa"/>
            </w:tcMar>
            <w:vAlign w:val="center"/>
          </w:tcPr>
          <w:p w14:paraId="5ACC4295" w14:textId="47AAF709"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248.528.252.995 </w:t>
            </w:r>
          </w:p>
        </w:tc>
      </w:tr>
      <w:tr w:rsidR="3BC43353" w14:paraId="71440C51" w14:textId="77777777" w:rsidTr="3BCD5C0E">
        <w:trPr>
          <w:trHeight w:val="330"/>
          <w:jc w:val="center"/>
        </w:trPr>
        <w:tc>
          <w:tcPr>
            <w:tcW w:w="3396" w:type="dxa"/>
            <w:tcBorders>
              <w:top w:val="single" w:sz="4" w:space="0" w:color="44B3E1"/>
              <w:left w:val="nil"/>
              <w:bottom w:val="nil"/>
              <w:right w:val="nil"/>
            </w:tcBorders>
            <w:tcMar>
              <w:top w:w="15" w:type="dxa"/>
              <w:left w:w="135" w:type="dxa"/>
              <w:right w:w="15" w:type="dxa"/>
            </w:tcMar>
            <w:vAlign w:val="bottom"/>
          </w:tcPr>
          <w:p w14:paraId="631F7716" w14:textId="74D32CF6"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Seguridad Pública</w:t>
            </w:r>
          </w:p>
        </w:tc>
        <w:tc>
          <w:tcPr>
            <w:tcW w:w="1770" w:type="dxa"/>
            <w:tcBorders>
              <w:top w:val="single" w:sz="4" w:space="0" w:color="44B3E1"/>
              <w:left w:val="nil"/>
              <w:bottom w:val="nil"/>
              <w:right w:val="nil"/>
            </w:tcBorders>
            <w:tcMar>
              <w:top w:w="15" w:type="dxa"/>
              <w:left w:w="15" w:type="dxa"/>
              <w:right w:w="15" w:type="dxa"/>
            </w:tcMar>
            <w:vAlign w:val="center"/>
          </w:tcPr>
          <w:p w14:paraId="728166CA" w14:textId="15823792"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149</w:t>
            </w:r>
          </w:p>
        </w:tc>
        <w:tc>
          <w:tcPr>
            <w:tcW w:w="3195" w:type="dxa"/>
            <w:tcBorders>
              <w:top w:val="single" w:sz="4" w:space="0" w:color="44B3E1"/>
              <w:left w:val="nil"/>
              <w:bottom w:val="nil"/>
              <w:right w:val="nil"/>
            </w:tcBorders>
            <w:tcMar>
              <w:top w:w="15" w:type="dxa"/>
              <w:left w:w="15" w:type="dxa"/>
              <w:right w:w="15" w:type="dxa"/>
            </w:tcMar>
            <w:vAlign w:val="center"/>
          </w:tcPr>
          <w:p w14:paraId="32ED3C3F" w14:textId="11057AA4"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224.515.929.374 </w:t>
            </w:r>
          </w:p>
        </w:tc>
      </w:tr>
      <w:tr w:rsidR="3BC43353" w14:paraId="130B937F"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02F171D4" w14:textId="68D36A8A"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Servicio Público</w:t>
            </w:r>
          </w:p>
        </w:tc>
        <w:tc>
          <w:tcPr>
            <w:tcW w:w="1770" w:type="dxa"/>
            <w:tcBorders>
              <w:top w:val="nil"/>
              <w:left w:val="nil"/>
              <w:bottom w:val="nil"/>
              <w:right w:val="nil"/>
            </w:tcBorders>
            <w:tcMar>
              <w:top w:w="15" w:type="dxa"/>
              <w:left w:w="15" w:type="dxa"/>
              <w:right w:w="15" w:type="dxa"/>
            </w:tcMar>
            <w:vAlign w:val="center"/>
          </w:tcPr>
          <w:p w14:paraId="5D770B6F" w14:textId="235A8119"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21</w:t>
            </w:r>
          </w:p>
        </w:tc>
        <w:tc>
          <w:tcPr>
            <w:tcW w:w="3195" w:type="dxa"/>
            <w:tcBorders>
              <w:top w:val="nil"/>
              <w:left w:val="nil"/>
              <w:bottom w:val="nil"/>
              <w:right w:val="nil"/>
            </w:tcBorders>
            <w:tcMar>
              <w:top w:w="15" w:type="dxa"/>
              <w:left w:w="15" w:type="dxa"/>
              <w:right w:w="15" w:type="dxa"/>
            </w:tcMar>
            <w:vAlign w:val="center"/>
          </w:tcPr>
          <w:p w14:paraId="37220AD8" w14:textId="2BD5F6E6"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22.913.305.894 </w:t>
            </w:r>
          </w:p>
        </w:tc>
      </w:tr>
      <w:tr w:rsidR="3BC43353" w14:paraId="4D12445F" w14:textId="77777777" w:rsidTr="3BCD5C0E">
        <w:trPr>
          <w:trHeight w:val="330"/>
          <w:jc w:val="center"/>
        </w:trPr>
        <w:tc>
          <w:tcPr>
            <w:tcW w:w="3396" w:type="dxa"/>
            <w:tcBorders>
              <w:top w:val="nil"/>
              <w:left w:val="nil"/>
              <w:bottom w:val="nil"/>
              <w:right w:val="nil"/>
            </w:tcBorders>
            <w:tcMar>
              <w:top w:w="15" w:type="dxa"/>
              <w:left w:w="135" w:type="dxa"/>
              <w:right w:w="15" w:type="dxa"/>
            </w:tcMar>
            <w:vAlign w:val="bottom"/>
          </w:tcPr>
          <w:p w14:paraId="5E099DD6" w14:textId="476193A0" w:rsidR="3BC43353" w:rsidRDefault="7B4445E4"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Sitios de Reclusión</w:t>
            </w:r>
          </w:p>
        </w:tc>
        <w:tc>
          <w:tcPr>
            <w:tcW w:w="1770" w:type="dxa"/>
            <w:tcBorders>
              <w:top w:val="nil"/>
              <w:left w:val="nil"/>
              <w:bottom w:val="nil"/>
              <w:right w:val="nil"/>
            </w:tcBorders>
            <w:tcMar>
              <w:top w:w="15" w:type="dxa"/>
              <w:left w:w="15" w:type="dxa"/>
              <w:right w:w="15" w:type="dxa"/>
            </w:tcMar>
            <w:vAlign w:val="center"/>
          </w:tcPr>
          <w:p w14:paraId="4C656FE6" w14:textId="36BE5131"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c>
          <w:tcPr>
            <w:tcW w:w="3195" w:type="dxa"/>
            <w:tcBorders>
              <w:top w:val="nil"/>
              <w:left w:val="nil"/>
              <w:bottom w:val="nil"/>
              <w:right w:val="nil"/>
            </w:tcBorders>
            <w:tcMar>
              <w:top w:w="15" w:type="dxa"/>
              <w:left w:w="15" w:type="dxa"/>
              <w:right w:w="15" w:type="dxa"/>
            </w:tcMar>
            <w:vAlign w:val="center"/>
          </w:tcPr>
          <w:p w14:paraId="100A712A" w14:textId="27C0C86B" w:rsidR="3BC43353" w:rsidRDefault="7B4445E4"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1.099.017.727 </w:t>
            </w:r>
          </w:p>
        </w:tc>
      </w:tr>
      <w:tr w:rsidR="3BC43353" w14:paraId="29A142F0" w14:textId="77777777" w:rsidTr="3BCD5C0E">
        <w:trPr>
          <w:trHeight w:val="330"/>
          <w:jc w:val="center"/>
        </w:trPr>
        <w:tc>
          <w:tcPr>
            <w:tcW w:w="3396" w:type="dxa"/>
            <w:tcBorders>
              <w:top w:val="single" w:sz="4" w:space="0" w:color="44B3E1"/>
              <w:left w:val="nil"/>
              <w:bottom w:val="nil"/>
              <w:right w:val="nil"/>
            </w:tcBorders>
            <w:shd w:val="clear" w:color="auto" w:fill="C0E6F5"/>
            <w:tcMar>
              <w:top w:w="15" w:type="dxa"/>
              <w:left w:w="15" w:type="dxa"/>
              <w:right w:w="15" w:type="dxa"/>
            </w:tcMar>
            <w:vAlign w:val="bottom"/>
          </w:tcPr>
          <w:p w14:paraId="078EFC91" w14:textId="2209A521" w:rsidR="3BC43353" w:rsidRDefault="7B4445E4"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lastRenderedPageBreak/>
              <w:t>Total</w:t>
            </w:r>
            <w:proofErr w:type="gramEnd"/>
            <w:r w:rsidRPr="3BCD5C0E">
              <w:rPr>
                <w:rFonts w:ascii="Verdana Pro" w:eastAsia="Verdana Pro" w:hAnsi="Verdana Pro" w:cs="Verdana Pro"/>
                <w:b/>
                <w:bCs/>
                <w:color w:val="000000" w:themeColor="text1"/>
                <w:sz w:val="22"/>
                <w:szCs w:val="22"/>
              </w:rPr>
              <w:t xml:space="preserve"> general</w:t>
            </w:r>
          </w:p>
        </w:tc>
        <w:tc>
          <w:tcPr>
            <w:tcW w:w="1770" w:type="dxa"/>
            <w:tcBorders>
              <w:top w:val="single" w:sz="4" w:space="0" w:color="44B3E1"/>
              <w:left w:val="nil"/>
              <w:bottom w:val="nil"/>
              <w:right w:val="nil"/>
            </w:tcBorders>
            <w:shd w:val="clear" w:color="auto" w:fill="C0E6F5"/>
            <w:tcMar>
              <w:top w:w="15" w:type="dxa"/>
              <w:left w:w="15" w:type="dxa"/>
              <w:right w:w="15" w:type="dxa"/>
            </w:tcMar>
            <w:vAlign w:val="center"/>
          </w:tcPr>
          <w:p w14:paraId="7E2AADE5" w14:textId="0F59EDD2"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c>
          <w:tcPr>
            <w:tcW w:w="3195" w:type="dxa"/>
            <w:tcBorders>
              <w:top w:val="single" w:sz="4" w:space="0" w:color="44B3E1"/>
              <w:left w:val="nil"/>
              <w:bottom w:val="nil"/>
              <w:right w:val="nil"/>
            </w:tcBorders>
            <w:shd w:val="clear" w:color="auto" w:fill="C0E6F5"/>
            <w:tcMar>
              <w:top w:w="15" w:type="dxa"/>
              <w:left w:w="15" w:type="dxa"/>
              <w:right w:w="15" w:type="dxa"/>
            </w:tcMar>
            <w:vAlign w:val="center"/>
          </w:tcPr>
          <w:p w14:paraId="692FE3C4" w14:textId="458D290C" w:rsidR="3BC43353" w:rsidRDefault="7B4445E4"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     2.244.419.612.081</w:t>
            </w:r>
          </w:p>
        </w:tc>
      </w:tr>
    </w:tbl>
    <w:p w14:paraId="0A64F3BD" w14:textId="3DB40323" w:rsidR="3BC43353" w:rsidRDefault="3BC43353" w:rsidP="3BCD5C0E">
      <w:pPr>
        <w:rPr>
          <w:rFonts w:ascii="Verdana Pro" w:eastAsia="Verdana Pro" w:hAnsi="Verdana Pro" w:cs="Verdana Pro"/>
        </w:rPr>
      </w:pPr>
    </w:p>
    <w:p w14:paraId="1F038D16" w14:textId="33ACBE90" w:rsidR="53F067B5" w:rsidRDefault="53F067B5" w:rsidP="3BCD5C0E">
      <w:pPr>
        <w:jc w:val="center"/>
        <w:rPr>
          <w:rFonts w:ascii="Verdana Pro" w:eastAsia="Verdana Pro" w:hAnsi="Verdana Pro" w:cs="Verdana Pro"/>
        </w:rPr>
      </w:pPr>
      <w:r>
        <w:rPr>
          <w:noProof/>
        </w:rPr>
        <w:drawing>
          <wp:inline distT="0" distB="0" distL="0" distR="0" wp14:anchorId="21C956BA" wp14:editId="5B4E4C44">
            <wp:extent cx="5334463" cy="3206774"/>
            <wp:effectExtent l="0" t="0" r="0" b="0"/>
            <wp:docPr id="903344222" name="Picture 90334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334463" cy="3206774"/>
                    </a:xfrm>
                    <a:prstGeom prst="rect">
                      <a:avLst/>
                    </a:prstGeom>
                  </pic:spPr>
                </pic:pic>
              </a:graphicData>
            </a:graphic>
          </wp:inline>
        </w:drawing>
      </w:r>
    </w:p>
    <w:p w14:paraId="592A8D7F" w14:textId="4AE6F548"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301"/>
        <w:gridCol w:w="1834"/>
        <w:gridCol w:w="1657"/>
        <w:gridCol w:w="1701"/>
        <w:gridCol w:w="1897"/>
      </w:tblGrid>
      <w:tr w:rsidR="3BC43353" w14:paraId="0DA18ABC" w14:textId="77777777" w:rsidTr="449377F1">
        <w:trPr>
          <w:trHeight w:val="585"/>
          <w:jc w:val="center"/>
        </w:trPr>
        <w:tc>
          <w:tcPr>
            <w:tcW w:w="2301" w:type="dxa"/>
            <w:tcBorders>
              <w:top w:val="nil"/>
              <w:left w:val="nil"/>
              <w:bottom w:val="single" w:sz="4" w:space="0" w:color="44B3E1"/>
              <w:right w:val="nil"/>
            </w:tcBorders>
            <w:shd w:val="clear" w:color="auto" w:fill="C0E6F5"/>
            <w:tcMar>
              <w:top w:w="15" w:type="dxa"/>
              <w:left w:w="15" w:type="dxa"/>
              <w:right w:w="15" w:type="dxa"/>
            </w:tcMar>
            <w:vAlign w:val="bottom"/>
          </w:tcPr>
          <w:p w14:paraId="5811AA42" w14:textId="632A4371" w:rsidR="3BC43353" w:rsidRDefault="644F0ED8" w:rsidP="449377F1">
            <w:pPr>
              <w:rPr>
                <w:rFonts w:ascii="Verdana Pro" w:eastAsia="Verdana Pro" w:hAnsi="Verdana Pro" w:cs="Verdana Pro"/>
                <w:b/>
                <w:bCs/>
                <w:color w:val="000000" w:themeColor="text1"/>
                <w:sz w:val="18"/>
                <w:szCs w:val="18"/>
              </w:rPr>
            </w:pPr>
            <w:r w:rsidRPr="449377F1">
              <w:rPr>
                <w:rFonts w:ascii="Verdana Pro" w:eastAsia="Verdana Pro" w:hAnsi="Verdana Pro" w:cs="Verdana Pro"/>
                <w:b/>
                <w:bCs/>
                <w:color w:val="000000" w:themeColor="text1"/>
                <w:sz w:val="18"/>
                <w:szCs w:val="18"/>
              </w:rPr>
              <w:t>Departamento</w:t>
            </w:r>
          </w:p>
        </w:tc>
        <w:tc>
          <w:tcPr>
            <w:tcW w:w="1834" w:type="dxa"/>
            <w:tcBorders>
              <w:top w:val="nil"/>
              <w:left w:val="nil"/>
              <w:bottom w:val="single" w:sz="4" w:space="0" w:color="44B3E1"/>
              <w:right w:val="nil"/>
            </w:tcBorders>
            <w:shd w:val="clear" w:color="auto" w:fill="C0E6F5"/>
            <w:tcMar>
              <w:top w:w="15" w:type="dxa"/>
              <w:left w:w="15" w:type="dxa"/>
              <w:right w:w="15" w:type="dxa"/>
            </w:tcMar>
            <w:vAlign w:val="center"/>
          </w:tcPr>
          <w:p w14:paraId="696828F9" w14:textId="46F49A0C" w:rsidR="3BC43353" w:rsidRDefault="644F0ED8" w:rsidP="449377F1">
            <w:pPr>
              <w:jc w:val="center"/>
              <w:rPr>
                <w:rFonts w:ascii="Verdana Pro" w:eastAsia="Verdana Pro" w:hAnsi="Verdana Pro" w:cs="Verdana Pro"/>
                <w:b/>
                <w:bCs/>
                <w:color w:val="000000" w:themeColor="text1"/>
                <w:sz w:val="18"/>
                <w:szCs w:val="18"/>
              </w:rPr>
            </w:pPr>
            <w:r w:rsidRPr="449377F1">
              <w:rPr>
                <w:rFonts w:ascii="Verdana Pro" w:eastAsia="Verdana Pro" w:hAnsi="Verdana Pro" w:cs="Verdana Pro"/>
                <w:b/>
                <w:bCs/>
                <w:color w:val="000000" w:themeColor="text1"/>
                <w:sz w:val="18"/>
                <w:szCs w:val="18"/>
              </w:rPr>
              <w:t>Seguridad Pública</w:t>
            </w:r>
          </w:p>
        </w:tc>
        <w:tc>
          <w:tcPr>
            <w:tcW w:w="1657" w:type="dxa"/>
            <w:tcBorders>
              <w:top w:val="nil"/>
              <w:left w:val="nil"/>
              <w:bottom w:val="single" w:sz="4" w:space="0" w:color="44B3E1"/>
              <w:right w:val="nil"/>
            </w:tcBorders>
            <w:shd w:val="clear" w:color="auto" w:fill="C0E6F5"/>
            <w:tcMar>
              <w:top w:w="15" w:type="dxa"/>
              <w:left w:w="15" w:type="dxa"/>
              <w:right w:w="15" w:type="dxa"/>
            </w:tcMar>
            <w:vAlign w:val="center"/>
          </w:tcPr>
          <w:p w14:paraId="591E1B78" w14:textId="2AEFA12B" w:rsidR="3BC43353" w:rsidRDefault="644F0ED8" w:rsidP="449377F1">
            <w:pPr>
              <w:jc w:val="center"/>
              <w:rPr>
                <w:rFonts w:ascii="Verdana Pro" w:eastAsia="Verdana Pro" w:hAnsi="Verdana Pro" w:cs="Verdana Pro"/>
                <w:b/>
                <w:bCs/>
                <w:color w:val="000000" w:themeColor="text1"/>
                <w:sz w:val="18"/>
                <w:szCs w:val="18"/>
              </w:rPr>
            </w:pPr>
            <w:r w:rsidRPr="449377F1">
              <w:rPr>
                <w:rFonts w:ascii="Verdana Pro" w:eastAsia="Verdana Pro" w:hAnsi="Verdana Pro" w:cs="Verdana Pro"/>
                <w:b/>
                <w:bCs/>
                <w:color w:val="000000" w:themeColor="text1"/>
                <w:sz w:val="18"/>
                <w:szCs w:val="18"/>
              </w:rPr>
              <w:t>Servicio Público</w:t>
            </w:r>
          </w:p>
        </w:tc>
        <w:tc>
          <w:tcPr>
            <w:tcW w:w="1701" w:type="dxa"/>
            <w:tcBorders>
              <w:top w:val="nil"/>
              <w:left w:val="nil"/>
              <w:bottom w:val="single" w:sz="4" w:space="0" w:color="44B3E1"/>
              <w:right w:val="nil"/>
            </w:tcBorders>
            <w:shd w:val="clear" w:color="auto" w:fill="C0E6F5"/>
            <w:tcMar>
              <w:top w:w="15" w:type="dxa"/>
              <w:left w:w="15" w:type="dxa"/>
              <w:right w:w="15" w:type="dxa"/>
            </w:tcMar>
            <w:vAlign w:val="center"/>
          </w:tcPr>
          <w:p w14:paraId="5194BEC8" w14:textId="612C290E" w:rsidR="3BC43353" w:rsidRDefault="644F0ED8" w:rsidP="449377F1">
            <w:pPr>
              <w:jc w:val="center"/>
              <w:rPr>
                <w:rFonts w:ascii="Verdana Pro" w:eastAsia="Verdana Pro" w:hAnsi="Verdana Pro" w:cs="Verdana Pro"/>
                <w:b/>
                <w:bCs/>
                <w:color w:val="000000" w:themeColor="text1"/>
                <w:sz w:val="18"/>
                <w:szCs w:val="18"/>
              </w:rPr>
            </w:pPr>
            <w:r w:rsidRPr="449377F1">
              <w:rPr>
                <w:rFonts w:ascii="Verdana Pro" w:eastAsia="Verdana Pro" w:hAnsi="Verdana Pro" w:cs="Verdana Pro"/>
                <w:b/>
                <w:bCs/>
                <w:color w:val="000000" w:themeColor="text1"/>
                <w:sz w:val="18"/>
                <w:szCs w:val="18"/>
              </w:rPr>
              <w:t>Sitios de Reclusión</w:t>
            </w:r>
          </w:p>
        </w:tc>
        <w:tc>
          <w:tcPr>
            <w:tcW w:w="1897" w:type="dxa"/>
            <w:tcBorders>
              <w:top w:val="nil"/>
              <w:left w:val="nil"/>
              <w:bottom w:val="single" w:sz="4" w:space="0" w:color="44B3E1"/>
              <w:right w:val="nil"/>
            </w:tcBorders>
            <w:shd w:val="clear" w:color="auto" w:fill="C0E6F5"/>
            <w:tcMar>
              <w:top w:w="15" w:type="dxa"/>
              <w:left w:w="15" w:type="dxa"/>
              <w:right w:w="15" w:type="dxa"/>
            </w:tcMar>
            <w:vAlign w:val="center"/>
          </w:tcPr>
          <w:p w14:paraId="577F6EBC" w14:textId="47748553" w:rsidR="3BC43353" w:rsidRDefault="644F0ED8" w:rsidP="449377F1">
            <w:pPr>
              <w:jc w:val="center"/>
              <w:rPr>
                <w:rFonts w:ascii="Verdana Pro" w:eastAsia="Verdana Pro" w:hAnsi="Verdana Pro" w:cs="Verdana Pro"/>
                <w:b/>
                <w:bCs/>
                <w:color w:val="000000" w:themeColor="text1"/>
                <w:sz w:val="18"/>
                <w:szCs w:val="18"/>
              </w:rPr>
            </w:pPr>
            <w:proofErr w:type="gramStart"/>
            <w:r w:rsidRPr="449377F1">
              <w:rPr>
                <w:rFonts w:ascii="Verdana Pro" w:eastAsia="Verdana Pro" w:hAnsi="Verdana Pro" w:cs="Verdana Pro"/>
                <w:b/>
                <w:bCs/>
                <w:color w:val="000000" w:themeColor="text1"/>
                <w:sz w:val="18"/>
                <w:szCs w:val="18"/>
              </w:rPr>
              <w:t>Total</w:t>
            </w:r>
            <w:proofErr w:type="gramEnd"/>
            <w:r w:rsidRPr="449377F1">
              <w:rPr>
                <w:rFonts w:ascii="Verdana Pro" w:eastAsia="Verdana Pro" w:hAnsi="Verdana Pro" w:cs="Verdana Pro"/>
                <w:b/>
                <w:bCs/>
                <w:color w:val="000000" w:themeColor="text1"/>
                <w:sz w:val="18"/>
                <w:szCs w:val="18"/>
              </w:rPr>
              <w:t xml:space="preserve"> general</w:t>
            </w:r>
          </w:p>
        </w:tc>
      </w:tr>
      <w:tr w:rsidR="3BC43353" w14:paraId="57DCC5DF" w14:textId="77777777" w:rsidTr="449377F1">
        <w:trPr>
          <w:trHeight w:val="330"/>
          <w:jc w:val="center"/>
        </w:trPr>
        <w:tc>
          <w:tcPr>
            <w:tcW w:w="2301" w:type="dxa"/>
            <w:tcBorders>
              <w:top w:val="single" w:sz="4" w:space="0" w:color="44B3E1"/>
              <w:left w:val="nil"/>
              <w:bottom w:val="nil"/>
              <w:right w:val="nil"/>
            </w:tcBorders>
            <w:tcMar>
              <w:top w:w="15" w:type="dxa"/>
              <w:left w:w="15" w:type="dxa"/>
              <w:right w:w="15" w:type="dxa"/>
            </w:tcMar>
            <w:vAlign w:val="center"/>
          </w:tcPr>
          <w:p w14:paraId="4451BA8F" w14:textId="0055FBD4"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Amazonas</w:t>
            </w:r>
          </w:p>
        </w:tc>
        <w:tc>
          <w:tcPr>
            <w:tcW w:w="1834" w:type="dxa"/>
            <w:tcBorders>
              <w:top w:val="single" w:sz="4" w:space="0" w:color="44B3E1"/>
              <w:left w:val="nil"/>
              <w:bottom w:val="nil"/>
              <w:right w:val="nil"/>
            </w:tcBorders>
            <w:tcMar>
              <w:top w:w="15" w:type="dxa"/>
              <w:left w:w="15" w:type="dxa"/>
              <w:right w:w="15" w:type="dxa"/>
            </w:tcMar>
            <w:vAlign w:val="bottom"/>
          </w:tcPr>
          <w:p w14:paraId="37D09142" w14:textId="568A23CD"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1.487.173.922</w:t>
            </w:r>
          </w:p>
        </w:tc>
        <w:tc>
          <w:tcPr>
            <w:tcW w:w="1657" w:type="dxa"/>
            <w:tcBorders>
              <w:top w:val="single" w:sz="4" w:space="0" w:color="44B3E1"/>
              <w:left w:val="nil"/>
              <w:bottom w:val="nil"/>
              <w:right w:val="nil"/>
            </w:tcBorders>
            <w:tcMar>
              <w:top w:w="15" w:type="dxa"/>
              <w:left w:w="15" w:type="dxa"/>
              <w:right w:w="15" w:type="dxa"/>
            </w:tcMar>
            <w:vAlign w:val="bottom"/>
          </w:tcPr>
          <w:p w14:paraId="3814DC6D" w14:textId="1CAFAA1D" w:rsidR="3BC43353" w:rsidRDefault="3BC43353" w:rsidP="449377F1">
            <w:pPr>
              <w:rPr>
                <w:rFonts w:ascii="Verdana Pro" w:eastAsia="Verdana Pro" w:hAnsi="Verdana Pro" w:cs="Verdana Pro"/>
                <w:sz w:val="20"/>
                <w:szCs w:val="20"/>
              </w:rPr>
            </w:pPr>
          </w:p>
        </w:tc>
        <w:tc>
          <w:tcPr>
            <w:tcW w:w="1701" w:type="dxa"/>
            <w:tcBorders>
              <w:top w:val="single" w:sz="4" w:space="0" w:color="44B3E1"/>
              <w:left w:val="nil"/>
              <w:bottom w:val="nil"/>
              <w:right w:val="nil"/>
            </w:tcBorders>
            <w:tcMar>
              <w:top w:w="15" w:type="dxa"/>
              <w:left w:w="15" w:type="dxa"/>
              <w:right w:w="15" w:type="dxa"/>
            </w:tcMar>
            <w:vAlign w:val="bottom"/>
          </w:tcPr>
          <w:p w14:paraId="4F552354" w14:textId="4910A1F9" w:rsidR="3BC43353" w:rsidRDefault="3BC43353" w:rsidP="449377F1">
            <w:pPr>
              <w:rPr>
                <w:rFonts w:ascii="Verdana Pro" w:eastAsia="Verdana Pro" w:hAnsi="Verdana Pro" w:cs="Verdana Pro"/>
                <w:sz w:val="20"/>
                <w:szCs w:val="20"/>
              </w:rPr>
            </w:pPr>
          </w:p>
        </w:tc>
        <w:tc>
          <w:tcPr>
            <w:tcW w:w="1897" w:type="dxa"/>
            <w:tcBorders>
              <w:top w:val="single" w:sz="4" w:space="0" w:color="44B3E1"/>
              <w:left w:val="nil"/>
              <w:bottom w:val="nil"/>
              <w:right w:val="nil"/>
            </w:tcBorders>
            <w:tcMar>
              <w:top w:w="15" w:type="dxa"/>
              <w:left w:w="15" w:type="dxa"/>
              <w:right w:w="15" w:type="dxa"/>
            </w:tcMar>
            <w:vAlign w:val="bottom"/>
          </w:tcPr>
          <w:p w14:paraId="3FB0341F" w14:textId="7300601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1.487.173.922</w:t>
            </w:r>
          </w:p>
        </w:tc>
      </w:tr>
      <w:tr w:rsidR="3BC43353" w14:paraId="75DB545F"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43D15473" w14:textId="593E0EA1"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Antioquia</w:t>
            </w:r>
          </w:p>
        </w:tc>
        <w:tc>
          <w:tcPr>
            <w:tcW w:w="1834" w:type="dxa"/>
            <w:tcBorders>
              <w:top w:val="nil"/>
              <w:left w:val="nil"/>
              <w:bottom w:val="nil"/>
              <w:right w:val="nil"/>
            </w:tcBorders>
            <w:tcMar>
              <w:top w:w="15" w:type="dxa"/>
              <w:left w:w="15" w:type="dxa"/>
              <w:right w:w="15" w:type="dxa"/>
            </w:tcMar>
            <w:vAlign w:val="bottom"/>
          </w:tcPr>
          <w:p w14:paraId="3AF1E80B" w14:textId="08EC5AA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22.867.381.364</w:t>
            </w:r>
          </w:p>
        </w:tc>
        <w:tc>
          <w:tcPr>
            <w:tcW w:w="1657" w:type="dxa"/>
            <w:tcBorders>
              <w:top w:val="nil"/>
              <w:left w:val="nil"/>
              <w:bottom w:val="nil"/>
              <w:right w:val="nil"/>
            </w:tcBorders>
            <w:tcMar>
              <w:top w:w="15" w:type="dxa"/>
              <w:left w:w="15" w:type="dxa"/>
              <w:right w:w="15" w:type="dxa"/>
            </w:tcMar>
            <w:vAlign w:val="bottom"/>
          </w:tcPr>
          <w:p w14:paraId="06356D26" w14:textId="4130880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26.755.004.136</w:t>
            </w:r>
          </w:p>
        </w:tc>
        <w:tc>
          <w:tcPr>
            <w:tcW w:w="1701" w:type="dxa"/>
            <w:tcBorders>
              <w:top w:val="nil"/>
              <w:left w:val="nil"/>
              <w:bottom w:val="nil"/>
              <w:right w:val="nil"/>
            </w:tcBorders>
            <w:tcMar>
              <w:top w:w="15" w:type="dxa"/>
              <w:left w:w="15" w:type="dxa"/>
              <w:right w:w="15" w:type="dxa"/>
            </w:tcMar>
            <w:vAlign w:val="bottom"/>
          </w:tcPr>
          <w:p w14:paraId="398CF564" w14:textId="23FBD86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624.914.897</w:t>
            </w:r>
          </w:p>
        </w:tc>
        <w:tc>
          <w:tcPr>
            <w:tcW w:w="1897" w:type="dxa"/>
            <w:tcBorders>
              <w:top w:val="nil"/>
              <w:left w:val="nil"/>
              <w:bottom w:val="nil"/>
              <w:right w:val="nil"/>
            </w:tcBorders>
            <w:tcMar>
              <w:top w:w="15" w:type="dxa"/>
              <w:left w:w="15" w:type="dxa"/>
              <w:right w:w="15" w:type="dxa"/>
            </w:tcMar>
            <w:vAlign w:val="bottom"/>
          </w:tcPr>
          <w:p w14:paraId="650067E8" w14:textId="00DD8CD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49.902.559.742</w:t>
            </w:r>
          </w:p>
        </w:tc>
      </w:tr>
      <w:tr w:rsidR="3BC43353" w14:paraId="192FE177"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0539C843" w14:textId="35C9B0B9"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Arauca</w:t>
            </w:r>
          </w:p>
        </w:tc>
        <w:tc>
          <w:tcPr>
            <w:tcW w:w="1834" w:type="dxa"/>
            <w:tcBorders>
              <w:top w:val="nil"/>
              <w:left w:val="nil"/>
              <w:bottom w:val="nil"/>
              <w:right w:val="nil"/>
            </w:tcBorders>
            <w:tcMar>
              <w:top w:w="15" w:type="dxa"/>
              <w:left w:w="15" w:type="dxa"/>
              <w:right w:w="15" w:type="dxa"/>
            </w:tcMar>
            <w:vAlign w:val="bottom"/>
          </w:tcPr>
          <w:p w14:paraId="25CB18E7" w14:textId="134039A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2.306.051.134</w:t>
            </w:r>
          </w:p>
        </w:tc>
        <w:tc>
          <w:tcPr>
            <w:tcW w:w="1657" w:type="dxa"/>
            <w:tcBorders>
              <w:top w:val="nil"/>
              <w:left w:val="nil"/>
              <w:bottom w:val="nil"/>
              <w:right w:val="nil"/>
            </w:tcBorders>
            <w:tcMar>
              <w:top w:w="15" w:type="dxa"/>
              <w:left w:w="15" w:type="dxa"/>
              <w:right w:w="15" w:type="dxa"/>
            </w:tcMar>
            <w:vAlign w:val="bottom"/>
          </w:tcPr>
          <w:p w14:paraId="2600F36F" w14:textId="7D03753F"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889.958.487</w:t>
            </w:r>
          </w:p>
        </w:tc>
        <w:tc>
          <w:tcPr>
            <w:tcW w:w="1701" w:type="dxa"/>
            <w:tcBorders>
              <w:top w:val="nil"/>
              <w:left w:val="nil"/>
              <w:bottom w:val="nil"/>
              <w:right w:val="nil"/>
            </w:tcBorders>
            <w:tcMar>
              <w:top w:w="15" w:type="dxa"/>
              <w:left w:w="15" w:type="dxa"/>
              <w:right w:w="15" w:type="dxa"/>
            </w:tcMar>
            <w:vAlign w:val="bottom"/>
          </w:tcPr>
          <w:p w14:paraId="6C979ED9" w14:textId="1BB51F14"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2420E505" w14:textId="00702F4C"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3.196.009.621</w:t>
            </w:r>
          </w:p>
        </w:tc>
      </w:tr>
      <w:tr w:rsidR="3BC43353" w14:paraId="0FC2DDC7"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3FEDCAD" w14:textId="76D05283" w:rsidR="3BC43353" w:rsidRDefault="48057CDC"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Atlántico</w:t>
            </w:r>
          </w:p>
        </w:tc>
        <w:tc>
          <w:tcPr>
            <w:tcW w:w="1834" w:type="dxa"/>
            <w:tcBorders>
              <w:top w:val="nil"/>
              <w:left w:val="nil"/>
              <w:bottom w:val="nil"/>
              <w:right w:val="nil"/>
            </w:tcBorders>
            <w:tcMar>
              <w:top w:w="15" w:type="dxa"/>
              <w:left w:w="15" w:type="dxa"/>
              <w:right w:w="15" w:type="dxa"/>
            </w:tcMar>
            <w:vAlign w:val="bottom"/>
          </w:tcPr>
          <w:p w14:paraId="71AA5E36" w14:textId="2CCB096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20.448.232.103</w:t>
            </w:r>
          </w:p>
        </w:tc>
        <w:tc>
          <w:tcPr>
            <w:tcW w:w="1657" w:type="dxa"/>
            <w:tcBorders>
              <w:top w:val="nil"/>
              <w:left w:val="nil"/>
              <w:bottom w:val="nil"/>
              <w:right w:val="nil"/>
            </w:tcBorders>
            <w:tcMar>
              <w:top w:w="15" w:type="dxa"/>
              <w:left w:w="15" w:type="dxa"/>
              <w:right w:w="15" w:type="dxa"/>
            </w:tcMar>
            <w:vAlign w:val="bottom"/>
          </w:tcPr>
          <w:p w14:paraId="51C14680" w14:textId="66E571C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582.000.010</w:t>
            </w:r>
          </w:p>
        </w:tc>
        <w:tc>
          <w:tcPr>
            <w:tcW w:w="1701" w:type="dxa"/>
            <w:tcBorders>
              <w:top w:val="nil"/>
              <w:left w:val="nil"/>
              <w:bottom w:val="nil"/>
              <w:right w:val="nil"/>
            </w:tcBorders>
            <w:tcMar>
              <w:top w:w="15" w:type="dxa"/>
              <w:left w:w="15" w:type="dxa"/>
              <w:right w:w="15" w:type="dxa"/>
            </w:tcMar>
            <w:vAlign w:val="bottom"/>
          </w:tcPr>
          <w:p w14:paraId="01BB81E0" w14:textId="362FDCF1"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4571397B" w14:textId="1AB7D16B"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21.030.232.113</w:t>
            </w:r>
          </w:p>
        </w:tc>
      </w:tr>
      <w:tr w:rsidR="3BC43353" w14:paraId="3F2AC254"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44737C52" w14:textId="50BAF529" w:rsidR="3BC43353" w:rsidRDefault="0CC9EF9E"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Bolívar</w:t>
            </w:r>
          </w:p>
        </w:tc>
        <w:tc>
          <w:tcPr>
            <w:tcW w:w="1834" w:type="dxa"/>
            <w:tcBorders>
              <w:top w:val="nil"/>
              <w:left w:val="nil"/>
              <w:bottom w:val="nil"/>
              <w:right w:val="nil"/>
            </w:tcBorders>
            <w:tcMar>
              <w:top w:w="15" w:type="dxa"/>
              <w:left w:w="15" w:type="dxa"/>
              <w:right w:w="15" w:type="dxa"/>
            </w:tcMar>
            <w:vAlign w:val="bottom"/>
          </w:tcPr>
          <w:p w14:paraId="20BCBB13" w14:textId="1462BC2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121.108.588.848</w:t>
            </w:r>
          </w:p>
        </w:tc>
        <w:tc>
          <w:tcPr>
            <w:tcW w:w="1657" w:type="dxa"/>
            <w:tcBorders>
              <w:top w:val="nil"/>
              <w:left w:val="nil"/>
              <w:bottom w:val="nil"/>
              <w:right w:val="nil"/>
            </w:tcBorders>
            <w:tcMar>
              <w:top w:w="15" w:type="dxa"/>
              <w:left w:w="15" w:type="dxa"/>
              <w:right w:w="15" w:type="dxa"/>
            </w:tcMar>
            <w:vAlign w:val="bottom"/>
          </w:tcPr>
          <w:p w14:paraId="42CAE4CA" w14:textId="626FE03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1.237.585.973</w:t>
            </w:r>
          </w:p>
        </w:tc>
        <w:tc>
          <w:tcPr>
            <w:tcW w:w="1701" w:type="dxa"/>
            <w:tcBorders>
              <w:top w:val="nil"/>
              <w:left w:val="nil"/>
              <w:bottom w:val="nil"/>
              <w:right w:val="nil"/>
            </w:tcBorders>
            <w:tcMar>
              <w:top w:w="15" w:type="dxa"/>
              <w:left w:w="15" w:type="dxa"/>
              <w:right w:w="15" w:type="dxa"/>
            </w:tcMar>
            <w:vAlign w:val="bottom"/>
          </w:tcPr>
          <w:p w14:paraId="2E64ED3B" w14:textId="45BBA862"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03891674" w14:textId="2427FD4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122.346.174.821</w:t>
            </w:r>
          </w:p>
        </w:tc>
      </w:tr>
      <w:tr w:rsidR="3BC43353" w14:paraId="25568F2C"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331C461C" w14:textId="039BA686" w:rsidR="3BC43353" w:rsidRDefault="655C1C50"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Boyacá</w:t>
            </w:r>
          </w:p>
        </w:tc>
        <w:tc>
          <w:tcPr>
            <w:tcW w:w="1834" w:type="dxa"/>
            <w:tcBorders>
              <w:top w:val="nil"/>
              <w:left w:val="nil"/>
              <w:bottom w:val="nil"/>
              <w:right w:val="nil"/>
            </w:tcBorders>
            <w:tcMar>
              <w:top w:w="15" w:type="dxa"/>
              <w:left w:w="15" w:type="dxa"/>
              <w:right w:w="15" w:type="dxa"/>
            </w:tcMar>
            <w:vAlign w:val="bottom"/>
          </w:tcPr>
          <w:p w14:paraId="4163BA52" w14:textId="20EC536B"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276.085.945</w:t>
            </w:r>
          </w:p>
        </w:tc>
        <w:tc>
          <w:tcPr>
            <w:tcW w:w="1657" w:type="dxa"/>
            <w:tcBorders>
              <w:top w:val="nil"/>
              <w:left w:val="nil"/>
              <w:bottom w:val="nil"/>
              <w:right w:val="nil"/>
            </w:tcBorders>
            <w:tcMar>
              <w:top w:w="15" w:type="dxa"/>
              <w:left w:w="15" w:type="dxa"/>
              <w:right w:w="15" w:type="dxa"/>
            </w:tcMar>
            <w:vAlign w:val="bottom"/>
          </w:tcPr>
          <w:p w14:paraId="54467522" w14:textId="5B41B02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1.549.866.021</w:t>
            </w:r>
          </w:p>
        </w:tc>
        <w:tc>
          <w:tcPr>
            <w:tcW w:w="1701" w:type="dxa"/>
            <w:tcBorders>
              <w:top w:val="nil"/>
              <w:left w:val="nil"/>
              <w:bottom w:val="nil"/>
              <w:right w:val="nil"/>
            </w:tcBorders>
            <w:tcMar>
              <w:top w:w="15" w:type="dxa"/>
              <w:left w:w="15" w:type="dxa"/>
              <w:right w:w="15" w:type="dxa"/>
            </w:tcMar>
            <w:vAlign w:val="bottom"/>
          </w:tcPr>
          <w:p w14:paraId="51B5ADEA" w14:textId="6B9CFF5F"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3.779.360</w:t>
            </w:r>
          </w:p>
        </w:tc>
        <w:tc>
          <w:tcPr>
            <w:tcW w:w="1897" w:type="dxa"/>
            <w:tcBorders>
              <w:top w:val="nil"/>
              <w:left w:val="nil"/>
              <w:bottom w:val="nil"/>
              <w:right w:val="nil"/>
            </w:tcBorders>
            <w:tcMar>
              <w:top w:w="15" w:type="dxa"/>
              <w:left w:w="15" w:type="dxa"/>
              <w:right w:w="15" w:type="dxa"/>
            </w:tcMar>
            <w:vAlign w:val="bottom"/>
          </w:tcPr>
          <w:p w14:paraId="1C0300EB" w14:textId="53CA725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1.829.731.326</w:t>
            </w:r>
          </w:p>
        </w:tc>
      </w:tr>
      <w:tr w:rsidR="3BC43353" w14:paraId="16201F19"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23765301" w14:textId="4EC0C0ED"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Caldas</w:t>
            </w:r>
          </w:p>
        </w:tc>
        <w:tc>
          <w:tcPr>
            <w:tcW w:w="1834" w:type="dxa"/>
            <w:tcBorders>
              <w:top w:val="nil"/>
              <w:left w:val="nil"/>
              <w:bottom w:val="nil"/>
              <w:right w:val="nil"/>
            </w:tcBorders>
            <w:tcMar>
              <w:top w:w="15" w:type="dxa"/>
              <w:left w:w="15" w:type="dxa"/>
              <w:right w:w="15" w:type="dxa"/>
            </w:tcMar>
            <w:vAlign w:val="bottom"/>
          </w:tcPr>
          <w:p w14:paraId="5305C0D8" w14:textId="1974E8D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8.223.455.728</w:t>
            </w:r>
          </w:p>
        </w:tc>
        <w:tc>
          <w:tcPr>
            <w:tcW w:w="1657" w:type="dxa"/>
            <w:tcBorders>
              <w:top w:val="nil"/>
              <w:left w:val="nil"/>
              <w:bottom w:val="nil"/>
              <w:right w:val="nil"/>
            </w:tcBorders>
            <w:tcMar>
              <w:top w:w="15" w:type="dxa"/>
              <w:left w:w="15" w:type="dxa"/>
              <w:right w:w="15" w:type="dxa"/>
            </w:tcMar>
            <w:vAlign w:val="bottom"/>
          </w:tcPr>
          <w:p w14:paraId="67E1D028" w14:textId="76DD1AC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587.270.319</w:t>
            </w:r>
          </w:p>
        </w:tc>
        <w:tc>
          <w:tcPr>
            <w:tcW w:w="1701" w:type="dxa"/>
            <w:tcBorders>
              <w:top w:val="nil"/>
              <w:left w:val="nil"/>
              <w:bottom w:val="nil"/>
              <w:right w:val="nil"/>
            </w:tcBorders>
            <w:tcMar>
              <w:top w:w="15" w:type="dxa"/>
              <w:left w:w="15" w:type="dxa"/>
              <w:right w:w="15" w:type="dxa"/>
            </w:tcMar>
            <w:vAlign w:val="bottom"/>
          </w:tcPr>
          <w:p w14:paraId="4C339DDD" w14:textId="7E376362"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29334569" w14:textId="39E82D3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8.810.726.047</w:t>
            </w:r>
          </w:p>
        </w:tc>
      </w:tr>
      <w:tr w:rsidR="3BC43353" w14:paraId="6C601EBE"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80D9C4C" w14:textId="6A25C8B5" w:rsidR="3BC43353" w:rsidRDefault="54CDC9D6"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Caquetá</w:t>
            </w:r>
          </w:p>
        </w:tc>
        <w:tc>
          <w:tcPr>
            <w:tcW w:w="1834" w:type="dxa"/>
            <w:tcBorders>
              <w:top w:val="nil"/>
              <w:left w:val="nil"/>
              <w:bottom w:val="nil"/>
              <w:right w:val="nil"/>
            </w:tcBorders>
            <w:tcMar>
              <w:top w:w="15" w:type="dxa"/>
              <w:left w:w="15" w:type="dxa"/>
              <w:right w:w="15" w:type="dxa"/>
            </w:tcMar>
            <w:vAlign w:val="bottom"/>
          </w:tcPr>
          <w:p w14:paraId="67AEC728" w14:textId="2D548B85"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4.648.885.017</w:t>
            </w:r>
          </w:p>
        </w:tc>
        <w:tc>
          <w:tcPr>
            <w:tcW w:w="1657" w:type="dxa"/>
            <w:tcBorders>
              <w:top w:val="nil"/>
              <w:left w:val="nil"/>
              <w:bottom w:val="nil"/>
              <w:right w:val="nil"/>
            </w:tcBorders>
            <w:tcMar>
              <w:top w:w="15" w:type="dxa"/>
              <w:left w:w="15" w:type="dxa"/>
              <w:right w:w="15" w:type="dxa"/>
            </w:tcMar>
            <w:vAlign w:val="bottom"/>
          </w:tcPr>
          <w:p w14:paraId="303AD568" w14:textId="6E6739D3"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103FFE9E" w14:textId="14BC9269"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388C308C" w14:textId="794C6A33"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4.648.885.017</w:t>
            </w:r>
          </w:p>
        </w:tc>
      </w:tr>
      <w:tr w:rsidR="3BC43353" w14:paraId="5F1DF04A"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65898DF" w14:textId="320044AD"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Casanare</w:t>
            </w:r>
          </w:p>
        </w:tc>
        <w:tc>
          <w:tcPr>
            <w:tcW w:w="1834" w:type="dxa"/>
            <w:tcBorders>
              <w:top w:val="nil"/>
              <w:left w:val="nil"/>
              <w:bottom w:val="nil"/>
              <w:right w:val="nil"/>
            </w:tcBorders>
            <w:tcMar>
              <w:top w:w="15" w:type="dxa"/>
              <w:left w:w="15" w:type="dxa"/>
              <w:right w:w="15" w:type="dxa"/>
            </w:tcMar>
            <w:vAlign w:val="bottom"/>
          </w:tcPr>
          <w:p w14:paraId="241A7AF5" w14:textId="1F1C7D2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9.670.126.606</w:t>
            </w:r>
          </w:p>
        </w:tc>
        <w:tc>
          <w:tcPr>
            <w:tcW w:w="1657" w:type="dxa"/>
            <w:tcBorders>
              <w:top w:val="nil"/>
              <w:left w:val="nil"/>
              <w:bottom w:val="nil"/>
              <w:right w:val="nil"/>
            </w:tcBorders>
            <w:tcMar>
              <w:top w:w="15" w:type="dxa"/>
              <w:left w:w="15" w:type="dxa"/>
              <w:right w:w="15" w:type="dxa"/>
            </w:tcMar>
            <w:vAlign w:val="bottom"/>
          </w:tcPr>
          <w:p w14:paraId="695EE47D" w14:textId="752F2C3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8.552.838.991</w:t>
            </w:r>
          </w:p>
        </w:tc>
        <w:tc>
          <w:tcPr>
            <w:tcW w:w="1701" w:type="dxa"/>
            <w:tcBorders>
              <w:top w:val="nil"/>
              <w:left w:val="nil"/>
              <w:bottom w:val="nil"/>
              <w:right w:val="nil"/>
            </w:tcBorders>
            <w:tcMar>
              <w:top w:w="15" w:type="dxa"/>
              <w:left w:w="15" w:type="dxa"/>
              <w:right w:w="15" w:type="dxa"/>
            </w:tcMar>
            <w:vAlign w:val="bottom"/>
          </w:tcPr>
          <w:p w14:paraId="6AEBDA15" w14:textId="494A2331"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6A21CEC8" w14:textId="3C8D75E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18.222.965.597</w:t>
            </w:r>
          </w:p>
        </w:tc>
      </w:tr>
      <w:tr w:rsidR="3BC43353" w14:paraId="5E49C5DA"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39963DE2" w14:textId="3D558ABF"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Cauca</w:t>
            </w:r>
          </w:p>
        </w:tc>
        <w:tc>
          <w:tcPr>
            <w:tcW w:w="1834" w:type="dxa"/>
            <w:tcBorders>
              <w:top w:val="nil"/>
              <w:left w:val="nil"/>
              <w:bottom w:val="nil"/>
              <w:right w:val="nil"/>
            </w:tcBorders>
            <w:tcMar>
              <w:top w:w="15" w:type="dxa"/>
              <w:left w:w="15" w:type="dxa"/>
              <w:right w:w="15" w:type="dxa"/>
            </w:tcMar>
            <w:vAlign w:val="bottom"/>
          </w:tcPr>
          <w:p w14:paraId="14292963" w14:textId="2B11806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10.314.970.620</w:t>
            </w:r>
          </w:p>
        </w:tc>
        <w:tc>
          <w:tcPr>
            <w:tcW w:w="1657" w:type="dxa"/>
            <w:tcBorders>
              <w:top w:val="nil"/>
              <w:left w:val="nil"/>
              <w:bottom w:val="nil"/>
              <w:right w:val="nil"/>
            </w:tcBorders>
            <w:tcMar>
              <w:top w:w="15" w:type="dxa"/>
              <w:left w:w="15" w:type="dxa"/>
              <w:right w:w="15" w:type="dxa"/>
            </w:tcMar>
            <w:vAlign w:val="bottom"/>
          </w:tcPr>
          <w:p w14:paraId="1A09DCB6" w14:textId="34D352A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1.802.936.554</w:t>
            </w:r>
          </w:p>
        </w:tc>
        <w:tc>
          <w:tcPr>
            <w:tcW w:w="1701" w:type="dxa"/>
            <w:tcBorders>
              <w:top w:val="nil"/>
              <w:left w:val="nil"/>
              <w:bottom w:val="nil"/>
              <w:right w:val="nil"/>
            </w:tcBorders>
            <w:tcMar>
              <w:top w:w="15" w:type="dxa"/>
              <w:left w:w="15" w:type="dxa"/>
              <w:right w:w="15" w:type="dxa"/>
            </w:tcMar>
            <w:vAlign w:val="bottom"/>
          </w:tcPr>
          <w:p w14:paraId="45E73345" w14:textId="68BB1C02"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32266B54" w14:textId="2CF7C6F5"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12.117.907.174</w:t>
            </w:r>
          </w:p>
        </w:tc>
      </w:tr>
      <w:tr w:rsidR="3BC43353" w14:paraId="49497890"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2392160A" w14:textId="4867AC60"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Cesar</w:t>
            </w:r>
          </w:p>
        </w:tc>
        <w:tc>
          <w:tcPr>
            <w:tcW w:w="1834" w:type="dxa"/>
            <w:tcBorders>
              <w:top w:val="nil"/>
              <w:left w:val="nil"/>
              <w:bottom w:val="nil"/>
              <w:right w:val="nil"/>
            </w:tcBorders>
            <w:tcMar>
              <w:top w:w="15" w:type="dxa"/>
              <w:left w:w="15" w:type="dxa"/>
              <w:right w:w="15" w:type="dxa"/>
            </w:tcMar>
            <w:vAlign w:val="bottom"/>
          </w:tcPr>
          <w:p w14:paraId="688CCFAF" w14:textId="6ED9015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28.657.883.095</w:t>
            </w:r>
          </w:p>
        </w:tc>
        <w:tc>
          <w:tcPr>
            <w:tcW w:w="1657" w:type="dxa"/>
            <w:tcBorders>
              <w:top w:val="nil"/>
              <w:left w:val="nil"/>
              <w:bottom w:val="nil"/>
              <w:right w:val="nil"/>
            </w:tcBorders>
            <w:tcMar>
              <w:top w:w="15" w:type="dxa"/>
              <w:left w:w="15" w:type="dxa"/>
              <w:right w:w="15" w:type="dxa"/>
            </w:tcMar>
            <w:vAlign w:val="bottom"/>
          </w:tcPr>
          <w:p w14:paraId="2D757C24" w14:textId="1225327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287.904.518</w:t>
            </w:r>
          </w:p>
        </w:tc>
        <w:tc>
          <w:tcPr>
            <w:tcW w:w="1701" w:type="dxa"/>
            <w:tcBorders>
              <w:top w:val="nil"/>
              <w:left w:val="nil"/>
              <w:bottom w:val="nil"/>
              <w:right w:val="nil"/>
            </w:tcBorders>
            <w:tcMar>
              <w:top w:w="15" w:type="dxa"/>
              <w:left w:w="15" w:type="dxa"/>
              <w:right w:w="15" w:type="dxa"/>
            </w:tcMar>
            <w:vAlign w:val="bottom"/>
          </w:tcPr>
          <w:p w14:paraId="5A4863C8" w14:textId="4D83B6F6"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355CBA71" w14:textId="5A83386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28.945.787.613</w:t>
            </w:r>
          </w:p>
        </w:tc>
      </w:tr>
      <w:tr w:rsidR="3BC43353" w14:paraId="6406B0E6"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05326F97" w14:textId="0CE7BC0B"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lastRenderedPageBreak/>
              <w:t>Choco</w:t>
            </w:r>
          </w:p>
        </w:tc>
        <w:tc>
          <w:tcPr>
            <w:tcW w:w="1834" w:type="dxa"/>
            <w:tcBorders>
              <w:top w:val="nil"/>
              <w:left w:val="nil"/>
              <w:bottom w:val="nil"/>
              <w:right w:val="nil"/>
            </w:tcBorders>
            <w:tcMar>
              <w:top w:w="15" w:type="dxa"/>
              <w:left w:w="15" w:type="dxa"/>
              <w:right w:w="15" w:type="dxa"/>
            </w:tcMar>
            <w:vAlign w:val="bottom"/>
          </w:tcPr>
          <w:p w14:paraId="24AB76B2" w14:textId="031D1A0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4.649.537.367</w:t>
            </w:r>
          </w:p>
        </w:tc>
        <w:tc>
          <w:tcPr>
            <w:tcW w:w="1657" w:type="dxa"/>
            <w:tcBorders>
              <w:top w:val="nil"/>
              <w:left w:val="nil"/>
              <w:bottom w:val="nil"/>
              <w:right w:val="nil"/>
            </w:tcBorders>
            <w:tcMar>
              <w:top w:w="15" w:type="dxa"/>
              <w:left w:w="15" w:type="dxa"/>
              <w:right w:w="15" w:type="dxa"/>
            </w:tcMar>
            <w:vAlign w:val="bottom"/>
          </w:tcPr>
          <w:p w14:paraId="56D54CD5" w14:textId="6A5D48DA"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453A5611" w14:textId="19A960F7"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590C6B48" w14:textId="0907B24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4.649.537.367</w:t>
            </w:r>
          </w:p>
        </w:tc>
      </w:tr>
      <w:tr w:rsidR="3BC43353" w14:paraId="1DD3F161"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4D7EE6D" w14:textId="4237C916" w:rsidR="3BC43353" w:rsidRDefault="334CE0E2"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Córdoba</w:t>
            </w:r>
          </w:p>
        </w:tc>
        <w:tc>
          <w:tcPr>
            <w:tcW w:w="1834" w:type="dxa"/>
            <w:tcBorders>
              <w:top w:val="nil"/>
              <w:left w:val="nil"/>
              <w:bottom w:val="nil"/>
              <w:right w:val="nil"/>
            </w:tcBorders>
            <w:tcMar>
              <w:top w:w="15" w:type="dxa"/>
              <w:left w:w="15" w:type="dxa"/>
              <w:right w:w="15" w:type="dxa"/>
            </w:tcMar>
            <w:vAlign w:val="bottom"/>
          </w:tcPr>
          <w:p w14:paraId="654BC39D" w14:textId="1E981D0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16.555.952.067</w:t>
            </w:r>
          </w:p>
        </w:tc>
        <w:tc>
          <w:tcPr>
            <w:tcW w:w="1657" w:type="dxa"/>
            <w:tcBorders>
              <w:top w:val="nil"/>
              <w:left w:val="nil"/>
              <w:bottom w:val="nil"/>
              <w:right w:val="nil"/>
            </w:tcBorders>
            <w:tcMar>
              <w:top w:w="15" w:type="dxa"/>
              <w:left w:w="15" w:type="dxa"/>
              <w:right w:w="15" w:type="dxa"/>
            </w:tcMar>
            <w:vAlign w:val="bottom"/>
          </w:tcPr>
          <w:p w14:paraId="2309008A" w14:textId="7FFFA2CD"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926.258.736</w:t>
            </w:r>
          </w:p>
        </w:tc>
        <w:tc>
          <w:tcPr>
            <w:tcW w:w="1701" w:type="dxa"/>
            <w:tcBorders>
              <w:top w:val="nil"/>
              <w:left w:val="nil"/>
              <w:bottom w:val="nil"/>
              <w:right w:val="nil"/>
            </w:tcBorders>
            <w:tcMar>
              <w:top w:w="15" w:type="dxa"/>
              <w:left w:w="15" w:type="dxa"/>
              <w:right w:w="15" w:type="dxa"/>
            </w:tcMar>
            <w:vAlign w:val="bottom"/>
          </w:tcPr>
          <w:p w14:paraId="55CD2FD7" w14:textId="187211F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1.099.017.727</w:t>
            </w:r>
          </w:p>
        </w:tc>
        <w:tc>
          <w:tcPr>
            <w:tcW w:w="1897" w:type="dxa"/>
            <w:tcBorders>
              <w:top w:val="nil"/>
              <w:left w:val="nil"/>
              <w:bottom w:val="nil"/>
              <w:right w:val="nil"/>
            </w:tcBorders>
            <w:tcMar>
              <w:top w:w="15" w:type="dxa"/>
              <w:left w:w="15" w:type="dxa"/>
              <w:right w:w="15" w:type="dxa"/>
            </w:tcMar>
            <w:vAlign w:val="bottom"/>
          </w:tcPr>
          <w:p w14:paraId="2314D30C" w14:textId="009DB6D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18.581.228.530</w:t>
            </w:r>
          </w:p>
        </w:tc>
      </w:tr>
      <w:tr w:rsidR="3BC43353" w14:paraId="4EA1506F"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5567EA9E" w14:textId="62F9CDFD"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Cundinamarca</w:t>
            </w:r>
          </w:p>
        </w:tc>
        <w:tc>
          <w:tcPr>
            <w:tcW w:w="1834" w:type="dxa"/>
            <w:tcBorders>
              <w:top w:val="nil"/>
              <w:left w:val="nil"/>
              <w:bottom w:val="nil"/>
              <w:right w:val="nil"/>
            </w:tcBorders>
            <w:tcMar>
              <w:top w:w="15" w:type="dxa"/>
              <w:left w:w="15" w:type="dxa"/>
              <w:right w:w="15" w:type="dxa"/>
            </w:tcMar>
            <w:vAlign w:val="bottom"/>
          </w:tcPr>
          <w:p w14:paraId="43C60CCC" w14:textId="60212A6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30.474.951.658</w:t>
            </w:r>
          </w:p>
        </w:tc>
        <w:tc>
          <w:tcPr>
            <w:tcW w:w="1657" w:type="dxa"/>
            <w:tcBorders>
              <w:top w:val="nil"/>
              <w:left w:val="nil"/>
              <w:bottom w:val="nil"/>
              <w:right w:val="nil"/>
            </w:tcBorders>
            <w:tcMar>
              <w:top w:w="15" w:type="dxa"/>
              <w:left w:w="15" w:type="dxa"/>
              <w:right w:w="15" w:type="dxa"/>
            </w:tcMar>
            <w:vAlign w:val="bottom"/>
          </w:tcPr>
          <w:p w14:paraId="354167ED" w14:textId="7B0F05AD"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16.762.754.692</w:t>
            </w:r>
          </w:p>
        </w:tc>
        <w:tc>
          <w:tcPr>
            <w:tcW w:w="1701" w:type="dxa"/>
            <w:tcBorders>
              <w:top w:val="nil"/>
              <w:left w:val="nil"/>
              <w:bottom w:val="nil"/>
              <w:right w:val="nil"/>
            </w:tcBorders>
            <w:tcMar>
              <w:top w:w="15" w:type="dxa"/>
              <w:left w:w="15" w:type="dxa"/>
              <w:right w:w="15" w:type="dxa"/>
            </w:tcMar>
            <w:vAlign w:val="bottom"/>
          </w:tcPr>
          <w:p w14:paraId="49E1EF30" w14:textId="71CE6BEA"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643CA8B2" w14:textId="70017B9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47.237.706.350</w:t>
            </w:r>
          </w:p>
        </w:tc>
      </w:tr>
      <w:tr w:rsidR="3BC43353" w14:paraId="7679494A"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44FCEBCB" w14:textId="23606E71"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Guaviare</w:t>
            </w:r>
          </w:p>
        </w:tc>
        <w:tc>
          <w:tcPr>
            <w:tcW w:w="1834" w:type="dxa"/>
            <w:tcBorders>
              <w:top w:val="nil"/>
              <w:left w:val="nil"/>
              <w:bottom w:val="nil"/>
              <w:right w:val="nil"/>
            </w:tcBorders>
            <w:tcMar>
              <w:top w:w="15" w:type="dxa"/>
              <w:left w:w="15" w:type="dxa"/>
              <w:right w:w="15" w:type="dxa"/>
            </w:tcMar>
            <w:vAlign w:val="bottom"/>
          </w:tcPr>
          <w:p w14:paraId="7FC15004" w14:textId="1AFE9473"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785.720.000</w:t>
            </w:r>
          </w:p>
        </w:tc>
        <w:tc>
          <w:tcPr>
            <w:tcW w:w="1657" w:type="dxa"/>
            <w:tcBorders>
              <w:top w:val="nil"/>
              <w:left w:val="nil"/>
              <w:bottom w:val="nil"/>
              <w:right w:val="nil"/>
            </w:tcBorders>
            <w:tcMar>
              <w:top w:w="15" w:type="dxa"/>
              <w:left w:w="15" w:type="dxa"/>
              <w:right w:w="15" w:type="dxa"/>
            </w:tcMar>
            <w:vAlign w:val="bottom"/>
          </w:tcPr>
          <w:p w14:paraId="290A4ACA" w14:textId="011FC39A"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041ED90C" w14:textId="1A7AD63E"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4E6DC01B" w14:textId="2A52AD93"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785.720.000</w:t>
            </w:r>
          </w:p>
        </w:tc>
      </w:tr>
      <w:tr w:rsidR="3BC43353" w14:paraId="5F3235D0"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4842091E" w14:textId="4E1CC2F4"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Huila</w:t>
            </w:r>
          </w:p>
        </w:tc>
        <w:tc>
          <w:tcPr>
            <w:tcW w:w="1834" w:type="dxa"/>
            <w:tcBorders>
              <w:top w:val="nil"/>
              <w:left w:val="nil"/>
              <w:bottom w:val="nil"/>
              <w:right w:val="nil"/>
            </w:tcBorders>
            <w:tcMar>
              <w:top w:w="15" w:type="dxa"/>
              <w:left w:w="15" w:type="dxa"/>
              <w:right w:w="15" w:type="dxa"/>
            </w:tcMar>
            <w:vAlign w:val="bottom"/>
          </w:tcPr>
          <w:p w14:paraId="6B0CF174" w14:textId="3725ACCC"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14.233.671.203</w:t>
            </w:r>
          </w:p>
        </w:tc>
        <w:tc>
          <w:tcPr>
            <w:tcW w:w="1657" w:type="dxa"/>
            <w:tcBorders>
              <w:top w:val="nil"/>
              <w:left w:val="nil"/>
              <w:bottom w:val="nil"/>
              <w:right w:val="nil"/>
            </w:tcBorders>
            <w:tcMar>
              <w:top w:w="15" w:type="dxa"/>
              <w:left w:w="15" w:type="dxa"/>
              <w:right w:w="15" w:type="dxa"/>
            </w:tcMar>
            <w:vAlign w:val="bottom"/>
          </w:tcPr>
          <w:p w14:paraId="79BB2F80" w14:textId="7003203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1.627.394.102</w:t>
            </w:r>
          </w:p>
        </w:tc>
        <w:tc>
          <w:tcPr>
            <w:tcW w:w="1701" w:type="dxa"/>
            <w:tcBorders>
              <w:top w:val="nil"/>
              <w:left w:val="nil"/>
              <w:bottom w:val="nil"/>
              <w:right w:val="nil"/>
            </w:tcBorders>
            <w:tcMar>
              <w:top w:w="15" w:type="dxa"/>
              <w:left w:w="15" w:type="dxa"/>
              <w:right w:w="15" w:type="dxa"/>
            </w:tcMar>
            <w:vAlign w:val="bottom"/>
          </w:tcPr>
          <w:p w14:paraId="75FC77D9" w14:textId="40FFD21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101.850.672</w:t>
            </w:r>
          </w:p>
        </w:tc>
        <w:tc>
          <w:tcPr>
            <w:tcW w:w="1897" w:type="dxa"/>
            <w:tcBorders>
              <w:top w:val="nil"/>
              <w:left w:val="nil"/>
              <w:bottom w:val="nil"/>
              <w:right w:val="nil"/>
            </w:tcBorders>
            <w:tcMar>
              <w:top w:w="15" w:type="dxa"/>
              <w:left w:w="15" w:type="dxa"/>
              <w:right w:w="15" w:type="dxa"/>
            </w:tcMar>
            <w:vAlign w:val="bottom"/>
          </w:tcPr>
          <w:p w14:paraId="067F7CEE" w14:textId="50329CB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15.962.915.977</w:t>
            </w:r>
          </w:p>
        </w:tc>
      </w:tr>
      <w:tr w:rsidR="3BC43353" w14:paraId="23CB7215"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C6CD7D1" w14:textId="065D5D2A"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La guajira</w:t>
            </w:r>
          </w:p>
        </w:tc>
        <w:tc>
          <w:tcPr>
            <w:tcW w:w="1834" w:type="dxa"/>
            <w:tcBorders>
              <w:top w:val="nil"/>
              <w:left w:val="nil"/>
              <w:bottom w:val="nil"/>
              <w:right w:val="nil"/>
            </w:tcBorders>
            <w:tcMar>
              <w:top w:w="15" w:type="dxa"/>
              <w:left w:w="15" w:type="dxa"/>
              <w:right w:w="15" w:type="dxa"/>
            </w:tcMar>
            <w:vAlign w:val="bottom"/>
          </w:tcPr>
          <w:p w14:paraId="5FE6EEDF" w14:textId="6AF9FFE3" w:rsidR="3BC43353" w:rsidRDefault="3BC43353" w:rsidP="449377F1">
            <w:pPr>
              <w:rPr>
                <w:rFonts w:ascii="Verdana Pro" w:eastAsia="Verdana Pro" w:hAnsi="Verdana Pro" w:cs="Verdana Pro"/>
                <w:sz w:val="20"/>
                <w:szCs w:val="20"/>
              </w:rPr>
            </w:pPr>
          </w:p>
        </w:tc>
        <w:tc>
          <w:tcPr>
            <w:tcW w:w="1657" w:type="dxa"/>
            <w:tcBorders>
              <w:top w:val="nil"/>
              <w:left w:val="nil"/>
              <w:bottom w:val="nil"/>
              <w:right w:val="nil"/>
            </w:tcBorders>
            <w:tcMar>
              <w:top w:w="15" w:type="dxa"/>
              <w:left w:w="15" w:type="dxa"/>
              <w:right w:w="15" w:type="dxa"/>
            </w:tcMar>
            <w:vAlign w:val="bottom"/>
          </w:tcPr>
          <w:p w14:paraId="201C1961" w14:textId="441C1FF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2.095.251.676</w:t>
            </w:r>
          </w:p>
        </w:tc>
        <w:tc>
          <w:tcPr>
            <w:tcW w:w="1701" w:type="dxa"/>
            <w:tcBorders>
              <w:top w:val="nil"/>
              <w:left w:val="nil"/>
              <w:bottom w:val="nil"/>
              <w:right w:val="nil"/>
            </w:tcBorders>
            <w:tcMar>
              <w:top w:w="15" w:type="dxa"/>
              <w:left w:w="15" w:type="dxa"/>
              <w:right w:w="15" w:type="dxa"/>
            </w:tcMar>
            <w:vAlign w:val="bottom"/>
          </w:tcPr>
          <w:p w14:paraId="54AA1B07" w14:textId="68CBBAEB"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518DFF51" w14:textId="1DC959FB"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2.095.251.676</w:t>
            </w:r>
          </w:p>
        </w:tc>
      </w:tr>
      <w:tr w:rsidR="3BC43353" w14:paraId="05A996F3"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2024B6EC" w14:textId="2C0715C1"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Magdalena</w:t>
            </w:r>
          </w:p>
        </w:tc>
        <w:tc>
          <w:tcPr>
            <w:tcW w:w="1834" w:type="dxa"/>
            <w:tcBorders>
              <w:top w:val="nil"/>
              <w:left w:val="nil"/>
              <w:bottom w:val="nil"/>
              <w:right w:val="nil"/>
            </w:tcBorders>
            <w:tcMar>
              <w:top w:w="15" w:type="dxa"/>
              <w:left w:w="15" w:type="dxa"/>
              <w:right w:w="15" w:type="dxa"/>
            </w:tcMar>
            <w:vAlign w:val="bottom"/>
          </w:tcPr>
          <w:p w14:paraId="1DBC4A8A" w14:textId="349D0C2F" w:rsidR="3BC43353" w:rsidRDefault="3BC43353" w:rsidP="449377F1">
            <w:pPr>
              <w:rPr>
                <w:rFonts w:ascii="Verdana Pro" w:eastAsia="Verdana Pro" w:hAnsi="Verdana Pro" w:cs="Verdana Pro"/>
                <w:sz w:val="20"/>
                <w:szCs w:val="20"/>
              </w:rPr>
            </w:pPr>
          </w:p>
        </w:tc>
        <w:tc>
          <w:tcPr>
            <w:tcW w:w="1657" w:type="dxa"/>
            <w:tcBorders>
              <w:top w:val="nil"/>
              <w:left w:val="nil"/>
              <w:bottom w:val="nil"/>
              <w:right w:val="nil"/>
            </w:tcBorders>
            <w:tcMar>
              <w:top w:w="15" w:type="dxa"/>
              <w:left w:w="15" w:type="dxa"/>
              <w:right w:w="15" w:type="dxa"/>
            </w:tcMar>
            <w:vAlign w:val="bottom"/>
          </w:tcPr>
          <w:p w14:paraId="28656E17" w14:textId="0ED146D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3.967.479.572</w:t>
            </w:r>
          </w:p>
        </w:tc>
        <w:tc>
          <w:tcPr>
            <w:tcW w:w="1701" w:type="dxa"/>
            <w:tcBorders>
              <w:top w:val="nil"/>
              <w:left w:val="nil"/>
              <w:bottom w:val="nil"/>
              <w:right w:val="nil"/>
            </w:tcBorders>
            <w:tcMar>
              <w:top w:w="15" w:type="dxa"/>
              <w:left w:w="15" w:type="dxa"/>
              <w:right w:w="15" w:type="dxa"/>
            </w:tcMar>
            <w:vAlign w:val="bottom"/>
          </w:tcPr>
          <w:p w14:paraId="643D4574" w14:textId="64FBDF61"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5600E147" w14:textId="2F3F4B43"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3.967.479.572</w:t>
            </w:r>
          </w:p>
        </w:tc>
      </w:tr>
      <w:tr w:rsidR="3BC43353" w14:paraId="6BDC259B"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3DAC481B" w14:textId="53681755"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Meta</w:t>
            </w:r>
          </w:p>
        </w:tc>
        <w:tc>
          <w:tcPr>
            <w:tcW w:w="1834" w:type="dxa"/>
            <w:tcBorders>
              <w:top w:val="nil"/>
              <w:left w:val="nil"/>
              <w:bottom w:val="nil"/>
              <w:right w:val="nil"/>
            </w:tcBorders>
            <w:tcMar>
              <w:top w:w="15" w:type="dxa"/>
              <w:left w:w="15" w:type="dxa"/>
              <w:right w:w="15" w:type="dxa"/>
            </w:tcMar>
            <w:vAlign w:val="bottom"/>
          </w:tcPr>
          <w:p w14:paraId="3B6D7C6C" w14:textId="1270157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23.795.403.604</w:t>
            </w:r>
          </w:p>
        </w:tc>
        <w:tc>
          <w:tcPr>
            <w:tcW w:w="1657" w:type="dxa"/>
            <w:tcBorders>
              <w:top w:val="nil"/>
              <w:left w:val="nil"/>
              <w:bottom w:val="nil"/>
              <w:right w:val="nil"/>
            </w:tcBorders>
            <w:tcMar>
              <w:top w:w="15" w:type="dxa"/>
              <w:left w:w="15" w:type="dxa"/>
              <w:right w:w="15" w:type="dxa"/>
            </w:tcMar>
            <w:vAlign w:val="bottom"/>
          </w:tcPr>
          <w:p w14:paraId="1AA45B80" w14:textId="625E5131"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405D0E5B" w14:textId="760AEA72"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05B9D105" w14:textId="6E0B9FD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23.795.403.604</w:t>
            </w:r>
          </w:p>
        </w:tc>
      </w:tr>
      <w:tr w:rsidR="3BC43353" w14:paraId="26672F90"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7B2CB8A" w14:textId="36D79AB6"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Nariño</w:t>
            </w:r>
          </w:p>
        </w:tc>
        <w:tc>
          <w:tcPr>
            <w:tcW w:w="1834" w:type="dxa"/>
            <w:tcBorders>
              <w:top w:val="nil"/>
              <w:left w:val="nil"/>
              <w:bottom w:val="nil"/>
              <w:right w:val="nil"/>
            </w:tcBorders>
            <w:tcMar>
              <w:top w:w="15" w:type="dxa"/>
              <w:left w:w="15" w:type="dxa"/>
              <w:right w:w="15" w:type="dxa"/>
            </w:tcMar>
            <w:vAlign w:val="bottom"/>
          </w:tcPr>
          <w:p w14:paraId="6333203A" w14:textId="6F45F7D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6.515.407.787</w:t>
            </w:r>
          </w:p>
        </w:tc>
        <w:tc>
          <w:tcPr>
            <w:tcW w:w="1657" w:type="dxa"/>
            <w:tcBorders>
              <w:top w:val="nil"/>
              <w:left w:val="nil"/>
              <w:bottom w:val="nil"/>
              <w:right w:val="nil"/>
            </w:tcBorders>
            <w:tcMar>
              <w:top w:w="15" w:type="dxa"/>
              <w:left w:w="15" w:type="dxa"/>
              <w:right w:w="15" w:type="dxa"/>
            </w:tcMar>
            <w:vAlign w:val="bottom"/>
          </w:tcPr>
          <w:p w14:paraId="1847A622" w14:textId="2F719B7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10.133.319.121</w:t>
            </w:r>
          </w:p>
        </w:tc>
        <w:tc>
          <w:tcPr>
            <w:tcW w:w="1701" w:type="dxa"/>
            <w:tcBorders>
              <w:top w:val="nil"/>
              <w:left w:val="nil"/>
              <w:bottom w:val="nil"/>
              <w:right w:val="nil"/>
            </w:tcBorders>
            <w:tcMar>
              <w:top w:w="15" w:type="dxa"/>
              <w:left w:w="15" w:type="dxa"/>
              <w:right w:w="15" w:type="dxa"/>
            </w:tcMar>
            <w:vAlign w:val="bottom"/>
          </w:tcPr>
          <w:p w14:paraId="4E4C8714" w14:textId="0ED74F3A"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0C59603D" w14:textId="5CD83DA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16.648.726.908</w:t>
            </w:r>
          </w:p>
        </w:tc>
      </w:tr>
      <w:tr w:rsidR="3BC43353" w14:paraId="7B78C76D"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6573493F" w14:textId="7CB4A6D4" w:rsidR="3BC43353" w:rsidRDefault="66C41764"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 xml:space="preserve">Norte de </w:t>
            </w:r>
            <w:r w:rsidR="4A1A366B" w:rsidRPr="449377F1">
              <w:rPr>
                <w:rFonts w:ascii="Verdana Pro" w:eastAsia="Verdana Pro" w:hAnsi="Verdana Pro" w:cs="Verdana Pro"/>
                <w:color w:val="000000" w:themeColor="text1"/>
                <w:sz w:val="18"/>
                <w:szCs w:val="18"/>
              </w:rPr>
              <w:t>Santander</w:t>
            </w:r>
          </w:p>
        </w:tc>
        <w:tc>
          <w:tcPr>
            <w:tcW w:w="1834" w:type="dxa"/>
            <w:tcBorders>
              <w:top w:val="nil"/>
              <w:left w:val="nil"/>
              <w:bottom w:val="nil"/>
              <w:right w:val="nil"/>
            </w:tcBorders>
            <w:tcMar>
              <w:top w:w="15" w:type="dxa"/>
              <w:left w:w="15" w:type="dxa"/>
              <w:right w:w="15" w:type="dxa"/>
            </w:tcMar>
            <w:vAlign w:val="bottom"/>
          </w:tcPr>
          <w:p w14:paraId="1649CFD1" w14:textId="7FF80CEC"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6.247.152.251</w:t>
            </w:r>
          </w:p>
        </w:tc>
        <w:tc>
          <w:tcPr>
            <w:tcW w:w="1657" w:type="dxa"/>
            <w:tcBorders>
              <w:top w:val="nil"/>
              <w:left w:val="nil"/>
              <w:bottom w:val="nil"/>
              <w:right w:val="nil"/>
            </w:tcBorders>
            <w:tcMar>
              <w:top w:w="15" w:type="dxa"/>
              <w:left w:w="15" w:type="dxa"/>
              <w:right w:w="15" w:type="dxa"/>
            </w:tcMar>
            <w:vAlign w:val="bottom"/>
          </w:tcPr>
          <w:p w14:paraId="0E3F1674" w14:textId="03FD6A2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537.035.157</w:t>
            </w:r>
          </w:p>
        </w:tc>
        <w:tc>
          <w:tcPr>
            <w:tcW w:w="1701" w:type="dxa"/>
            <w:tcBorders>
              <w:top w:val="nil"/>
              <w:left w:val="nil"/>
              <w:bottom w:val="nil"/>
              <w:right w:val="nil"/>
            </w:tcBorders>
            <w:tcMar>
              <w:top w:w="15" w:type="dxa"/>
              <w:left w:w="15" w:type="dxa"/>
              <w:right w:w="15" w:type="dxa"/>
            </w:tcMar>
            <w:vAlign w:val="bottom"/>
          </w:tcPr>
          <w:p w14:paraId="15566000" w14:textId="75E63CE7"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0926A9E7" w14:textId="7174124F"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6.784.187.408</w:t>
            </w:r>
          </w:p>
        </w:tc>
      </w:tr>
      <w:tr w:rsidR="3BC43353" w14:paraId="3BF6C5CE"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36E04EC7" w14:textId="4A57C960"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Putumayo</w:t>
            </w:r>
          </w:p>
        </w:tc>
        <w:tc>
          <w:tcPr>
            <w:tcW w:w="1834" w:type="dxa"/>
            <w:tcBorders>
              <w:top w:val="nil"/>
              <w:left w:val="nil"/>
              <w:bottom w:val="nil"/>
              <w:right w:val="nil"/>
            </w:tcBorders>
            <w:tcMar>
              <w:top w:w="15" w:type="dxa"/>
              <w:left w:w="15" w:type="dxa"/>
              <w:right w:w="15" w:type="dxa"/>
            </w:tcMar>
            <w:vAlign w:val="bottom"/>
          </w:tcPr>
          <w:p w14:paraId="4BE2D8DB" w14:textId="719A8FE5"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35.731.070.974</w:t>
            </w:r>
          </w:p>
        </w:tc>
        <w:tc>
          <w:tcPr>
            <w:tcW w:w="1657" w:type="dxa"/>
            <w:tcBorders>
              <w:top w:val="nil"/>
              <w:left w:val="nil"/>
              <w:bottom w:val="nil"/>
              <w:right w:val="nil"/>
            </w:tcBorders>
            <w:tcMar>
              <w:top w:w="15" w:type="dxa"/>
              <w:left w:w="15" w:type="dxa"/>
              <w:right w:w="15" w:type="dxa"/>
            </w:tcMar>
            <w:vAlign w:val="bottom"/>
          </w:tcPr>
          <w:p w14:paraId="5EBDC784" w14:textId="6C0B46E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4.045.159.132</w:t>
            </w:r>
          </w:p>
        </w:tc>
        <w:tc>
          <w:tcPr>
            <w:tcW w:w="1701" w:type="dxa"/>
            <w:tcBorders>
              <w:top w:val="nil"/>
              <w:left w:val="nil"/>
              <w:bottom w:val="nil"/>
              <w:right w:val="nil"/>
            </w:tcBorders>
            <w:tcMar>
              <w:top w:w="15" w:type="dxa"/>
              <w:left w:w="15" w:type="dxa"/>
              <w:right w:w="15" w:type="dxa"/>
            </w:tcMar>
            <w:vAlign w:val="bottom"/>
          </w:tcPr>
          <w:p w14:paraId="60D5CFCE" w14:textId="1EEF56DE"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4D17E9FA" w14:textId="6D8D44BD"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39.776.230.106</w:t>
            </w:r>
          </w:p>
        </w:tc>
      </w:tr>
      <w:tr w:rsidR="3BC43353" w14:paraId="5663A82E"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6E8D9D7A" w14:textId="2B6D0AC5" w:rsidR="3BC43353" w:rsidRDefault="3971400F"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Quindío</w:t>
            </w:r>
          </w:p>
        </w:tc>
        <w:tc>
          <w:tcPr>
            <w:tcW w:w="1834" w:type="dxa"/>
            <w:tcBorders>
              <w:top w:val="nil"/>
              <w:left w:val="nil"/>
              <w:bottom w:val="nil"/>
              <w:right w:val="nil"/>
            </w:tcBorders>
            <w:tcMar>
              <w:top w:w="15" w:type="dxa"/>
              <w:left w:w="15" w:type="dxa"/>
              <w:right w:w="15" w:type="dxa"/>
            </w:tcMar>
            <w:vAlign w:val="bottom"/>
          </w:tcPr>
          <w:p w14:paraId="5B01B58E" w14:textId="36179CE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842.766.382</w:t>
            </w:r>
          </w:p>
        </w:tc>
        <w:tc>
          <w:tcPr>
            <w:tcW w:w="1657" w:type="dxa"/>
            <w:tcBorders>
              <w:top w:val="nil"/>
              <w:left w:val="nil"/>
              <w:bottom w:val="nil"/>
              <w:right w:val="nil"/>
            </w:tcBorders>
            <w:tcMar>
              <w:top w:w="15" w:type="dxa"/>
              <w:left w:w="15" w:type="dxa"/>
              <w:right w:w="15" w:type="dxa"/>
            </w:tcMar>
            <w:vAlign w:val="bottom"/>
          </w:tcPr>
          <w:p w14:paraId="54EBFCAA" w14:textId="7FB1843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134.598.571</w:t>
            </w:r>
          </w:p>
        </w:tc>
        <w:tc>
          <w:tcPr>
            <w:tcW w:w="1701" w:type="dxa"/>
            <w:tcBorders>
              <w:top w:val="nil"/>
              <w:left w:val="nil"/>
              <w:bottom w:val="nil"/>
              <w:right w:val="nil"/>
            </w:tcBorders>
            <w:tcMar>
              <w:top w:w="15" w:type="dxa"/>
              <w:left w:w="15" w:type="dxa"/>
              <w:right w:w="15" w:type="dxa"/>
            </w:tcMar>
            <w:vAlign w:val="bottom"/>
          </w:tcPr>
          <w:p w14:paraId="17B52F02" w14:textId="58168D9D"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2E8CBF5A" w14:textId="4AE2A62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977.364.953</w:t>
            </w:r>
          </w:p>
        </w:tc>
      </w:tr>
      <w:tr w:rsidR="3BC43353" w14:paraId="25CDE891"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6E54663D" w14:textId="687937B2"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Risaralda</w:t>
            </w:r>
          </w:p>
        </w:tc>
        <w:tc>
          <w:tcPr>
            <w:tcW w:w="1834" w:type="dxa"/>
            <w:tcBorders>
              <w:top w:val="nil"/>
              <w:left w:val="nil"/>
              <w:bottom w:val="nil"/>
              <w:right w:val="nil"/>
            </w:tcBorders>
            <w:tcMar>
              <w:top w:w="15" w:type="dxa"/>
              <w:left w:w="15" w:type="dxa"/>
              <w:right w:w="15" w:type="dxa"/>
            </w:tcMar>
            <w:vAlign w:val="bottom"/>
          </w:tcPr>
          <w:p w14:paraId="1D250F7C" w14:textId="1565761B"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586.819.218</w:t>
            </w:r>
          </w:p>
        </w:tc>
        <w:tc>
          <w:tcPr>
            <w:tcW w:w="1657" w:type="dxa"/>
            <w:tcBorders>
              <w:top w:val="nil"/>
              <w:left w:val="nil"/>
              <w:bottom w:val="nil"/>
              <w:right w:val="nil"/>
            </w:tcBorders>
            <w:tcMar>
              <w:top w:w="15" w:type="dxa"/>
              <w:left w:w="15" w:type="dxa"/>
              <w:right w:w="15" w:type="dxa"/>
            </w:tcMar>
            <w:vAlign w:val="bottom"/>
          </w:tcPr>
          <w:p w14:paraId="5E553AF1" w14:textId="6A5DEFF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3.371.048.858</w:t>
            </w:r>
          </w:p>
        </w:tc>
        <w:tc>
          <w:tcPr>
            <w:tcW w:w="1701" w:type="dxa"/>
            <w:tcBorders>
              <w:top w:val="nil"/>
              <w:left w:val="nil"/>
              <w:bottom w:val="nil"/>
              <w:right w:val="nil"/>
            </w:tcBorders>
            <w:tcMar>
              <w:top w:w="15" w:type="dxa"/>
              <w:left w:w="15" w:type="dxa"/>
              <w:right w:w="15" w:type="dxa"/>
            </w:tcMar>
            <w:vAlign w:val="bottom"/>
          </w:tcPr>
          <w:p w14:paraId="7A54E486" w14:textId="73A2C5DE"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3BDBAF17" w14:textId="38D879E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3.957.868.076</w:t>
            </w:r>
          </w:p>
        </w:tc>
      </w:tr>
      <w:tr w:rsidR="3BC43353" w14:paraId="1A7705D4" w14:textId="77777777" w:rsidTr="449377F1">
        <w:trPr>
          <w:trHeight w:val="600"/>
          <w:jc w:val="center"/>
        </w:trPr>
        <w:tc>
          <w:tcPr>
            <w:tcW w:w="2301" w:type="dxa"/>
            <w:tcBorders>
              <w:top w:val="nil"/>
              <w:left w:val="nil"/>
              <w:bottom w:val="nil"/>
              <w:right w:val="nil"/>
            </w:tcBorders>
            <w:tcMar>
              <w:left w:w="15" w:type="dxa"/>
              <w:right w:w="15" w:type="dxa"/>
            </w:tcMar>
            <w:vAlign w:val="center"/>
          </w:tcPr>
          <w:p w14:paraId="24231A6A" w14:textId="0E0FB58E"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San andres, providencia y santa catalina</w:t>
            </w:r>
          </w:p>
        </w:tc>
        <w:tc>
          <w:tcPr>
            <w:tcW w:w="1834" w:type="dxa"/>
            <w:tcBorders>
              <w:top w:val="nil"/>
              <w:left w:val="nil"/>
              <w:bottom w:val="nil"/>
              <w:right w:val="nil"/>
            </w:tcBorders>
            <w:tcMar>
              <w:top w:w="15" w:type="dxa"/>
              <w:left w:w="15" w:type="dxa"/>
              <w:right w:w="15" w:type="dxa"/>
            </w:tcMar>
            <w:vAlign w:val="bottom"/>
          </w:tcPr>
          <w:p w14:paraId="515290F9" w14:textId="079C938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10.155.791.085</w:t>
            </w:r>
          </w:p>
        </w:tc>
        <w:tc>
          <w:tcPr>
            <w:tcW w:w="1657" w:type="dxa"/>
            <w:tcBorders>
              <w:top w:val="nil"/>
              <w:left w:val="nil"/>
              <w:bottom w:val="nil"/>
              <w:right w:val="nil"/>
            </w:tcBorders>
            <w:tcMar>
              <w:top w:w="15" w:type="dxa"/>
              <w:left w:w="15" w:type="dxa"/>
              <w:right w:w="15" w:type="dxa"/>
            </w:tcMar>
            <w:vAlign w:val="bottom"/>
          </w:tcPr>
          <w:p w14:paraId="52C73746" w14:textId="11DF1CF4"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3ECD12DE" w14:textId="4B09E668"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18136FDB" w14:textId="3CB07A7D"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10.155.791.085</w:t>
            </w:r>
          </w:p>
        </w:tc>
      </w:tr>
      <w:tr w:rsidR="3BC43353" w14:paraId="3D9D1B04"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0BDF0CA0" w14:textId="69DED399" w:rsidR="3BC43353" w:rsidRDefault="032190D9"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Santafé</w:t>
            </w:r>
            <w:r w:rsidR="66C41764" w:rsidRPr="449377F1">
              <w:rPr>
                <w:rFonts w:ascii="Verdana Pro" w:eastAsia="Verdana Pro" w:hAnsi="Verdana Pro" w:cs="Verdana Pro"/>
                <w:color w:val="000000" w:themeColor="text1"/>
                <w:sz w:val="18"/>
                <w:szCs w:val="18"/>
              </w:rPr>
              <w:t xml:space="preserve"> de </w:t>
            </w:r>
            <w:r w:rsidR="2C3EDE47" w:rsidRPr="449377F1">
              <w:rPr>
                <w:rFonts w:ascii="Verdana Pro" w:eastAsia="Verdana Pro" w:hAnsi="Verdana Pro" w:cs="Verdana Pro"/>
                <w:color w:val="000000" w:themeColor="text1"/>
                <w:sz w:val="18"/>
                <w:szCs w:val="18"/>
              </w:rPr>
              <w:t>Bogotá</w:t>
            </w:r>
          </w:p>
        </w:tc>
        <w:tc>
          <w:tcPr>
            <w:tcW w:w="1834" w:type="dxa"/>
            <w:tcBorders>
              <w:top w:val="nil"/>
              <w:left w:val="nil"/>
              <w:bottom w:val="nil"/>
              <w:right w:val="nil"/>
            </w:tcBorders>
            <w:tcMar>
              <w:top w:w="15" w:type="dxa"/>
              <w:left w:w="15" w:type="dxa"/>
              <w:right w:w="15" w:type="dxa"/>
            </w:tcMar>
            <w:vAlign w:val="bottom"/>
          </w:tcPr>
          <w:p w14:paraId="6ADEF72D" w14:textId="2375196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610.188.914.468</w:t>
            </w:r>
          </w:p>
        </w:tc>
        <w:tc>
          <w:tcPr>
            <w:tcW w:w="1657" w:type="dxa"/>
            <w:tcBorders>
              <w:top w:val="nil"/>
              <w:left w:val="nil"/>
              <w:bottom w:val="nil"/>
              <w:right w:val="nil"/>
            </w:tcBorders>
            <w:tcMar>
              <w:top w:w="15" w:type="dxa"/>
              <w:left w:w="15" w:type="dxa"/>
              <w:right w:w="15" w:type="dxa"/>
            </w:tcMar>
            <w:vAlign w:val="bottom"/>
          </w:tcPr>
          <w:p w14:paraId="10C00C41" w14:textId="000C37B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421.077.209.302</w:t>
            </w:r>
          </w:p>
        </w:tc>
        <w:tc>
          <w:tcPr>
            <w:tcW w:w="1701" w:type="dxa"/>
            <w:tcBorders>
              <w:top w:val="nil"/>
              <w:left w:val="nil"/>
              <w:bottom w:val="nil"/>
              <w:right w:val="nil"/>
            </w:tcBorders>
            <w:tcMar>
              <w:top w:w="15" w:type="dxa"/>
              <w:left w:w="15" w:type="dxa"/>
              <w:right w:w="15" w:type="dxa"/>
            </w:tcMar>
            <w:vAlign w:val="bottom"/>
          </w:tcPr>
          <w:p w14:paraId="3DB4A9DF" w14:textId="11AC36AA"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561.004.950.807</w:t>
            </w:r>
          </w:p>
        </w:tc>
        <w:tc>
          <w:tcPr>
            <w:tcW w:w="1897" w:type="dxa"/>
            <w:tcBorders>
              <w:top w:val="nil"/>
              <w:left w:val="nil"/>
              <w:bottom w:val="nil"/>
              <w:right w:val="nil"/>
            </w:tcBorders>
            <w:tcMar>
              <w:top w:w="15" w:type="dxa"/>
              <w:left w:w="15" w:type="dxa"/>
              <w:right w:w="15" w:type="dxa"/>
            </w:tcMar>
            <w:vAlign w:val="bottom"/>
          </w:tcPr>
          <w:p w14:paraId="62099A3E" w14:textId="0BE8D23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1.592.271.074.577</w:t>
            </w:r>
          </w:p>
        </w:tc>
      </w:tr>
      <w:tr w:rsidR="3BC43353" w14:paraId="24E01006"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163C1FB8" w14:textId="3E69343C"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Santander</w:t>
            </w:r>
          </w:p>
        </w:tc>
        <w:tc>
          <w:tcPr>
            <w:tcW w:w="1834" w:type="dxa"/>
            <w:tcBorders>
              <w:top w:val="nil"/>
              <w:left w:val="nil"/>
              <w:bottom w:val="nil"/>
              <w:right w:val="nil"/>
            </w:tcBorders>
            <w:tcMar>
              <w:top w:w="15" w:type="dxa"/>
              <w:left w:w="15" w:type="dxa"/>
              <w:right w:w="15" w:type="dxa"/>
            </w:tcMar>
            <w:vAlign w:val="bottom"/>
          </w:tcPr>
          <w:p w14:paraId="19797456" w14:textId="12ACD07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12.743.122.712</w:t>
            </w:r>
          </w:p>
        </w:tc>
        <w:tc>
          <w:tcPr>
            <w:tcW w:w="1657" w:type="dxa"/>
            <w:tcBorders>
              <w:top w:val="nil"/>
              <w:left w:val="nil"/>
              <w:bottom w:val="nil"/>
              <w:right w:val="nil"/>
            </w:tcBorders>
            <w:tcMar>
              <w:top w:w="15" w:type="dxa"/>
              <w:left w:w="15" w:type="dxa"/>
              <w:right w:w="15" w:type="dxa"/>
            </w:tcMar>
            <w:vAlign w:val="bottom"/>
          </w:tcPr>
          <w:p w14:paraId="3B086B16" w14:textId="6E887E02"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3.709.923.506</w:t>
            </w:r>
          </w:p>
        </w:tc>
        <w:tc>
          <w:tcPr>
            <w:tcW w:w="1701" w:type="dxa"/>
            <w:tcBorders>
              <w:top w:val="nil"/>
              <w:left w:val="nil"/>
              <w:bottom w:val="nil"/>
              <w:right w:val="nil"/>
            </w:tcBorders>
            <w:tcMar>
              <w:top w:w="15" w:type="dxa"/>
              <w:left w:w="15" w:type="dxa"/>
              <w:right w:w="15" w:type="dxa"/>
            </w:tcMar>
            <w:vAlign w:val="bottom"/>
          </w:tcPr>
          <w:p w14:paraId="39B34749" w14:textId="4A848560"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90.294.985</w:t>
            </w:r>
          </w:p>
        </w:tc>
        <w:tc>
          <w:tcPr>
            <w:tcW w:w="1897" w:type="dxa"/>
            <w:tcBorders>
              <w:top w:val="nil"/>
              <w:left w:val="nil"/>
              <w:bottom w:val="nil"/>
              <w:right w:val="nil"/>
            </w:tcBorders>
            <w:tcMar>
              <w:top w:w="15" w:type="dxa"/>
              <w:left w:w="15" w:type="dxa"/>
              <w:right w:w="15" w:type="dxa"/>
            </w:tcMar>
            <w:vAlign w:val="bottom"/>
          </w:tcPr>
          <w:p w14:paraId="63C25F46" w14:textId="388CAB3B"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16.543.341.203</w:t>
            </w:r>
          </w:p>
        </w:tc>
      </w:tr>
      <w:tr w:rsidR="3BC43353" w14:paraId="247ABC7A"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7DEF2FB9" w14:textId="7BA340EB"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Sucre</w:t>
            </w:r>
          </w:p>
        </w:tc>
        <w:tc>
          <w:tcPr>
            <w:tcW w:w="1834" w:type="dxa"/>
            <w:tcBorders>
              <w:top w:val="nil"/>
              <w:left w:val="nil"/>
              <w:bottom w:val="nil"/>
              <w:right w:val="nil"/>
            </w:tcBorders>
            <w:tcMar>
              <w:top w:w="15" w:type="dxa"/>
              <w:left w:w="15" w:type="dxa"/>
              <w:right w:w="15" w:type="dxa"/>
            </w:tcMar>
            <w:vAlign w:val="bottom"/>
          </w:tcPr>
          <w:p w14:paraId="3752DE56" w14:textId="20854A3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34.357.051.190</w:t>
            </w:r>
          </w:p>
        </w:tc>
        <w:tc>
          <w:tcPr>
            <w:tcW w:w="1657" w:type="dxa"/>
            <w:tcBorders>
              <w:top w:val="nil"/>
              <w:left w:val="nil"/>
              <w:bottom w:val="nil"/>
              <w:right w:val="nil"/>
            </w:tcBorders>
            <w:tcMar>
              <w:top w:w="15" w:type="dxa"/>
              <w:left w:w="15" w:type="dxa"/>
              <w:right w:w="15" w:type="dxa"/>
            </w:tcMar>
            <w:vAlign w:val="bottom"/>
          </w:tcPr>
          <w:p w14:paraId="359877FC" w14:textId="719436D7"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276.574.535</w:t>
            </w:r>
          </w:p>
        </w:tc>
        <w:tc>
          <w:tcPr>
            <w:tcW w:w="1701" w:type="dxa"/>
            <w:tcBorders>
              <w:top w:val="nil"/>
              <w:left w:val="nil"/>
              <w:bottom w:val="nil"/>
              <w:right w:val="nil"/>
            </w:tcBorders>
            <w:tcMar>
              <w:top w:w="15" w:type="dxa"/>
              <w:left w:w="15" w:type="dxa"/>
              <w:right w:w="15" w:type="dxa"/>
            </w:tcMar>
            <w:vAlign w:val="bottom"/>
          </w:tcPr>
          <w:p w14:paraId="0EF9C296" w14:textId="4FE79759"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5949725E" w14:textId="3149AFCF"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34.633.625.725</w:t>
            </w:r>
          </w:p>
        </w:tc>
      </w:tr>
      <w:tr w:rsidR="3BC43353" w14:paraId="235FB348"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6E90BBFB" w14:textId="6AEBDF8E"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Tolima</w:t>
            </w:r>
          </w:p>
        </w:tc>
        <w:tc>
          <w:tcPr>
            <w:tcW w:w="1834" w:type="dxa"/>
            <w:tcBorders>
              <w:top w:val="nil"/>
              <w:left w:val="nil"/>
              <w:bottom w:val="nil"/>
              <w:right w:val="nil"/>
            </w:tcBorders>
            <w:tcMar>
              <w:top w:w="15" w:type="dxa"/>
              <w:left w:w="15" w:type="dxa"/>
              <w:right w:w="15" w:type="dxa"/>
            </w:tcMar>
            <w:vAlign w:val="bottom"/>
          </w:tcPr>
          <w:p w14:paraId="689E5839" w14:textId="03E5C056"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26.610.464.167</w:t>
            </w:r>
          </w:p>
        </w:tc>
        <w:tc>
          <w:tcPr>
            <w:tcW w:w="1657" w:type="dxa"/>
            <w:tcBorders>
              <w:top w:val="nil"/>
              <w:left w:val="nil"/>
              <w:bottom w:val="nil"/>
              <w:right w:val="nil"/>
            </w:tcBorders>
            <w:tcMar>
              <w:top w:w="15" w:type="dxa"/>
              <w:left w:w="15" w:type="dxa"/>
              <w:right w:w="15" w:type="dxa"/>
            </w:tcMar>
            <w:vAlign w:val="bottom"/>
          </w:tcPr>
          <w:p w14:paraId="084DAA30" w14:textId="313AF565"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229.030.040</w:t>
            </w:r>
          </w:p>
        </w:tc>
        <w:tc>
          <w:tcPr>
            <w:tcW w:w="1701" w:type="dxa"/>
            <w:tcBorders>
              <w:top w:val="nil"/>
              <w:left w:val="nil"/>
              <w:bottom w:val="nil"/>
              <w:right w:val="nil"/>
            </w:tcBorders>
            <w:tcMar>
              <w:top w:w="15" w:type="dxa"/>
              <w:left w:w="15" w:type="dxa"/>
              <w:right w:w="15" w:type="dxa"/>
            </w:tcMar>
            <w:vAlign w:val="bottom"/>
          </w:tcPr>
          <w:p w14:paraId="416239F9" w14:textId="78DEFA6D"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390B9356" w14:textId="33FE5E01"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26.839.494.207</w:t>
            </w:r>
          </w:p>
        </w:tc>
      </w:tr>
      <w:tr w:rsidR="3BC43353" w14:paraId="4232578A"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50EDE2CE" w14:textId="6F9049CB"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Valle del cauca</w:t>
            </w:r>
          </w:p>
        </w:tc>
        <w:tc>
          <w:tcPr>
            <w:tcW w:w="1834" w:type="dxa"/>
            <w:tcBorders>
              <w:top w:val="nil"/>
              <w:left w:val="nil"/>
              <w:bottom w:val="nil"/>
              <w:right w:val="nil"/>
            </w:tcBorders>
            <w:tcMar>
              <w:top w:w="15" w:type="dxa"/>
              <w:left w:w="15" w:type="dxa"/>
              <w:right w:w="15" w:type="dxa"/>
            </w:tcMar>
            <w:vAlign w:val="bottom"/>
          </w:tcPr>
          <w:p w14:paraId="7955BCBE" w14:textId="5C27FD9E"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62.231.085.852</w:t>
            </w:r>
          </w:p>
        </w:tc>
        <w:tc>
          <w:tcPr>
            <w:tcW w:w="1657" w:type="dxa"/>
            <w:tcBorders>
              <w:top w:val="nil"/>
              <w:left w:val="nil"/>
              <w:bottom w:val="nil"/>
              <w:right w:val="nil"/>
            </w:tcBorders>
            <w:tcMar>
              <w:top w:w="15" w:type="dxa"/>
              <w:left w:w="15" w:type="dxa"/>
              <w:right w:w="15" w:type="dxa"/>
            </w:tcMar>
            <w:vAlign w:val="bottom"/>
          </w:tcPr>
          <w:p w14:paraId="0B2FFE87" w14:textId="02A2D974"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24.730.649.862</w:t>
            </w:r>
          </w:p>
        </w:tc>
        <w:tc>
          <w:tcPr>
            <w:tcW w:w="1701" w:type="dxa"/>
            <w:tcBorders>
              <w:top w:val="nil"/>
              <w:left w:val="nil"/>
              <w:bottom w:val="nil"/>
              <w:right w:val="nil"/>
            </w:tcBorders>
            <w:tcMar>
              <w:top w:w="15" w:type="dxa"/>
              <w:left w:w="15" w:type="dxa"/>
              <w:right w:w="15" w:type="dxa"/>
            </w:tcMar>
            <w:vAlign w:val="bottom"/>
          </w:tcPr>
          <w:p w14:paraId="750425F7" w14:textId="40B90AFB"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0C9AD60F" w14:textId="6947CA9C"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86.961.735.714</w:t>
            </w:r>
          </w:p>
        </w:tc>
      </w:tr>
      <w:tr w:rsidR="3BC43353" w14:paraId="7D7AE038" w14:textId="77777777" w:rsidTr="449377F1">
        <w:trPr>
          <w:trHeight w:val="330"/>
          <w:jc w:val="center"/>
        </w:trPr>
        <w:tc>
          <w:tcPr>
            <w:tcW w:w="2301" w:type="dxa"/>
            <w:tcBorders>
              <w:top w:val="nil"/>
              <w:left w:val="nil"/>
              <w:bottom w:val="nil"/>
              <w:right w:val="nil"/>
            </w:tcBorders>
            <w:tcMar>
              <w:left w:w="15" w:type="dxa"/>
              <w:right w:w="15" w:type="dxa"/>
            </w:tcMar>
            <w:vAlign w:val="center"/>
          </w:tcPr>
          <w:p w14:paraId="677043FF" w14:textId="00983B70" w:rsidR="3BC43353" w:rsidRDefault="644F0ED8" w:rsidP="449377F1">
            <w:pPr>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Vichada</w:t>
            </w:r>
          </w:p>
        </w:tc>
        <w:tc>
          <w:tcPr>
            <w:tcW w:w="1834" w:type="dxa"/>
            <w:tcBorders>
              <w:top w:val="nil"/>
              <w:left w:val="nil"/>
              <w:bottom w:val="nil"/>
              <w:right w:val="nil"/>
            </w:tcBorders>
            <w:tcMar>
              <w:top w:w="15" w:type="dxa"/>
              <w:left w:w="15" w:type="dxa"/>
              <w:right w:w="15" w:type="dxa"/>
            </w:tcMar>
            <w:vAlign w:val="bottom"/>
          </w:tcPr>
          <w:p w14:paraId="5315751E" w14:textId="085B96F9"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9.786.076.011</w:t>
            </w:r>
          </w:p>
        </w:tc>
        <w:tc>
          <w:tcPr>
            <w:tcW w:w="1657" w:type="dxa"/>
            <w:tcBorders>
              <w:top w:val="nil"/>
              <w:left w:val="nil"/>
              <w:bottom w:val="nil"/>
              <w:right w:val="nil"/>
            </w:tcBorders>
            <w:tcMar>
              <w:top w:w="15" w:type="dxa"/>
              <w:left w:w="15" w:type="dxa"/>
              <w:right w:w="15" w:type="dxa"/>
            </w:tcMar>
            <w:vAlign w:val="bottom"/>
          </w:tcPr>
          <w:p w14:paraId="4F24B161" w14:textId="2715406A" w:rsidR="3BC43353" w:rsidRDefault="3BC43353" w:rsidP="449377F1">
            <w:pPr>
              <w:rPr>
                <w:rFonts w:ascii="Verdana Pro" w:eastAsia="Verdana Pro" w:hAnsi="Verdana Pro" w:cs="Verdana Pro"/>
                <w:sz w:val="20"/>
                <w:szCs w:val="20"/>
              </w:rPr>
            </w:pPr>
          </w:p>
        </w:tc>
        <w:tc>
          <w:tcPr>
            <w:tcW w:w="1701" w:type="dxa"/>
            <w:tcBorders>
              <w:top w:val="nil"/>
              <w:left w:val="nil"/>
              <w:bottom w:val="nil"/>
              <w:right w:val="nil"/>
            </w:tcBorders>
            <w:tcMar>
              <w:top w:w="15" w:type="dxa"/>
              <w:left w:w="15" w:type="dxa"/>
              <w:right w:w="15" w:type="dxa"/>
            </w:tcMar>
            <w:vAlign w:val="bottom"/>
          </w:tcPr>
          <w:p w14:paraId="4ED34180" w14:textId="76A9AD23" w:rsidR="3BC43353" w:rsidRDefault="3BC43353" w:rsidP="449377F1">
            <w:pPr>
              <w:rPr>
                <w:rFonts w:ascii="Verdana Pro" w:eastAsia="Verdana Pro" w:hAnsi="Verdana Pro" w:cs="Verdana Pro"/>
                <w:sz w:val="20"/>
                <w:szCs w:val="20"/>
              </w:rPr>
            </w:pPr>
          </w:p>
        </w:tc>
        <w:tc>
          <w:tcPr>
            <w:tcW w:w="1897" w:type="dxa"/>
            <w:tcBorders>
              <w:top w:val="nil"/>
              <w:left w:val="nil"/>
              <w:bottom w:val="nil"/>
              <w:right w:val="nil"/>
            </w:tcBorders>
            <w:tcMar>
              <w:top w:w="15" w:type="dxa"/>
              <w:left w:w="15" w:type="dxa"/>
              <w:right w:w="15" w:type="dxa"/>
            </w:tcMar>
            <w:vAlign w:val="bottom"/>
          </w:tcPr>
          <w:p w14:paraId="4BD8E452" w14:textId="316A5288" w:rsidR="3BC43353" w:rsidRDefault="644F0ED8" w:rsidP="449377F1">
            <w:pPr>
              <w:jc w:val="right"/>
              <w:rPr>
                <w:rFonts w:ascii="Verdana Pro" w:eastAsia="Verdana Pro" w:hAnsi="Verdana Pro" w:cs="Verdana Pro"/>
                <w:color w:val="000000" w:themeColor="text1"/>
                <w:sz w:val="18"/>
                <w:szCs w:val="18"/>
              </w:rPr>
            </w:pPr>
            <w:r w:rsidRPr="449377F1">
              <w:rPr>
                <w:rFonts w:ascii="Verdana Pro" w:eastAsia="Verdana Pro" w:hAnsi="Verdana Pro" w:cs="Verdana Pro"/>
                <w:color w:val="000000" w:themeColor="text1"/>
                <w:sz w:val="18"/>
                <w:szCs w:val="18"/>
              </w:rPr>
              <w:t>9.786.076.011</w:t>
            </w:r>
          </w:p>
        </w:tc>
      </w:tr>
      <w:tr w:rsidR="3BC43353" w14:paraId="26083933" w14:textId="77777777" w:rsidTr="449377F1">
        <w:trPr>
          <w:trHeight w:val="330"/>
          <w:jc w:val="center"/>
        </w:trPr>
        <w:tc>
          <w:tcPr>
            <w:tcW w:w="2301" w:type="dxa"/>
            <w:tcBorders>
              <w:top w:val="single" w:sz="4" w:space="0" w:color="44B3E1"/>
              <w:left w:val="nil"/>
              <w:bottom w:val="nil"/>
              <w:right w:val="nil"/>
            </w:tcBorders>
            <w:shd w:val="clear" w:color="auto" w:fill="C0E6F5"/>
            <w:tcMar>
              <w:top w:w="15" w:type="dxa"/>
              <w:left w:w="15" w:type="dxa"/>
              <w:right w:w="15" w:type="dxa"/>
            </w:tcMar>
            <w:vAlign w:val="bottom"/>
          </w:tcPr>
          <w:p w14:paraId="0F8B702A" w14:textId="5F876C4D" w:rsidR="3BC43353" w:rsidRDefault="644F0ED8" w:rsidP="449377F1">
            <w:pPr>
              <w:rPr>
                <w:rFonts w:ascii="Verdana Pro" w:eastAsia="Verdana Pro" w:hAnsi="Verdana Pro" w:cs="Verdana Pro"/>
                <w:b/>
                <w:bCs/>
                <w:color w:val="000000" w:themeColor="text1"/>
                <w:sz w:val="18"/>
                <w:szCs w:val="18"/>
              </w:rPr>
            </w:pPr>
            <w:proofErr w:type="gramStart"/>
            <w:r w:rsidRPr="449377F1">
              <w:rPr>
                <w:rFonts w:ascii="Verdana Pro" w:eastAsia="Verdana Pro" w:hAnsi="Verdana Pro" w:cs="Verdana Pro"/>
                <w:b/>
                <w:bCs/>
                <w:color w:val="000000" w:themeColor="text1"/>
                <w:sz w:val="18"/>
                <w:szCs w:val="18"/>
              </w:rPr>
              <w:t>Total</w:t>
            </w:r>
            <w:proofErr w:type="gramEnd"/>
            <w:r w:rsidRPr="449377F1">
              <w:rPr>
                <w:rFonts w:ascii="Verdana Pro" w:eastAsia="Verdana Pro" w:hAnsi="Verdana Pro" w:cs="Verdana Pro"/>
                <w:b/>
                <w:bCs/>
                <w:color w:val="000000" w:themeColor="text1"/>
                <w:sz w:val="18"/>
                <w:szCs w:val="18"/>
              </w:rPr>
              <w:t xml:space="preserve"> general</w:t>
            </w:r>
          </w:p>
        </w:tc>
        <w:tc>
          <w:tcPr>
            <w:tcW w:w="1834" w:type="dxa"/>
            <w:tcBorders>
              <w:top w:val="single" w:sz="4" w:space="0" w:color="44B3E1"/>
              <w:left w:val="nil"/>
              <w:bottom w:val="nil"/>
              <w:right w:val="nil"/>
            </w:tcBorders>
            <w:shd w:val="clear" w:color="auto" w:fill="C0E6F5"/>
            <w:tcMar>
              <w:top w:w="15" w:type="dxa"/>
              <w:left w:w="15" w:type="dxa"/>
              <w:right w:w="15" w:type="dxa"/>
            </w:tcMar>
            <w:vAlign w:val="bottom"/>
          </w:tcPr>
          <w:p w14:paraId="04AC6857" w14:textId="18011486"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1.136.499.792.378</w:t>
            </w:r>
          </w:p>
        </w:tc>
        <w:tc>
          <w:tcPr>
            <w:tcW w:w="1657" w:type="dxa"/>
            <w:tcBorders>
              <w:top w:val="single" w:sz="4" w:space="0" w:color="44B3E1"/>
              <w:left w:val="nil"/>
              <w:bottom w:val="nil"/>
              <w:right w:val="nil"/>
            </w:tcBorders>
            <w:shd w:val="clear" w:color="auto" w:fill="C0E6F5"/>
            <w:tcMar>
              <w:top w:w="15" w:type="dxa"/>
              <w:left w:w="15" w:type="dxa"/>
              <w:right w:w="15" w:type="dxa"/>
            </w:tcMar>
            <w:vAlign w:val="bottom"/>
          </w:tcPr>
          <w:p w14:paraId="443783B5" w14:textId="511C2CA0"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544.995.011.255</w:t>
            </w:r>
          </w:p>
        </w:tc>
        <w:tc>
          <w:tcPr>
            <w:tcW w:w="1701" w:type="dxa"/>
            <w:tcBorders>
              <w:top w:val="single" w:sz="4" w:space="0" w:color="44B3E1"/>
              <w:left w:val="nil"/>
              <w:bottom w:val="nil"/>
              <w:right w:val="nil"/>
            </w:tcBorders>
            <w:shd w:val="clear" w:color="auto" w:fill="C0E6F5"/>
            <w:tcMar>
              <w:top w:w="15" w:type="dxa"/>
              <w:left w:w="15" w:type="dxa"/>
              <w:right w:w="15" w:type="dxa"/>
            </w:tcMar>
            <w:vAlign w:val="bottom"/>
          </w:tcPr>
          <w:p w14:paraId="6BDD77B0" w14:textId="64A2D57E"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562.924.808.448</w:t>
            </w:r>
          </w:p>
        </w:tc>
        <w:tc>
          <w:tcPr>
            <w:tcW w:w="1897" w:type="dxa"/>
            <w:tcBorders>
              <w:top w:val="single" w:sz="4" w:space="0" w:color="44B3E1"/>
              <w:left w:val="nil"/>
              <w:bottom w:val="nil"/>
              <w:right w:val="nil"/>
            </w:tcBorders>
            <w:shd w:val="clear" w:color="auto" w:fill="C0E6F5"/>
            <w:tcMar>
              <w:top w:w="15" w:type="dxa"/>
              <w:left w:w="15" w:type="dxa"/>
              <w:right w:w="15" w:type="dxa"/>
            </w:tcMar>
            <w:vAlign w:val="bottom"/>
          </w:tcPr>
          <w:p w14:paraId="0FB666BE" w14:textId="46BC766B" w:rsidR="3BC43353" w:rsidRDefault="7B4445E4" w:rsidP="3BCD5C0E">
            <w:pPr>
              <w:jc w:val="right"/>
              <w:rPr>
                <w:rFonts w:ascii="Verdana Pro" w:eastAsia="Verdana Pro" w:hAnsi="Verdana Pro" w:cs="Verdana Pro"/>
                <w:b/>
                <w:bCs/>
                <w:color w:val="000000" w:themeColor="text1"/>
                <w:sz w:val="16"/>
                <w:szCs w:val="16"/>
              </w:rPr>
            </w:pPr>
            <w:r w:rsidRPr="3BCD5C0E">
              <w:rPr>
                <w:rFonts w:ascii="Verdana Pro" w:eastAsia="Verdana Pro" w:hAnsi="Verdana Pro" w:cs="Verdana Pro"/>
                <w:b/>
                <w:bCs/>
                <w:color w:val="000000" w:themeColor="text1"/>
                <w:sz w:val="16"/>
                <w:szCs w:val="16"/>
              </w:rPr>
              <w:t>2.244.419.612.081</w:t>
            </w:r>
          </w:p>
        </w:tc>
      </w:tr>
    </w:tbl>
    <w:p w14:paraId="5AFF6A34" w14:textId="120EB6A6" w:rsidR="3BC43353" w:rsidRDefault="3BC43353" w:rsidP="3BCD5C0E">
      <w:pPr>
        <w:rPr>
          <w:rFonts w:ascii="Verdana Pro" w:eastAsia="Verdana Pro" w:hAnsi="Verdana Pro" w:cs="Verdana Pro"/>
        </w:rPr>
      </w:pPr>
    </w:p>
    <w:p w14:paraId="395FA424" w14:textId="5DB4F475" w:rsidR="3BC43353" w:rsidRDefault="3BC43353" w:rsidP="3BCD5C0E">
      <w:pPr>
        <w:rPr>
          <w:rFonts w:ascii="Verdana Pro" w:eastAsia="Verdana Pro" w:hAnsi="Verdana Pro" w:cs="Verdana Pro"/>
        </w:rPr>
      </w:pPr>
    </w:p>
    <w:tbl>
      <w:tblPr>
        <w:tblW w:w="9157" w:type="dxa"/>
        <w:jc w:val="center"/>
        <w:tblLayout w:type="fixed"/>
        <w:tblLook w:val="06A0" w:firstRow="1" w:lastRow="0" w:firstColumn="1" w:lastColumn="0" w:noHBand="1" w:noVBand="1"/>
      </w:tblPr>
      <w:tblGrid>
        <w:gridCol w:w="1397"/>
        <w:gridCol w:w="1743"/>
        <w:gridCol w:w="1617"/>
        <w:gridCol w:w="1685"/>
        <w:gridCol w:w="1860"/>
        <w:gridCol w:w="855"/>
      </w:tblGrid>
      <w:tr w:rsidR="20DE3AC1" w14:paraId="70DB4E7A" w14:textId="77777777" w:rsidTr="3BCD5C0E">
        <w:trPr>
          <w:trHeight w:val="600"/>
          <w:jc w:val="center"/>
        </w:trPr>
        <w:tc>
          <w:tcPr>
            <w:tcW w:w="1397" w:type="dxa"/>
            <w:tcBorders>
              <w:top w:val="nil"/>
              <w:left w:val="nil"/>
              <w:bottom w:val="single" w:sz="4" w:space="0" w:color="44B3E1"/>
              <w:right w:val="nil"/>
            </w:tcBorders>
            <w:shd w:val="clear" w:color="auto" w:fill="C0E6F5"/>
            <w:tcMar>
              <w:top w:w="15" w:type="dxa"/>
              <w:left w:w="15" w:type="dxa"/>
              <w:right w:w="15" w:type="dxa"/>
            </w:tcMar>
            <w:vAlign w:val="center"/>
          </w:tcPr>
          <w:p w14:paraId="52244183" w14:textId="5BDA96B1" w:rsidR="20DE3AC1" w:rsidRDefault="2C851D01" w:rsidP="3BCD5C0E">
            <w:pPr>
              <w:jc w:val="cente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Procesos a analizar</w:t>
            </w:r>
            <w:proofErr w:type="gramEnd"/>
          </w:p>
        </w:tc>
        <w:tc>
          <w:tcPr>
            <w:tcW w:w="1743" w:type="dxa"/>
            <w:tcBorders>
              <w:top w:val="nil"/>
              <w:left w:val="nil"/>
              <w:bottom w:val="single" w:sz="4" w:space="0" w:color="44B3E1"/>
              <w:right w:val="nil"/>
            </w:tcBorders>
            <w:shd w:val="clear" w:color="auto" w:fill="C0E6F5"/>
            <w:tcMar>
              <w:top w:w="15" w:type="dxa"/>
              <w:left w:w="15" w:type="dxa"/>
              <w:right w:w="15" w:type="dxa"/>
            </w:tcMar>
            <w:vAlign w:val="center"/>
          </w:tcPr>
          <w:p w14:paraId="3570C487" w14:textId="68986E03"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Seguridad Pública</w:t>
            </w:r>
          </w:p>
        </w:tc>
        <w:tc>
          <w:tcPr>
            <w:tcW w:w="1617" w:type="dxa"/>
            <w:tcBorders>
              <w:top w:val="nil"/>
              <w:left w:val="nil"/>
              <w:bottom w:val="single" w:sz="4" w:space="0" w:color="44B3E1"/>
              <w:right w:val="nil"/>
            </w:tcBorders>
            <w:shd w:val="clear" w:color="auto" w:fill="C0E6F5"/>
            <w:tcMar>
              <w:top w:w="15" w:type="dxa"/>
              <w:left w:w="15" w:type="dxa"/>
              <w:right w:w="15" w:type="dxa"/>
            </w:tcMar>
            <w:vAlign w:val="center"/>
          </w:tcPr>
          <w:p w14:paraId="4F5E06F3" w14:textId="58BF10F4"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Servicio Público</w:t>
            </w:r>
          </w:p>
        </w:tc>
        <w:tc>
          <w:tcPr>
            <w:tcW w:w="1685" w:type="dxa"/>
            <w:tcBorders>
              <w:top w:val="nil"/>
              <w:left w:val="nil"/>
              <w:bottom w:val="single" w:sz="4" w:space="0" w:color="44B3E1"/>
              <w:right w:val="nil"/>
            </w:tcBorders>
            <w:shd w:val="clear" w:color="auto" w:fill="C0E6F5"/>
            <w:tcMar>
              <w:top w:w="15" w:type="dxa"/>
              <w:left w:w="15" w:type="dxa"/>
              <w:right w:w="15" w:type="dxa"/>
            </w:tcMar>
            <w:vAlign w:val="center"/>
          </w:tcPr>
          <w:p w14:paraId="4A248466" w14:textId="512E8A62"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Sitios de Reclusión</w:t>
            </w:r>
          </w:p>
        </w:tc>
        <w:tc>
          <w:tcPr>
            <w:tcW w:w="1860" w:type="dxa"/>
            <w:tcBorders>
              <w:top w:val="nil"/>
              <w:left w:val="nil"/>
              <w:bottom w:val="single" w:sz="4" w:space="0" w:color="44B3E1"/>
              <w:right w:val="nil"/>
            </w:tcBorders>
            <w:shd w:val="clear" w:color="auto" w:fill="C0E6F5"/>
            <w:tcMar>
              <w:top w:w="15" w:type="dxa"/>
              <w:left w:w="15" w:type="dxa"/>
              <w:right w:w="15" w:type="dxa"/>
            </w:tcMar>
            <w:vAlign w:val="center"/>
          </w:tcPr>
          <w:p w14:paraId="02785DB0" w14:textId="0258EFAF" w:rsidR="20DE3AC1" w:rsidRDefault="2C851D01" w:rsidP="3BCD5C0E">
            <w:pPr>
              <w:jc w:val="cente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855" w:type="dxa"/>
            <w:tcBorders>
              <w:top w:val="nil"/>
              <w:left w:val="nil"/>
              <w:bottom w:val="single" w:sz="4" w:space="0" w:color="44B3E1"/>
              <w:right w:val="nil"/>
            </w:tcBorders>
            <w:shd w:val="clear" w:color="auto" w:fill="C0E6F5"/>
            <w:tcMar>
              <w:top w:w="15" w:type="dxa"/>
              <w:left w:w="15" w:type="dxa"/>
              <w:right w:w="15" w:type="dxa"/>
            </w:tcMar>
            <w:vAlign w:val="center"/>
          </w:tcPr>
          <w:p w14:paraId="1959BBED" w14:textId="2B343756"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w:t>
            </w:r>
          </w:p>
        </w:tc>
      </w:tr>
      <w:tr w:rsidR="20DE3AC1" w14:paraId="711F1CF0" w14:textId="77777777" w:rsidTr="3BCD5C0E">
        <w:trPr>
          <w:trHeight w:val="330"/>
          <w:jc w:val="center"/>
        </w:trPr>
        <w:tc>
          <w:tcPr>
            <w:tcW w:w="1397" w:type="dxa"/>
            <w:tcBorders>
              <w:top w:val="single" w:sz="4" w:space="0" w:color="44B3E1"/>
              <w:left w:val="nil"/>
              <w:bottom w:val="single" w:sz="4" w:space="0" w:color="44B3E1"/>
              <w:right w:val="nil"/>
            </w:tcBorders>
            <w:tcMar>
              <w:top w:w="15" w:type="dxa"/>
              <w:left w:w="15" w:type="dxa"/>
              <w:right w:w="15" w:type="dxa"/>
            </w:tcMar>
            <w:vAlign w:val="bottom"/>
          </w:tcPr>
          <w:p w14:paraId="271F658C" w14:textId="4F16E6B0"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No </w:t>
            </w:r>
          </w:p>
        </w:tc>
        <w:tc>
          <w:tcPr>
            <w:tcW w:w="1743" w:type="dxa"/>
            <w:tcBorders>
              <w:top w:val="single" w:sz="4" w:space="0" w:color="44B3E1"/>
              <w:left w:val="nil"/>
              <w:bottom w:val="single" w:sz="4" w:space="0" w:color="44B3E1"/>
              <w:right w:val="nil"/>
            </w:tcBorders>
            <w:tcMar>
              <w:top w:w="15" w:type="dxa"/>
              <w:left w:w="15" w:type="dxa"/>
              <w:right w:w="15" w:type="dxa"/>
            </w:tcMar>
            <w:vAlign w:val="bottom"/>
          </w:tcPr>
          <w:p w14:paraId="0726E36B" w14:textId="1D031A2F"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343</w:t>
            </w:r>
          </w:p>
        </w:tc>
        <w:tc>
          <w:tcPr>
            <w:tcW w:w="1617" w:type="dxa"/>
            <w:tcBorders>
              <w:top w:val="single" w:sz="4" w:space="0" w:color="44B3E1"/>
              <w:left w:val="nil"/>
              <w:bottom w:val="single" w:sz="4" w:space="0" w:color="44B3E1"/>
              <w:right w:val="nil"/>
            </w:tcBorders>
            <w:tcMar>
              <w:top w:w="15" w:type="dxa"/>
              <w:left w:w="15" w:type="dxa"/>
              <w:right w:w="15" w:type="dxa"/>
            </w:tcMar>
            <w:vAlign w:val="bottom"/>
          </w:tcPr>
          <w:p w14:paraId="588997B5" w14:textId="39875D9A"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104</w:t>
            </w:r>
          </w:p>
        </w:tc>
        <w:tc>
          <w:tcPr>
            <w:tcW w:w="1685" w:type="dxa"/>
            <w:tcBorders>
              <w:top w:val="single" w:sz="4" w:space="0" w:color="44B3E1"/>
              <w:left w:val="nil"/>
              <w:bottom w:val="single" w:sz="4" w:space="0" w:color="44B3E1"/>
              <w:right w:val="nil"/>
            </w:tcBorders>
            <w:tcMar>
              <w:top w:w="15" w:type="dxa"/>
              <w:left w:w="15" w:type="dxa"/>
              <w:right w:w="15" w:type="dxa"/>
            </w:tcMar>
            <w:vAlign w:val="bottom"/>
          </w:tcPr>
          <w:p w14:paraId="29C334EC" w14:textId="1195047B"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43</w:t>
            </w:r>
          </w:p>
        </w:tc>
        <w:tc>
          <w:tcPr>
            <w:tcW w:w="1860" w:type="dxa"/>
            <w:tcBorders>
              <w:top w:val="single" w:sz="4" w:space="0" w:color="44B3E1"/>
              <w:left w:val="nil"/>
              <w:bottom w:val="single" w:sz="4" w:space="0" w:color="44B3E1"/>
              <w:right w:val="nil"/>
            </w:tcBorders>
            <w:tcMar>
              <w:top w:w="15" w:type="dxa"/>
              <w:left w:w="15" w:type="dxa"/>
              <w:right w:w="15" w:type="dxa"/>
            </w:tcMar>
            <w:vAlign w:val="bottom"/>
          </w:tcPr>
          <w:p w14:paraId="58C39648" w14:textId="3708DB66"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490</w:t>
            </w:r>
          </w:p>
        </w:tc>
        <w:tc>
          <w:tcPr>
            <w:tcW w:w="855" w:type="dxa"/>
            <w:tcBorders>
              <w:top w:val="single" w:sz="4" w:space="0" w:color="44B3E1"/>
              <w:left w:val="nil"/>
              <w:bottom w:val="single" w:sz="4" w:space="0" w:color="44B3E1"/>
              <w:right w:val="nil"/>
            </w:tcBorders>
            <w:tcMar>
              <w:top w:w="15" w:type="dxa"/>
              <w:left w:w="15" w:type="dxa"/>
              <w:right w:w="15" w:type="dxa"/>
            </w:tcMar>
            <w:vAlign w:val="bottom"/>
          </w:tcPr>
          <w:p w14:paraId="7E3A9C4B" w14:textId="4EE35139"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56%</w:t>
            </w:r>
          </w:p>
        </w:tc>
      </w:tr>
      <w:tr w:rsidR="20DE3AC1" w14:paraId="4B76A695" w14:textId="77777777" w:rsidTr="3BCD5C0E">
        <w:trPr>
          <w:trHeight w:val="330"/>
          <w:jc w:val="center"/>
        </w:trPr>
        <w:tc>
          <w:tcPr>
            <w:tcW w:w="1397" w:type="dxa"/>
            <w:tcBorders>
              <w:top w:val="single" w:sz="4" w:space="0" w:color="44B3E1"/>
              <w:left w:val="nil"/>
              <w:bottom w:val="nil"/>
              <w:right w:val="nil"/>
            </w:tcBorders>
            <w:tcMar>
              <w:top w:w="15" w:type="dxa"/>
              <w:left w:w="135" w:type="dxa"/>
              <w:right w:w="15" w:type="dxa"/>
            </w:tcMar>
            <w:vAlign w:val="bottom"/>
          </w:tcPr>
          <w:p w14:paraId="6DB02A7A" w14:textId="2D70529D"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2021</w:t>
            </w:r>
          </w:p>
        </w:tc>
        <w:tc>
          <w:tcPr>
            <w:tcW w:w="1743" w:type="dxa"/>
            <w:tcBorders>
              <w:top w:val="single" w:sz="4" w:space="0" w:color="44B3E1"/>
              <w:left w:val="nil"/>
              <w:bottom w:val="nil"/>
              <w:right w:val="nil"/>
            </w:tcBorders>
            <w:tcMar>
              <w:top w:w="15" w:type="dxa"/>
              <w:left w:w="15" w:type="dxa"/>
              <w:right w:w="15" w:type="dxa"/>
            </w:tcMar>
            <w:vAlign w:val="bottom"/>
          </w:tcPr>
          <w:p w14:paraId="796B8CAE" w14:textId="69A64A68" w:rsidR="20DE3AC1" w:rsidRDefault="20DE3AC1" w:rsidP="3BCD5C0E">
            <w:pPr>
              <w:rPr>
                <w:rFonts w:ascii="Verdana Pro" w:eastAsia="Verdana Pro" w:hAnsi="Verdana Pro" w:cs="Verdana Pro"/>
              </w:rPr>
            </w:pPr>
          </w:p>
        </w:tc>
        <w:tc>
          <w:tcPr>
            <w:tcW w:w="1617" w:type="dxa"/>
            <w:tcBorders>
              <w:top w:val="single" w:sz="4" w:space="0" w:color="44B3E1"/>
              <w:left w:val="nil"/>
              <w:bottom w:val="nil"/>
              <w:right w:val="nil"/>
            </w:tcBorders>
            <w:tcMar>
              <w:top w:w="15" w:type="dxa"/>
              <w:left w:w="15" w:type="dxa"/>
              <w:right w:w="15" w:type="dxa"/>
            </w:tcMar>
            <w:vAlign w:val="bottom"/>
          </w:tcPr>
          <w:p w14:paraId="55116B1D" w14:textId="78E0333F" w:rsidR="20DE3AC1" w:rsidRDefault="20DE3AC1" w:rsidP="3BCD5C0E">
            <w:pPr>
              <w:rPr>
                <w:rFonts w:ascii="Verdana Pro" w:eastAsia="Verdana Pro" w:hAnsi="Verdana Pro" w:cs="Verdana Pro"/>
              </w:rPr>
            </w:pPr>
          </w:p>
        </w:tc>
        <w:tc>
          <w:tcPr>
            <w:tcW w:w="1685" w:type="dxa"/>
            <w:tcBorders>
              <w:top w:val="single" w:sz="4" w:space="0" w:color="44B3E1"/>
              <w:left w:val="nil"/>
              <w:bottom w:val="nil"/>
              <w:right w:val="nil"/>
            </w:tcBorders>
            <w:tcMar>
              <w:top w:w="15" w:type="dxa"/>
              <w:left w:w="15" w:type="dxa"/>
              <w:right w:w="15" w:type="dxa"/>
            </w:tcMar>
            <w:vAlign w:val="bottom"/>
          </w:tcPr>
          <w:p w14:paraId="1249CD3B" w14:textId="35AE445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14</w:t>
            </w:r>
          </w:p>
        </w:tc>
        <w:tc>
          <w:tcPr>
            <w:tcW w:w="1860" w:type="dxa"/>
            <w:tcBorders>
              <w:top w:val="single" w:sz="4" w:space="0" w:color="44B3E1"/>
              <w:left w:val="nil"/>
              <w:bottom w:val="nil"/>
              <w:right w:val="nil"/>
            </w:tcBorders>
            <w:tcMar>
              <w:top w:w="15" w:type="dxa"/>
              <w:left w:w="15" w:type="dxa"/>
              <w:right w:w="15" w:type="dxa"/>
            </w:tcMar>
            <w:vAlign w:val="bottom"/>
          </w:tcPr>
          <w:p w14:paraId="5AC0807D" w14:textId="105766A7"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14</w:t>
            </w:r>
          </w:p>
        </w:tc>
        <w:tc>
          <w:tcPr>
            <w:tcW w:w="855" w:type="dxa"/>
            <w:tcBorders>
              <w:top w:val="single" w:sz="4" w:space="0" w:color="44B3E1"/>
              <w:left w:val="nil"/>
              <w:bottom w:val="nil"/>
              <w:right w:val="nil"/>
            </w:tcBorders>
            <w:tcMar>
              <w:top w:w="15" w:type="dxa"/>
              <w:left w:w="15" w:type="dxa"/>
              <w:right w:w="15" w:type="dxa"/>
            </w:tcMar>
            <w:vAlign w:val="bottom"/>
          </w:tcPr>
          <w:p w14:paraId="5C9084C6" w14:textId="62C5726A" w:rsidR="20DE3AC1" w:rsidRDefault="20DE3AC1" w:rsidP="3BCD5C0E">
            <w:pPr>
              <w:rPr>
                <w:rFonts w:ascii="Verdana Pro" w:eastAsia="Verdana Pro" w:hAnsi="Verdana Pro" w:cs="Verdana Pro"/>
              </w:rPr>
            </w:pPr>
          </w:p>
        </w:tc>
      </w:tr>
      <w:tr w:rsidR="20DE3AC1" w14:paraId="11FF6458"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1D2E1788" w14:textId="714DFFE9"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2022</w:t>
            </w:r>
          </w:p>
        </w:tc>
        <w:tc>
          <w:tcPr>
            <w:tcW w:w="1743" w:type="dxa"/>
            <w:tcBorders>
              <w:top w:val="nil"/>
              <w:left w:val="nil"/>
              <w:bottom w:val="nil"/>
              <w:right w:val="nil"/>
            </w:tcBorders>
            <w:tcMar>
              <w:top w:w="15" w:type="dxa"/>
              <w:left w:w="15" w:type="dxa"/>
              <w:right w:w="15" w:type="dxa"/>
            </w:tcMar>
            <w:vAlign w:val="bottom"/>
          </w:tcPr>
          <w:p w14:paraId="3F3EAF33" w14:textId="01B7B234"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117</w:t>
            </w:r>
          </w:p>
        </w:tc>
        <w:tc>
          <w:tcPr>
            <w:tcW w:w="1617" w:type="dxa"/>
            <w:tcBorders>
              <w:top w:val="nil"/>
              <w:left w:val="nil"/>
              <w:bottom w:val="nil"/>
              <w:right w:val="nil"/>
            </w:tcBorders>
            <w:tcMar>
              <w:top w:w="15" w:type="dxa"/>
              <w:left w:w="15" w:type="dxa"/>
              <w:right w:w="15" w:type="dxa"/>
            </w:tcMar>
            <w:vAlign w:val="bottom"/>
          </w:tcPr>
          <w:p w14:paraId="14A23ED4" w14:textId="6938FB2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51</w:t>
            </w:r>
          </w:p>
        </w:tc>
        <w:tc>
          <w:tcPr>
            <w:tcW w:w="1685" w:type="dxa"/>
            <w:tcBorders>
              <w:top w:val="nil"/>
              <w:left w:val="nil"/>
              <w:bottom w:val="nil"/>
              <w:right w:val="nil"/>
            </w:tcBorders>
            <w:tcMar>
              <w:top w:w="15" w:type="dxa"/>
              <w:left w:w="15" w:type="dxa"/>
              <w:right w:w="15" w:type="dxa"/>
            </w:tcMar>
            <w:vAlign w:val="bottom"/>
          </w:tcPr>
          <w:p w14:paraId="2FE5A80A" w14:textId="33ACB06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w:t>
            </w:r>
          </w:p>
        </w:tc>
        <w:tc>
          <w:tcPr>
            <w:tcW w:w="1860" w:type="dxa"/>
            <w:tcBorders>
              <w:top w:val="nil"/>
              <w:left w:val="nil"/>
              <w:bottom w:val="nil"/>
              <w:right w:val="nil"/>
            </w:tcBorders>
            <w:tcMar>
              <w:top w:w="15" w:type="dxa"/>
              <w:left w:w="15" w:type="dxa"/>
              <w:right w:w="15" w:type="dxa"/>
            </w:tcMar>
            <w:vAlign w:val="bottom"/>
          </w:tcPr>
          <w:p w14:paraId="0AF9FAD5" w14:textId="55C8450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190</w:t>
            </w:r>
          </w:p>
        </w:tc>
        <w:tc>
          <w:tcPr>
            <w:tcW w:w="855" w:type="dxa"/>
            <w:tcBorders>
              <w:top w:val="nil"/>
              <w:left w:val="nil"/>
              <w:bottom w:val="nil"/>
              <w:right w:val="nil"/>
            </w:tcBorders>
            <w:tcMar>
              <w:top w:w="15" w:type="dxa"/>
              <w:left w:w="15" w:type="dxa"/>
              <w:right w:w="15" w:type="dxa"/>
            </w:tcMar>
            <w:vAlign w:val="bottom"/>
          </w:tcPr>
          <w:p w14:paraId="743DF198" w14:textId="7F07460A" w:rsidR="20DE3AC1" w:rsidRDefault="20DE3AC1" w:rsidP="3BCD5C0E">
            <w:pPr>
              <w:rPr>
                <w:rFonts w:ascii="Verdana Pro" w:eastAsia="Verdana Pro" w:hAnsi="Verdana Pro" w:cs="Verdana Pro"/>
              </w:rPr>
            </w:pPr>
          </w:p>
        </w:tc>
      </w:tr>
      <w:tr w:rsidR="20DE3AC1" w14:paraId="7C54144D"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12C78D56" w14:textId="62753B69"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2023</w:t>
            </w:r>
          </w:p>
        </w:tc>
        <w:tc>
          <w:tcPr>
            <w:tcW w:w="1743" w:type="dxa"/>
            <w:tcBorders>
              <w:top w:val="nil"/>
              <w:left w:val="nil"/>
              <w:bottom w:val="nil"/>
              <w:right w:val="nil"/>
            </w:tcBorders>
            <w:tcMar>
              <w:top w:w="15" w:type="dxa"/>
              <w:left w:w="15" w:type="dxa"/>
              <w:right w:w="15" w:type="dxa"/>
            </w:tcMar>
            <w:vAlign w:val="bottom"/>
          </w:tcPr>
          <w:p w14:paraId="64CA015D" w14:textId="00E35D1F"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149</w:t>
            </w:r>
          </w:p>
        </w:tc>
        <w:tc>
          <w:tcPr>
            <w:tcW w:w="1617" w:type="dxa"/>
            <w:tcBorders>
              <w:top w:val="nil"/>
              <w:left w:val="nil"/>
              <w:bottom w:val="nil"/>
              <w:right w:val="nil"/>
            </w:tcBorders>
            <w:tcMar>
              <w:top w:w="15" w:type="dxa"/>
              <w:left w:w="15" w:type="dxa"/>
              <w:right w:w="15" w:type="dxa"/>
            </w:tcMar>
            <w:vAlign w:val="bottom"/>
          </w:tcPr>
          <w:p w14:paraId="6BB11855" w14:textId="0BDB2859"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43</w:t>
            </w:r>
          </w:p>
        </w:tc>
        <w:tc>
          <w:tcPr>
            <w:tcW w:w="1685" w:type="dxa"/>
            <w:tcBorders>
              <w:top w:val="nil"/>
              <w:left w:val="nil"/>
              <w:bottom w:val="nil"/>
              <w:right w:val="nil"/>
            </w:tcBorders>
            <w:tcMar>
              <w:top w:w="15" w:type="dxa"/>
              <w:left w:w="15" w:type="dxa"/>
              <w:right w:w="15" w:type="dxa"/>
            </w:tcMar>
            <w:vAlign w:val="bottom"/>
          </w:tcPr>
          <w:p w14:paraId="4DD4F96F" w14:textId="11F22B35"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w:t>
            </w:r>
          </w:p>
        </w:tc>
        <w:tc>
          <w:tcPr>
            <w:tcW w:w="1860" w:type="dxa"/>
            <w:tcBorders>
              <w:top w:val="nil"/>
              <w:left w:val="nil"/>
              <w:bottom w:val="nil"/>
              <w:right w:val="nil"/>
            </w:tcBorders>
            <w:tcMar>
              <w:top w:w="15" w:type="dxa"/>
              <w:left w:w="15" w:type="dxa"/>
              <w:right w:w="15" w:type="dxa"/>
            </w:tcMar>
            <w:vAlign w:val="bottom"/>
          </w:tcPr>
          <w:p w14:paraId="39351AEB" w14:textId="2B806B2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199</w:t>
            </w:r>
          </w:p>
        </w:tc>
        <w:tc>
          <w:tcPr>
            <w:tcW w:w="855" w:type="dxa"/>
            <w:tcBorders>
              <w:top w:val="nil"/>
              <w:left w:val="nil"/>
              <w:bottom w:val="nil"/>
              <w:right w:val="nil"/>
            </w:tcBorders>
            <w:tcMar>
              <w:top w:w="15" w:type="dxa"/>
              <w:left w:w="15" w:type="dxa"/>
              <w:right w:w="15" w:type="dxa"/>
            </w:tcMar>
            <w:vAlign w:val="bottom"/>
          </w:tcPr>
          <w:p w14:paraId="6F46AB47" w14:textId="701D2B9E" w:rsidR="20DE3AC1" w:rsidRDefault="20DE3AC1" w:rsidP="3BCD5C0E">
            <w:pPr>
              <w:rPr>
                <w:rFonts w:ascii="Verdana Pro" w:eastAsia="Verdana Pro" w:hAnsi="Verdana Pro" w:cs="Verdana Pro"/>
              </w:rPr>
            </w:pPr>
          </w:p>
        </w:tc>
      </w:tr>
      <w:tr w:rsidR="20DE3AC1" w14:paraId="28FE488B"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53F7CAF8" w14:textId="4FAE9E68"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2024</w:t>
            </w:r>
          </w:p>
        </w:tc>
        <w:tc>
          <w:tcPr>
            <w:tcW w:w="1743" w:type="dxa"/>
            <w:tcBorders>
              <w:top w:val="nil"/>
              <w:left w:val="nil"/>
              <w:bottom w:val="nil"/>
              <w:right w:val="nil"/>
            </w:tcBorders>
            <w:tcMar>
              <w:top w:w="15" w:type="dxa"/>
              <w:left w:w="15" w:type="dxa"/>
              <w:right w:w="15" w:type="dxa"/>
            </w:tcMar>
            <w:vAlign w:val="bottom"/>
          </w:tcPr>
          <w:p w14:paraId="6E3D4FC7" w14:textId="667679F3"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77</w:t>
            </w:r>
          </w:p>
        </w:tc>
        <w:tc>
          <w:tcPr>
            <w:tcW w:w="1617" w:type="dxa"/>
            <w:tcBorders>
              <w:top w:val="nil"/>
              <w:left w:val="nil"/>
              <w:bottom w:val="nil"/>
              <w:right w:val="nil"/>
            </w:tcBorders>
            <w:tcMar>
              <w:top w:w="15" w:type="dxa"/>
              <w:left w:w="15" w:type="dxa"/>
              <w:right w:w="15" w:type="dxa"/>
            </w:tcMar>
            <w:vAlign w:val="bottom"/>
          </w:tcPr>
          <w:p w14:paraId="75BB36CB" w14:textId="3CD4B66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10</w:t>
            </w:r>
          </w:p>
        </w:tc>
        <w:tc>
          <w:tcPr>
            <w:tcW w:w="1685" w:type="dxa"/>
            <w:tcBorders>
              <w:top w:val="nil"/>
              <w:left w:val="nil"/>
              <w:bottom w:val="nil"/>
              <w:right w:val="nil"/>
            </w:tcBorders>
            <w:tcMar>
              <w:top w:w="15" w:type="dxa"/>
              <w:left w:w="15" w:type="dxa"/>
              <w:right w:w="15" w:type="dxa"/>
            </w:tcMar>
            <w:vAlign w:val="bottom"/>
          </w:tcPr>
          <w:p w14:paraId="63955178" w14:textId="5AFD04B7" w:rsidR="20DE3AC1" w:rsidRDefault="20DE3AC1" w:rsidP="3BCD5C0E">
            <w:pPr>
              <w:rPr>
                <w:rFonts w:ascii="Verdana Pro" w:eastAsia="Verdana Pro" w:hAnsi="Verdana Pro" w:cs="Verdana Pro"/>
              </w:rPr>
            </w:pPr>
          </w:p>
        </w:tc>
        <w:tc>
          <w:tcPr>
            <w:tcW w:w="1860" w:type="dxa"/>
            <w:tcBorders>
              <w:top w:val="nil"/>
              <w:left w:val="nil"/>
              <w:bottom w:val="nil"/>
              <w:right w:val="nil"/>
            </w:tcBorders>
            <w:tcMar>
              <w:top w:w="15" w:type="dxa"/>
              <w:left w:w="15" w:type="dxa"/>
              <w:right w:w="15" w:type="dxa"/>
            </w:tcMar>
            <w:vAlign w:val="bottom"/>
          </w:tcPr>
          <w:p w14:paraId="701F95F8" w14:textId="035ECBE3"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87</w:t>
            </w:r>
          </w:p>
        </w:tc>
        <w:tc>
          <w:tcPr>
            <w:tcW w:w="855" w:type="dxa"/>
            <w:tcBorders>
              <w:top w:val="nil"/>
              <w:left w:val="nil"/>
              <w:bottom w:val="nil"/>
              <w:right w:val="nil"/>
            </w:tcBorders>
            <w:tcMar>
              <w:top w:w="15" w:type="dxa"/>
              <w:left w:w="15" w:type="dxa"/>
              <w:right w:w="15" w:type="dxa"/>
            </w:tcMar>
            <w:vAlign w:val="bottom"/>
          </w:tcPr>
          <w:p w14:paraId="7FED090B" w14:textId="16186E70" w:rsidR="20DE3AC1" w:rsidRDefault="20DE3AC1" w:rsidP="3BCD5C0E">
            <w:pPr>
              <w:rPr>
                <w:rFonts w:ascii="Verdana Pro" w:eastAsia="Verdana Pro" w:hAnsi="Verdana Pro" w:cs="Verdana Pro"/>
              </w:rPr>
            </w:pPr>
          </w:p>
        </w:tc>
      </w:tr>
      <w:tr w:rsidR="20DE3AC1" w14:paraId="58542C1A" w14:textId="77777777" w:rsidTr="3BCD5C0E">
        <w:trPr>
          <w:trHeight w:val="330"/>
          <w:jc w:val="center"/>
        </w:trPr>
        <w:tc>
          <w:tcPr>
            <w:tcW w:w="1397" w:type="dxa"/>
            <w:tcBorders>
              <w:top w:val="nil"/>
              <w:left w:val="nil"/>
              <w:bottom w:val="single" w:sz="4" w:space="0" w:color="44B3E1"/>
              <w:right w:val="nil"/>
            </w:tcBorders>
            <w:tcMar>
              <w:top w:w="15" w:type="dxa"/>
              <w:left w:w="15" w:type="dxa"/>
              <w:right w:w="15" w:type="dxa"/>
            </w:tcMar>
            <w:vAlign w:val="bottom"/>
          </w:tcPr>
          <w:p w14:paraId="18CACDBC" w14:textId="000E9C5A"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lastRenderedPageBreak/>
              <w:t xml:space="preserve"> Si </w:t>
            </w:r>
          </w:p>
        </w:tc>
        <w:tc>
          <w:tcPr>
            <w:tcW w:w="1743" w:type="dxa"/>
            <w:tcBorders>
              <w:top w:val="nil"/>
              <w:left w:val="nil"/>
              <w:bottom w:val="single" w:sz="4" w:space="0" w:color="44B3E1"/>
              <w:right w:val="nil"/>
            </w:tcBorders>
            <w:tcMar>
              <w:top w:w="15" w:type="dxa"/>
              <w:left w:w="15" w:type="dxa"/>
              <w:right w:w="15" w:type="dxa"/>
            </w:tcMar>
            <w:vAlign w:val="bottom"/>
          </w:tcPr>
          <w:p w14:paraId="739B1C23" w14:textId="4E6000B3"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265</w:t>
            </w:r>
          </w:p>
        </w:tc>
        <w:tc>
          <w:tcPr>
            <w:tcW w:w="1617" w:type="dxa"/>
            <w:tcBorders>
              <w:top w:val="nil"/>
              <w:left w:val="nil"/>
              <w:bottom w:val="single" w:sz="4" w:space="0" w:color="44B3E1"/>
              <w:right w:val="nil"/>
            </w:tcBorders>
            <w:tcMar>
              <w:top w:w="15" w:type="dxa"/>
              <w:left w:w="15" w:type="dxa"/>
              <w:right w:w="15" w:type="dxa"/>
            </w:tcMar>
            <w:vAlign w:val="bottom"/>
          </w:tcPr>
          <w:p w14:paraId="2C2940CB" w14:textId="7086FCE8"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c>
          <w:tcPr>
            <w:tcW w:w="1685" w:type="dxa"/>
            <w:tcBorders>
              <w:top w:val="nil"/>
              <w:left w:val="nil"/>
              <w:bottom w:val="single" w:sz="4" w:space="0" w:color="44B3E1"/>
              <w:right w:val="nil"/>
            </w:tcBorders>
            <w:tcMar>
              <w:top w:w="15" w:type="dxa"/>
              <w:left w:w="15" w:type="dxa"/>
              <w:right w:w="15" w:type="dxa"/>
            </w:tcMar>
            <w:vAlign w:val="bottom"/>
          </w:tcPr>
          <w:p w14:paraId="26760D79" w14:textId="186FF298"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15</w:t>
            </w:r>
          </w:p>
        </w:tc>
        <w:tc>
          <w:tcPr>
            <w:tcW w:w="1860" w:type="dxa"/>
            <w:tcBorders>
              <w:top w:val="nil"/>
              <w:left w:val="nil"/>
              <w:bottom w:val="single" w:sz="4" w:space="0" w:color="44B3E1"/>
              <w:right w:val="nil"/>
            </w:tcBorders>
            <w:tcMar>
              <w:top w:w="15" w:type="dxa"/>
              <w:left w:w="15" w:type="dxa"/>
              <w:right w:w="15" w:type="dxa"/>
            </w:tcMar>
            <w:vAlign w:val="bottom"/>
          </w:tcPr>
          <w:p w14:paraId="0CC81656" w14:textId="296F585C"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380</w:t>
            </w:r>
          </w:p>
        </w:tc>
        <w:tc>
          <w:tcPr>
            <w:tcW w:w="855" w:type="dxa"/>
            <w:tcBorders>
              <w:top w:val="nil"/>
              <w:left w:val="nil"/>
              <w:bottom w:val="single" w:sz="4" w:space="0" w:color="44B3E1"/>
              <w:right w:val="nil"/>
            </w:tcBorders>
            <w:tcMar>
              <w:top w:w="15" w:type="dxa"/>
              <w:left w:w="15" w:type="dxa"/>
              <w:right w:w="15" w:type="dxa"/>
            </w:tcMar>
            <w:vAlign w:val="bottom"/>
          </w:tcPr>
          <w:p w14:paraId="11B38A42" w14:textId="6319D9FE"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44%</w:t>
            </w:r>
          </w:p>
        </w:tc>
      </w:tr>
      <w:tr w:rsidR="20DE3AC1" w14:paraId="390BF993" w14:textId="77777777" w:rsidTr="3BCD5C0E">
        <w:trPr>
          <w:trHeight w:val="330"/>
          <w:jc w:val="center"/>
        </w:trPr>
        <w:tc>
          <w:tcPr>
            <w:tcW w:w="1397" w:type="dxa"/>
            <w:tcBorders>
              <w:top w:val="single" w:sz="4" w:space="0" w:color="44B3E1"/>
              <w:left w:val="nil"/>
              <w:bottom w:val="nil"/>
              <w:right w:val="nil"/>
            </w:tcBorders>
            <w:tcMar>
              <w:top w:w="15" w:type="dxa"/>
              <w:left w:w="135" w:type="dxa"/>
              <w:right w:w="15" w:type="dxa"/>
            </w:tcMar>
            <w:vAlign w:val="bottom"/>
          </w:tcPr>
          <w:p w14:paraId="1C58593E" w14:textId="13B90EA7"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2021</w:t>
            </w:r>
          </w:p>
        </w:tc>
        <w:tc>
          <w:tcPr>
            <w:tcW w:w="1743" w:type="dxa"/>
            <w:tcBorders>
              <w:top w:val="single" w:sz="4" w:space="0" w:color="44B3E1"/>
              <w:left w:val="nil"/>
              <w:bottom w:val="nil"/>
              <w:right w:val="nil"/>
            </w:tcBorders>
            <w:tcMar>
              <w:top w:w="15" w:type="dxa"/>
              <w:left w:w="15" w:type="dxa"/>
              <w:right w:w="15" w:type="dxa"/>
            </w:tcMar>
            <w:vAlign w:val="bottom"/>
          </w:tcPr>
          <w:p w14:paraId="5D60C6A1" w14:textId="300AA693" w:rsidR="20DE3AC1" w:rsidRDefault="20DE3AC1" w:rsidP="3BCD5C0E">
            <w:pPr>
              <w:rPr>
                <w:rFonts w:ascii="Verdana Pro" w:eastAsia="Verdana Pro" w:hAnsi="Verdana Pro" w:cs="Verdana Pro"/>
              </w:rPr>
            </w:pPr>
          </w:p>
        </w:tc>
        <w:tc>
          <w:tcPr>
            <w:tcW w:w="1617" w:type="dxa"/>
            <w:tcBorders>
              <w:top w:val="single" w:sz="4" w:space="0" w:color="44B3E1"/>
              <w:left w:val="nil"/>
              <w:bottom w:val="nil"/>
              <w:right w:val="nil"/>
            </w:tcBorders>
            <w:tcMar>
              <w:top w:w="15" w:type="dxa"/>
              <w:left w:w="15" w:type="dxa"/>
              <w:right w:w="15" w:type="dxa"/>
            </w:tcMar>
            <w:vAlign w:val="bottom"/>
          </w:tcPr>
          <w:p w14:paraId="50FA1CB5" w14:textId="6EDA3A08" w:rsidR="20DE3AC1" w:rsidRDefault="20DE3AC1" w:rsidP="3BCD5C0E">
            <w:pPr>
              <w:rPr>
                <w:rFonts w:ascii="Verdana Pro" w:eastAsia="Verdana Pro" w:hAnsi="Verdana Pro" w:cs="Verdana Pro"/>
              </w:rPr>
            </w:pPr>
          </w:p>
        </w:tc>
        <w:tc>
          <w:tcPr>
            <w:tcW w:w="1685" w:type="dxa"/>
            <w:tcBorders>
              <w:top w:val="single" w:sz="4" w:space="0" w:color="44B3E1"/>
              <w:left w:val="nil"/>
              <w:bottom w:val="nil"/>
              <w:right w:val="nil"/>
            </w:tcBorders>
            <w:tcMar>
              <w:top w:w="15" w:type="dxa"/>
              <w:left w:w="15" w:type="dxa"/>
              <w:right w:w="15" w:type="dxa"/>
            </w:tcMar>
            <w:vAlign w:val="bottom"/>
          </w:tcPr>
          <w:p w14:paraId="227102BB" w14:textId="00C0EFC8"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w:t>
            </w:r>
          </w:p>
        </w:tc>
        <w:tc>
          <w:tcPr>
            <w:tcW w:w="1860" w:type="dxa"/>
            <w:tcBorders>
              <w:top w:val="single" w:sz="4" w:space="0" w:color="44B3E1"/>
              <w:left w:val="nil"/>
              <w:bottom w:val="nil"/>
              <w:right w:val="nil"/>
            </w:tcBorders>
            <w:tcMar>
              <w:top w:w="15" w:type="dxa"/>
              <w:left w:w="15" w:type="dxa"/>
              <w:right w:w="15" w:type="dxa"/>
            </w:tcMar>
            <w:vAlign w:val="bottom"/>
          </w:tcPr>
          <w:p w14:paraId="7DE10F3A" w14:textId="4F6F743F"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w:t>
            </w:r>
          </w:p>
        </w:tc>
        <w:tc>
          <w:tcPr>
            <w:tcW w:w="855" w:type="dxa"/>
            <w:tcBorders>
              <w:top w:val="single" w:sz="4" w:space="0" w:color="44B3E1"/>
              <w:left w:val="nil"/>
              <w:bottom w:val="nil"/>
              <w:right w:val="nil"/>
            </w:tcBorders>
            <w:tcMar>
              <w:top w:w="15" w:type="dxa"/>
              <w:left w:w="15" w:type="dxa"/>
              <w:right w:w="15" w:type="dxa"/>
            </w:tcMar>
            <w:vAlign w:val="bottom"/>
          </w:tcPr>
          <w:p w14:paraId="1CB5C834" w14:textId="4A68B8AE" w:rsidR="20DE3AC1" w:rsidRDefault="20DE3AC1" w:rsidP="3BCD5C0E">
            <w:pPr>
              <w:rPr>
                <w:rFonts w:ascii="Verdana Pro" w:eastAsia="Verdana Pro" w:hAnsi="Verdana Pro" w:cs="Verdana Pro"/>
              </w:rPr>
            </w:pPr>
          </w:p>
        </w:tc>
      </w:tr>
      <w:tr w:rsidR="20DE3AC1" w14:paraId="6D7D0F18"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547760CA" w14:textId="65A79E5E"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2022</w:t>
            </w:r>
          </w:p>
        </w:tc>
        <w:tc>
          <w:tcPr>
            <w:tcW w:w="1743" w:type="dxa"/>
            <w:tcBorders>
              <w:top w:val="nil"/>
              <w:left w:val="nil"/>
              <w:bottom w:val="nil"/>
              <w:right w:val="nil"/>
            </w:tcBorders>
            <w:tcMar>
              <w:top w:w="15" w:type="dxa"/>
              <w:left w:w="15" w:type="dxa"/>
              <w:right w:w="15" w:type="dxa"/>
            </w:tcMar>
            <w:vAlign w:val="bottom"/>
          </w:tcPr>
          <w:p w14:paraId="1E024489" w14:textId="7C08C9C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57</w:t>
            </w:r>
          </w:p>
        </w:tc>
        <w:tc>
          <w:tcPr>
            <w:tcW w:w="1617" w:type="dxa"/>
            <w:tcBorders>
              <w:top w:val="nil"/>
              <w:left w:val="nil"/>
              <w:bottom w:val="nil"/>
              <w:right w:val="nil"/>
            </w:tcBorders>
            <w:tcMar>
              <w:top w:w="15" w:type="dxa"/>
              <w:left w:w="15" w:type="dxa"/>
              <w:right w:w="15" w:type="dxa"/>
            </w:tcMar>
            <w:vAlign w:val="bottom"/>
          </w:tcPr>
          <w:p w14:paraId="2050D22A" w14:textId="46924414"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44</w:t>
            </w:r>
          </w:p>
        </w:tc>
        <w:tc>
          <w:tcPr>
            <w:tcW w:w="1685" w:type="dxa"/>
            <w:tcBorders>
              <w:top w:val="nil"/>
              <w:left w:val="nil"/>
              <w:bottom w:val="nil"/>
              <w:right w:val="nil"/>
            </w:tcBorders>
            <w:tcMar>
              <w:top w:w="15" w:type="dxa"/>
              <w:left w:w="15" w:type="dxa"/>
              <w:right w:w="15" w:type="dxa"/>
            </w:tcMar>
            <w:vAlign w:val="bottom"/>
          </w:tcPr>
          <w:p w14:paraId="04A2BE79" w14:textId="3A4B3BEE"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w:t>
            </w:r>
          </w:p>
        </w:tc>
        <w:tc>
          <w:tcPr>
            <w:tcW w:w="1860" w:type="dxa"/>
            <w:tcBorders>
              <w:top w:val="nil"/>
              <w:left w:val="nil"/>
              <w:bottom w:val="nil"/>
              <w:right w:val="nil"/>
            </w:tcBorders>
            <w:tcMar>
              <w:top w:w="15" w:type="dxa"/>
              <w:left w:w="15" w:type="dxa"/>
              <w:right w:w="15" w:type="dxa"/>
            </w:tcMar>
            <w:vAlign w:val="bottom"/>
          </w:tcPr>
          <w:p w14:paraId="6AA13DE4" w14:textId="2185177A"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105</w:t>
            </w:r>
          </w:p>
        </w:tc>
        <w:tc>
          <w:tcPr>
            <w:tcW w:w="855" w:type="dxa"/>
            <w:tcBorders>
              <w:top w:val="nil"/>
              <w:left w:val="nil"/>
              <w:bottom w:val="nil"/>
              <w:right w:val="nil"/>
            </w:tcBorders>
            <w:tcMar>
              <w:top w:w="15" w:type="dxa"/>
              <w:left w:w="15" w:type="dxa"/>
              <w:right w:w="15" w:type="dxa"/>
            </w:tcMar>
            <w:vAlign w:val="bottom"/>
          </w:tcPr>
          <w:p w14:paraId="64E4F474" w14:textId="1DD3A4B3" w:rsidR="20DE3AC1" w:rsidRDefault="20DE3AC1" w:rsidP="3BCD5C0E">
            <w:pPr>
              <w:rPr>
                <w:rFonts w:ascii="Verdana Pro" w:eastAsia="Verdana Pro" w:hAnsi="Verdana Pro" w:cs="Verdana Pro"/>
              </w:rPr>
            </w:pPr>
          </w:p>
        </w:tc>
      </w:tr>
      <w:tr w:rsidR="20DE3AC1" w14:paraId="2EAA38F6"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29D23A72" w14:textId="6162AF3A"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2023</w:t>
            </w:r>
          </w:p>
        </w:tc>
        <w:tc>
          <w:tcPr>
            <w:tcW w:w="1743" w:type="dxa"/>
            <w:tcBorders>
              <w:top w:val="nil"/>
              <w:left w:val="nil"/>
              <w:bottom w:val="nil"/>
              <w:right w:val="nil"/>
            </w:tcBorders>
            <w:tcMar>
              <w:top w:w="15" w:type="dxa"/>
              <w:left w:w="15" w:type="dxa"/>
              <w:right w:w="15" w:type="dxa"/>
            </w:tcMar>
            <w:vAlign w:val="bottom"/>
          </w:tcPr>
          <w:p w14:paraId="1F9013AE" w14:textId="59D1C735"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136</w:t>
            </w:r>
          </w:p>
        </w:tc>
        <w:tc>
          <w:tcPr>
            <w:tcW w:w="1617" w:type="dxa"/>
            <w:tcBorders>
              <w:top w:val="nil"/>
              <w:left w:val="nil"/>
              <w:bottom w:val="nil"/>
              <w:right w:val="nil"/>
            </w:tcBorders>
            <w:tcMar>
              <w:top w:w="15" w:type="dxa"/>
              <w:left w:w="15" w:type="dxa"/>
              <w:right w:w="15" w:type="dxa"/>
            </w:tcMar>
            <w:vAlign w:val="bottom"/>
          </w:tcPr>
          <w:p w14:paraId="5C66E83C" w14:textId="76EAE002"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45</w:t>
            </w:r>
          </w:p>
        </w:tc>
        <w:tc>
          <w:tcPr>
            <w:tcW w:w="1685" w:type="dxa"/>
            <w:tcBorders>
              <w:top w:val="nil"/>
              <w:left w:val="nil"/>
              <w:bottom w:val="nil"/>
              <w:right w:val="nil"/>
            </w:tcBorders>
            <w:tcMar>
              <w:top w:w="15" w:type="dxa"/>
              <w:left w:w="15" w:type="dxa"/>
              <w:right w:w="15" w:type="dxa"/>
            </w:tcMar>
            <w:vAlign w:val="bottom"/>
          </w:tcPr>
          <w:p w14:paraId="0AD33F42" w14:textId="227C675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w:t>
            </w:r>
          </w:p>
        </w:tc>
        <w:tc>
          <w:tcPr>
            <w:tcW w:w="1860" w:type="dxa"/>
            <w:tcBorders>
              <w:top w:val="nil"/>
              <w:left w:val="nil"/>
              <w:bottom w:val="nil"/>
              <w:right w:val="nil"/>
            </w:tcBorders>
            <w:tcMar>
              <w:top w:w="15" w:type="dxa"/>
              <w:left w:w="15" w:type="dxa"/>
              <w:right w:w="15" w:type="dxa"/>
            </w:tcMar>
            <w:vAlign w:val="bottom"/>
          </w:tcPr>
          <w:p w14:paraId="52A6D02F" w14:textId="2EDBB496"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187</w:t>
            </w:r>
          </w:p>
        </w:tc>
        <w:tc>
          <w:tcPr>
            <w:tcW w:w="855" w:type="dxa"/>
            <w:tcBorders>
              <w:top w:val="nil"/>
              <w:left w:val="nil"/>
              <w:bottom w:val="nil"/>
              <w:right w:val="nil"/>
            </w:tcBorders>
            <w:tcMar>
              <w:top w:w="15" w:type="dxa"/>
              <w:left w:w="15" w:type="dxa"/>
              <w:right w:w="15" w:type="dxa"/>
            </w:tcMar>
            <w:vAlign w:val="bottom"/>
          </w:tcPr>
          <w:p w14:paraId="787AAC9D" w14:textId="2A6180AE" w:rsidR="20DE3AC1" w:rsidRDefault="20DE3AC1" w:rsidP="3BCD5C0E">
            <w:pPr>
              <w:rPr>
                <w:rFonts w:ascii="Verdana Pro" w:eastAsia="Verdana Pro" w:hAnsi="Verdana Pro" w:cs="Verdana Pro"/>
              </w:rPr>
            </w:pPr>
          </w:p>
        </w:tc>
      </w:tr>
      <w:tr w:rsidR="20DE3AC1" w14:paraId="4732DC0A" w14:textId="77777777" w:rsidTr="3BCD5C0E">
        <w:trPr>
          <w:trHeight w:val="330"/>
          <w:jc w:val="center"/>
        </w:trPr>
        <w:tc>
          <w:tcPr>
            <w:tcW w:w="1397" w:type="dxa"/>
            <w:tcBorders>
              <w:top w:val="nil"/>
              <w:left w:val="nil"/>
              <w:bottom w:val="nil"/>
              <w:right w:val="nil"/>
            </w:tcBorders>
            <w:tcMar>
              <w:top w:w="15" w:type="dxa"/>
              <w:left w:w="135" w:type="dxa"/>
              <w:right w:w="15" w:type="dxa"/>
            </w:tcMar>
            <w:vAlign w:val="bottom"/>
          </w:tcPr>
          <w:p w14:paraId="36C16EDB" w14:textId="30AB263F"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2024</w:t>
            </w:r>
          </w:p>
        </w:tc>
        <w:tc>
          <w:tcPr>
            <w:tcW w:w="1743" w:type="dxa"/>
            <w:tcBorders>
              <w:top w:val="nil"/>
              <w:left w:val="nil"/>
              <w:bottom w:val="nil"/>
              <w:right w:val="nil"/>
            </w:tcBorders>
            <w:tcMar>
              <w:top w:w="15" w:type="dxa"/>
              <w:left w:w="15" w:type="dxa"/>
              <w:right w:w="15" w:type="dxa"/>
            </w:tcMar>
            <w:vAlign w:val="bottom"/>
          </w:tcPr>
          <w:p w14:paraId="48F34394" w14:textId="59B196F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72</w:t>
            </w:r>
          </w:p>
        </w:tc>
        <w:tc>
          <w:tcPr>
            <w:tcW w:w="1617" w:type="dxa"/>
            <w:tcBorders>
              <w:top w:val="nil"/>
              <w:left w:val="nil"/>
              <w:bottom w:val="nil"/>
              <w:right w:val="nil"/>
            </w:tcBorders>
            <w:tcMar>
              <w:top w:w="15" w:type="dxa"/>
              <w:left w:w="15" w:type="dxa"/>
              <w:right w:w="15" w:type="dxa"/>
            </w:tcMar>
            <w:vAlign w:val="bottom"/>
          </w:tcPr>
          <w:p w14:paraId="63F7A71D" w14:textId="174BCC04"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11</w:t>
            </w:r>
          </w:p>
        </w:tc>
        <w:tc>
          <w:tcPr>
            <w:tcW w:w="1685" w:type="dxa"/>
            <w:tcBorders>
              <w:top w:val="nil"/>
              <w:left w:val="nil"/>
              <w:bottom w:val="nil"/>
              <w:right w:val="nil"/>
            </w:tcBorders>
            <w:tcMar>
              <w:top w:w="15" w:type="dxa"/>
              <w:left w:w="15" w:type="dxa"/>
              <w:right w:w="15" w:type="dxa"/>
            </w:tcMar>
            <w:vAlign w:val="bottom"/>
          </w:tcPr>
          <w:p w14:paraId="30597F27" w14:textId="7F8AC288"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c>
          <w:tcPr>
            <w:tcW w:w="1860" w:type="dxa"/>
            <w:tcBorders>
              <w:top w:val="nil"/>
              <w:left w:val="nil"/>
              <w:bottom w:val="nil"/>
              <w:right w:val="nil"/>
            </w:tcBorders>
            <w:tcMar>
              <w:top w:w="15" w:type="dxa"/>
              <w:left w:w="15" w:type="dxa"/>
              <w:right w:w="15" w:type="dxa"/>
            </w:tcMar>
            <w:vAlign w:val="bottom"/>
          </w:tcPr>
          <w:p w14:paraId="481073D4" w14:textId="7F8C2D3D"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84</w:t>
            </w:r>
          </w:p>
        </w:tc>
        <w:tc>
          <w:tcPr>
            <w:tcW w:w="855" w:type="dxa"/>
            <w:tcBorders>
              <w:top w:val="nil"/>
              <w:left w:val="nil"/>
              <w:bottom w:val="nil"/>
              <w:right w:val="nil"/>
            </w:tcBorders>
            <w:tcMar>
              <w:top w:w="15" w:type="dxa"/>
              <w:left w:w="15" w:type="dxa"/>
              <w:right w:w="15" w:type="dxa"/>
            </w:tcMar>
            <w:vAlign w:val="bottom"/>
          </w:tcPr>
          <w:p w14:paraId="73DDF070" w14:textId="505E7517" w:rsidR="20DE3AC1" w:rsidRDefault="20DE3AC1" w:rsidP="3BCD5C0E">
            <w:pPr>
              <w:rPr>
                <w:rFonts w:ascii="Verdana Pro" w:eastAsia="Verdana Pro" w:hAnsi="Verdana Pro" w:cs="Verdana Pro"/>
              </w:rPr>
            </w:pPr>
          </w:p>
        </w:tc>
      </w:tr>
      <w:tr w:rsidR="20DE3AC1" w14:paraId="2E7C4D90" w14:textId="77777777" w:rsidTr="3BCD5C0E">
        <w:trPr>
          <w:trHeight w:val="330"/>
          <w:jc w:val="center"/>
        </w:trPr>
        <w:tc>
          <w:tcPr>
            <w:tcW w:w="1397" w:type="dxa"/>
            <w:tcBorders>
              <w:top w:val="single" w:sz="4" w:space="0" w:color="44B3E1"/>
              <w:left w:val="nil"/>
              <w:bottom w:val="nil"/>
              <w:right w:val="nil"/>
            </w:tcBorders>
            <w:shd w:val="clear" w:color="auto" w:fill="C0E6F5"/>
            <w:tcMar>
              <w:top w:w="15" w:type="dxa"/>
              <w:left w:w="15" w:type="dxa"/>
              <w:right w:w="15" w:type="dxa"/>
            </w:tcMar>
            <w:vAlign w:val="bottom"/>
          </w:tcPr>
          <w:p w14:paraId="3871F49D" w14:textId="49B54351"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1743" w:type="dxa"/>
            <w:tcBorders>
              <w:top w:val="single" w:sz="4" w:space="0" w:color="44B3E1"/>
              <w:left w:val="nil"/>
              <w:bottom w:val="nil"/>
              <w:right w:val="nil"/>
            </w:tcBorders>
            <w:shd w:val="clear" w:color="auto" w:fill="C0E6F5"/>
            <w:tcMar>
              <w:top w:w="15" w:type="dxa"/>
              <w:left w:w="15" w:type="dxa"/>
              <w:right w:w="15" w:type="dxa"/>
            </w:tcMar>
            <w:vAlign w:val="bottom"/>
          </w:tcPr>
          <w:p w14:paraId="6EDF7B38" w14:textId="74BF4FA9"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608</w:t>
            </w:r>
          </w:p>
        </w:tc>
        <w:tc>
          <w:tcPr>
            <w:tcW w:w="1617" w:type="dxa"/>
            <w:tcBorders>
              <w:top w:val="single" w:sz="4" w:space="0" w:color="44B3E1"/>
              <w:left w:val="nil"/>
              <w:bottom w:val="nil"/>
              <w:right w:val="nil"/>
            </w:tcBorders>
            <w:shd w:val="clear" w:color="auto" w:fill="C0E6F5"/>
            <w:tcMar>
              <w:top w:w="15" w:type="dxa"/>
              <w:left w:w="15" w:type="dxa"/>
              <w:right w:w="15" w:type="dxa"/>
            </w:tcMar>
            <w:vAlign w:val="bottom"/>
          </w:tcPr>
          <w:p w14:paraId="5252C1E2" w14:textId="3DEE456B"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204</w:t>
            </w:r>
          </w:p>
        </w:tc>
        <w:tc>
          <w:tcPr>
            <w:tcW w:w="1685" w:type="dxa"/>
            <w:tcBorders>
              <w:top w:val="single" w:sz="4" w:space="0" w:color="44B3E1"/>
              <w:left w:val="nil"/>
              <w:bottom w:val="nil"/>
              <w:right w:val="nil"/>
            </w:tcBorders>
            <w:shd w:val="clear" w:color="auto" w:fill="C0E6F5"/>
            <w:tcMar>
              <w:top w:w="15" w:type="dxa"/>
              <w:left w:w="15" w:type="dxa"/>
              <w:right w:w="15" w:type="dxa"/>
            </w:tcMar>
            <w:vAlign w:val="bottom"/>
          </w:tcPr>
          <w:p w14:paraId="5B30232D" w14:textId="6BA58AB7"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58</w:t>
            </w:r>
          </w:p>
        </w:tc>
        <w:tc>
          <w:tcPr>
            <w:tcW w:w="1860" w:type="dxa"/>
            <w:tcBorders>
              <w:top w:val="single" w:sz="4" w:space="0" w:color="44B3E1"/>
              <w:left w:val="nil"/>
              <w:bottom w:val="nil"/>
              <w:right w:val="nil"/>
            </w:tcBorders>
            <w:shd w:val="clear" w:color="auto" w:fill="C0E6F5"/>
            <w:tcMar>
              <w:top w:w="15" w:type="dxa"/>
              <w:left w:w="15" w:type="dxa"/>
              <w:right w:w="15" w:type="dxa"/>
            </w:tcMar>
            <w:vAlign w:val="bottom"/>
          </w:tcPr>
          <w:p w14:paraId="2EEC08E9" w14:textId="1D712694"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870</w:t>
            </w:r>
          </w:p>
        </w:tc>
        <w:tc>
          <w:tcPr>
            <w:tcW w:w="855" w:type="dxa"/>
            <w:tcBorders>
              <w:top w:val="single" w:sz="4" w:space="0" w:color="44B3E1"/>
              <w:left w:val="nil"/>
              <w:bottom w:val="nil"/>
              <w:right w:val="nil"/>
            </w:tcBorders>
            <w:shd w:val="clear" w:color="auto" w:fill="C0E6F5"/>
            <w:tcMar>
              <w:top w:w="15" w:type="dxa"/>
              <w:left w:w="15" w:type="dxa"/>
              <w:right w:w="15" w:type="dxa"/>
            </w:tcMar>
            <w:vAlign w:val="bottom"/>
          </w:tcPr>
          <w:p w14:paraId="7B0B6E4D" w14:textId="3772BDF0"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r>
    </w:tbl>
    <w:p w14:paraId="01D40A4C" w14:textId="3FEF7441"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4114"/>
        <w:gridCol w:w="2512"/>
      </w:tblGrid>
      <w:tr w:rsidR="20DE3AC1" w14:paraId="649E578D" w14:textId="77777777" w:rsidTr="3BCD5C0E">
        <w:trPr>
          <w:trHeight w:val="300"/>
          <w:jc w:val="center"/>
        </w:trPr>
        <w:tc>
          <w:tcPr>
            <w:tcW w:w="4114" w:type="dxa"/>
            <w:tcBorders>
              <w:top w:val="nil"/>
              <w:left w:val="nil"/>
              <w:bottom w:val="single" w:sz="4" w:space="0" w:color="44B3E1"/>
              <w:right w:val="nil"/>
            </w:tcBorders>
            <w:shd w:val="clear" w:color="auto" w:fill="C0E6F5"/>
            <w:tcMar>
              <w:top w:w="15" w:type="dxa"/>
              <w:left w:w="15" w:type="dxa"/>
              <w:right w:w="15" w:type="dxa"/>
            </w:tcMar>
            <w:vAlign w:val="bottom"/>
          </w:tcPr>
          <w:p w14:paraId="189598B5" w14:textId="6B8984DE"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Etiquetas de fila</w:t>
            </w:r>
          </w:p>
        </w:tc>
        <w:tc>
          <w:tcPr>
            <w:tcW w:w="2512" w:type="dxa"/>
            <w:tcBorders>
              <w:top w:val="nil"/>
              <w:left w:val="nil"/>
              <w:bottom w:val="single" w:sz="4" w:space="0" w:color="44B3E1"/>
              <w:right w:val="nil"/>
            </w:tcBorders>
            <w:shd w:val="clear" w:color="auto" w:fill="C0E6F5"/>
            <w:tcMar>
              <w:top w:w="15" w:type="dxa"/>
              <w:left w:w="15" w:type="dxa"/>
              <w:right w:w="15" w:type="dxa"/>
            </w:tcMar>
            <w:vAlign w:val="bottom"/>
          </w:tcPr>
          <w:p w14:paraId="703EB965" w14:textId="1FCCAADA"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Cuenta de Modalidad</w:t>
            </w:r>
          </w:p>
        </w:tc>
      </w:tr>
      <w:tr w:rsidR="20DE3AC1" w14:paraId="2227709D" w14:textId="77777777" w:rsidTr="3BCD5C0E">
        <w:trPr>
          <w:trHeight w:val="300"/>
          <w:jc w:val="center"/>
        </w:trPr>
        <w:tc>
          <w:tcPr>
            <w:tcW w:w="4114" w:type="dxa"/>
            <w:tcBorders>
              <w:top w:val="single" w:sz="4" w:space="0" w:color="44B3E1"/>
              <w:left w:val="nil"/>
              <w:bottom w:val="nil"/>
              <w:right w:val="nil"/>
            </w:tcBorders>
            <w:tcMar>
              <w:top w:w="15" w:type="dxa"/>
              <w:left w:w="15" w:type="dxa"/>
              <w:right w:w="15" w:type="dxa"/>
            </w:tcMar>
            <w:vAlign w:val="bottom"/>
          </w:tcPr>
          <w:p w14:paraId="32ACB603" w14:textId="60D3642C"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Concurso de méritos abierto</w:t>
            </w:r>
          </w:p>
        </w:tc>
        <w:tc>
          <w:tcPr>
            <w:tcW w:w="2512" w:type="dxa"/>
            <w:tcBorders>
              <w:top w:val="single" w:sz="4" w:space="0" w:color="44B3E1"/>
              <w:left w:val="nil"/>
              <w:bottom w:val="nil"/>
              <w:right w:val="nil"/>
            </w:tcBorders>
            <w:tcMar>
              <w:top w:w="15" w:type="dxa"/>
              <w:left w:w="15" w:type="dxa"/>
              <w:right w:w="15" w:type="dxa"/>
            </w:tcMar>
            <w:vAlign w:val="bottom"/>
          </w:tcPr>
          <w:p w14:paraId="22B65490" w14:textId="27F56686"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81</w:t>
            </w:r>
          </w:p>
        </w:tc>
      </w:tr>
      <w:tr w:rsidR="20DE3AC1" w14:paraId="541E4C25"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16C10AB6" w14:textId="48813715"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Licitación pública Obra Publica</w:t>
            </w:r>
          </w:p>
        </w:tc>
        <w:tc>
          <w:tcPr>
            <w:tcW w:w="2512" w:type="dxa"/>
            <w:tcBorders>
              <w:top w:val="nil"/>
              <w:left w:val="nil"/>
              <w:bottom w:val="nil"/>
              <w:right w:val="nil"/>
            </w:tcBorders>
            <w:tcMar>
              <w:top w:w="15" w:type="dxa"/>
              <w:left w:w="15" w:type="dxa"/>
              <w:right w:w="15" w:type="dxa"/>
            </w:tcMar>
            <w:vAlign w:val="bottom"/>
          </w:tcPr>
          <w:p w14:paraId="2BB81DF2" w14:textId="344465FD"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95</w:t>
            </w:r>
          </w:p>
        </w:tc>
      </w:tr>
      <w:tr w:rsidR="20DE3AC1" w14:paraId="6F291F32"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14A34901" w14:textId="038FE955"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Mínima cuantía</w:t>
            </w:r>
          </w:p>
        </w:tc>
        <w:tc>
          <w:tcPr>
            <w:tcW w:w="2512" w:type="dxa"/>
            <w:tcBorders>
              <w:top w:val="nil"/>
              <w:left w:val="nil"/>
              <w:bottom w:val="nil"/>
              <w:right w:val="nil"/>
            </w:tcBorders>
            <w:tcMar>
              <w:top w:w="15" w:type="dxa"/>
              <w:left w:w="15" w:type="dxa"/>
              <w:right w:w="15" w:type="dxa"/>
            </w:tcMar>
            <w:vAlign w:val="bottom"/>
          </w:tcPr>
          <w:p w14:paraId="77E74C9B" w14:textId="0AFFA54A"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w:t>
            </w:r>
          </w:p>
        </w:tc>
      </w:tr>
      <w:tr w:rsidR="20DE3AC1" w14:paraId="12F5D854"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4B1BF7EF" w14:textId="0F8A42EE"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Selección Abreviada de Menor Cuantía</w:t>
            </w:r>
          </w:p>
        </w:tc>
        <w:tc>
          <w:tcPr>
            <w:tcW w:w="2512" w:type="dxa"/>
            <w:tcBorders>
              <w:top w:val="nil"/>
              <w:left w:val="nil"/>
              <w:bottom w:val="nil"/>
              <w:right w:val="nil"/>
            </w:tcBorders>
            <w:tcMar>
              <w:top w:w="15" w:type="dxa"/>
              <w:left w:w="15" w:type="dxa"/>
              <w:right w:w="15" w:type="dxa"/>
            </w:tcMar>
            <w:vAlign w:val="bottom"/>
          </w:tcPr>
          <w:p w14:paraId="209F6C62" w14:textId="7A208B97"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w:t>
            </w:r>
          </w:p>
        </w:tc>
      </w:tr>
      <w:tr w:rsidR="20DE3AC1" w14:paraId="72B16E1E" w14:textId="77777777" w:rsidTr="3BCD5C0E">
        <w:trPr>
          <w:trHeight w:val="300"/>
          <w:jc w:val="center"/>
        </w:trPr>
        <w:tc>
          <w:tcPr>
            <w:tcW w:w="4114" w:type="dxa"/>
            <w:tcBorders>
              <w:top w:val="single" w:sz="4" w:space="0" w:color="44B3E1"/>
              <w:left w:val="nil"/>
              <w:bottom w:val="nil"/>
              <w:right w:val="nil"/>
            </w:tcBorders>
            <w:shd w:val="clear" w:color="auto" w:fill="C0E6F5"/>
            <w:tcMar>
              <w:top w:w="15" w:type="dxa"/>
              <w:left w:w="15" w:type="dxa"/>
              <w:right w:w="15" w:type="dxa"/>
            </w:tcMar>
            <w:vAlign w:val="bottom"/>
          </w:tcPr>
          <w:p w14:paraId="39A5F237" w14:textId="19EAA134"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512" w:type="dxa"/>
            <w:tcBorders>
              <w:top w:val="single" w:sz="4" w:space="0" w:color="44B3E1"/>
              <w:left w:val="nil"/>
              <w:bottom w:val="nil"/>
              <w:right w:val="nil"/>
            </w:tcBorders>
            <w:shd w:val="clear" w:color="auto" w:fill="C0E6F5"/>
            <w:tcMar>
              <w:top w:w="15" w:type="dxa"/>
              <w:left w:w="15" w:type="dxa"/>
              <w:right w:w="15" w:type="dxa"/>
            </w:tcMar>
            <w:vAlign w:val="bottom"/>
          </w:tcPr>
          <w:p w14:paraId="30FBE4BF" w14:textId="775A7176"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380</w:t>
            </w:r>
          </w:p>
        </w:tc>
      </w:tr>
    </w:tbl>
    <w:p w14:paraId="5F1EB33A" w14:textId="2D3B0DC1" w:rsidR="3BC43353" w:rsidRDefault="3BC43353" w:rsidP="3BCD5C0E">
      <w:pPr>
        <w:rPr>
          <w:rFonts w:ascii="Verdana Pro" w:eastAsia="Verdana Pro" w:hAnsi="Verdana Pro" w:cs="Verdana Pro"/>
        </w:rPr>
      </w:pPr>
    </w:p>
    <w:tbl>
      <w:tblPr>
        <w:tblW w:w="9641" w:type="dxa"/>
        <w:jc w:val="center"/>
        <w:tblLayout w:type="fixed"/>
        <w:tblLook w:val="06A0" w:firstRow="1" w:lastRow="0" w:firstColumn="1" w:lastColumn="0" w:noHBand="1" w:noVBand="1"/>
      </w:tblPr>
      <w:tblGrid>
        <w:gridCol w:w="4114"/>
        <w:gridCol w:w="2512"/>
        <w:gridCol w:w="3015"/>
      </w:tblGrid>
      <w:tr w:rsidR="20DE3AC1" w14:paraId="4D89E24F" w14:textId="77777777" w:rsidTr="3BCD5C0E">
        <w:trPr>
          <w:trHeight w:val="300"/>
          <w:jc w:val="center"/>
        </w:trPr>
        <w:tc>
          <w:tcPr>
            <w:tcW w:w="4114" w:type="dxa"/>
            <w:tcBorders>
              <w:top w:val="nil"/>
              <w:left w:val="nil"/>
              <w:bottom w:val="single" w:sz="4" w:space="0" w:color="44B3E1"/>
              <w:right w:val="nil"/>
            </w:tcBorders>
            <w:shd w:val="clear" w:color="auto" w:fill="C0E6F5"/>
            <w:tcMar>
              <w:top w:w="15" w:type="dxa"/>
              <w:left w:w="15" w:type="dxa"/>
              <w:right w:w="15" w:type="dxa"/>
            </w:tcMar>
            <w:vAlign w:val="bottom"/>
          </w:tcPr>
          <w:p w14:paraId="05727D37" w14:textId="7A1250BD" w:rsidR="1061E5CB" w:rsidRDefault="389E73B0"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Modalidad de contratación</w:t>
            </w:r>
          </w:p>
        </w:tc>
        <w:tc>
          <w:tcPr>
            <w:tcW w:w="2512" w:type="dxa"/>
            <w:tcBorders>
              <w:top w:val="nil"/>
              <w:left w:val="nil"/>
              <w:bottom w:val="single" w:sz="4" w:space="0" w:color="44B3E1"/>
              <w:right w:val="nil"/>
            </w:tcBorders>
            <w:shd w:val="clear" w:color="auto" w:fill="C0E6F5"/>
            <w:tcMar>
              <w:top w:w="15" w:type="dxa"/>
              <w:left w:w="15" w:type="dxa"/>
              <w:right w:w="15" w:type="dxa"/>
            </w:tcMar>
            <w:vAlign w:val="bottom"/>
          </w:tcPr>
          <w:p w14:paraId="1F164E9E" w14:textId="3E6C12A0" w:rsidR="1061E5CB" w:rsidRDefault="389E73B0"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No. contratos</w:t>
            </w:r>
          </w:p>
        </w:tc>
        <w:tc>
          <w:tcPr>
            <w:tcW w:w="3015" w:type="dxa"/>
            <w:tcBorders>
              <w:top w:val="nil"/>
              <w:left w:val="nil"/>
              <w:bottom w:val="single" w:sz="4" w:space="0" w:color="44B3E1"/>
              <w:right w:val="nil"/>
            </w:tcBorders>
            <w:shd w:val="clear" w:color="auto" w:fill="C0E6F5"/>
            <w:tcMar>
              <w:top w:w="15" w:type="dxa"/>
              <w:left w:w="15" w:type="dxa"/>
              <w:right w:w="15" w:type="dxa"/>
            </w:tcMar>
            <w:vAlign w:val="bottom"/>
          </w:tcPr>
          <w:p w14:paraId="62601521" w14:textId="5C27AC27"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Valor</w:t>
            </w:r>
            <w:r w:rsidR="442A0966" w:rsidRPr="3BCD5C0E">
              <w:rPr>
                <w:rFonts w:ascii="Verdana Pro" w:eastAsia="Verdana Pro" w:hAnsi="Verdana Pro" w:cs="Verdana Pro"/>
                <w:b/>
                <w:bCs/>
                <w:color w:val="000000" w:themeColor="text1"/>
                <w:sz w:val="22"/>
                <w:szCs w:val="22"/>
              </w:rPr>
              <w:t xml:space="preserve"> Analizado</w:t>
            </w:r>
          </w:p>
        </w:tc>
      </w:tr>
      <w:tr w:rsidR="20DE3AC1" w14:paraId="75AE4AC2" w14:textId="77777777" w:rsidTr="3BCD5C0E">
        <w:trPr>
          <w:trHeight w:val="300"/>
          <w:jc w:val="center"/>
        </w:trPr>
        <w:tc>
          <w:tcPr>
            <w:tcW w:w="4114" w:type="dxa"/>
            <w:tcBorders>
              <w:top w:val="single" w:sz="4" w:space="0" w:color="44B3E1"/>
              <w:left w:val="nil"/>
              <w:bottom w:val="nil"/>
              <w:right w:val="nil"/>
            </w:tcBorders>
            <w:tcMar>
              <w:top w:w="15" w:type="dxa"/>
              <w:left w:w="15" w:type="dxa"/>
              <w:right w:w="15" w:type="dxa"/>
            </w:tcMar>
            <w:vAlign w:val="bottom"/>
          </w:tcPr>
          <w:p w14:paraId="7C71FECC" w14:textId="4158ABB7"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Concurso de méritos abierto</w:t>
            </w:r>
          </w:p>
        </w:tc>
        <w:tc>
          <w:tcPr>
            <w:tcW w:w="2512" w:type="dxa"/>
            <w:tcBorders>
              <w:top w:val="single" w:sz="4" w:space="0" w:color="44B3E1"/>
              <w:left w:val="nil"/>
              <w:bottom w:val="nil"/>
              <w:right w:val="nil"/>
            </w:tcBorders>
            <w:tcMar>
              <w:top w:w="15" w:type="dxa"/>
              <w:left w:w="15" w:type="dxa"/>
              <w:right w:w="15" w:type="dxa"/>
            </w:tcMar>
            <w:vAlign w:val="bottom"/>
          </w:tcPr>
          <w:p w14:paraId="763EB466" w14:textId="000928A9"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81</w:t>
            </w:r>
          </w:p>
        </w:tc>
        <w:tc>
          <w:tcPr>
            <w:tcW w:w="3015" w:type="dxa"/>
            <w:tcBorders>
              <w:top w:val="single" w:sz="4" w:space="0" w:color="44B3E1"/>
              <w:left w:val="nil"/>
              <w:bottom w:val="nil"/>
              <w:right w:val="nil"/>
            </w:tcBorders>
            <w:tcMar>
              <w:top w:w="15" w:type="dxa"/>
              <w:left w:w="15" w:type="dxa"/>
              <w:right w:w="15" w:type="dxa"/>
            </w:tcMar>
            <w:vAlign w:val="bottom"/>
          </w:tcPr>
          <w:p w14:paraId="73ED15C4" w14:textId="1AC539AC"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49.441.471.145 </w:t>
            </w:r>
          </w:p>
        </w:tc>
      </w:tr>
      <w:tr w:rsidR="20DE3AC1" w14:paraId="02592875"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0FAE59B2" w14:textId="22705FDA"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Licitación pública Obra Publica</w:t>
            </w:r>
          </w:p>
        </w:tc>
        <w:tc>
          <w:tcPr>
            <w:tcW w:w="2512" w:type="dxa"/>
            <w:tcBorders>
              <w:top w:val="nil"/>
              <w:left w:val="nil"/>
              <w:bottom w:val="nil"/>
              <w:right w:val="nil"/>
            </w:tcBorders>
            <w:tcMar>
              <w:top w:w="15" w:type="dxa"/>
              <w:left w:w="15" w:type="dxa"/>
              <w:right w:w="15" w:type="dxa"/>
            </w:tcMar>
            <w:vAlign w:val="bottom"/>
          </w:tcPr>
          <w:p w14:paraId="7AB0938A" w14:textId="34AE9E67"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95</w:t>
            </w:r>
          </w:p>
        </w:tc>
        <w:tc>
          <w:tcPr>
            <w:tcW w:w="3015" w:type="dxa"/>
            <w:tcBorders>
              <w:top w:val="nil"/>
              <w:left w:val="nil"/>
              <w:bottom w:val="nil"/>
              <w:right w:val="nil"/>
            </w:tcBorders>
            <w:tcMar>
              <w:top w:w="15" w:type="dxa"/>
              <w:left w:w="15" w:type="dxa"/>
              <w:right w:w="15" w:type="dxa"/>
            </w:tcMar>
            <w:vAlign w:val="bottom"/>
          </w:tcPr>
          <w:p w14:paraId="2B6F7F01" w14:textId="405198C3"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915.438.630.305 </w:t>
            </w:r>
          </w:p>
        </w:tc>
      </w:tr>
      <w:tr w:rsidR="20DE3AC1" w14:paraId="75D91104"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3203332D" w14:textId="6C6104EE"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Mínima cuantía</w:t>
            </w:r>
          </w:p>
        </w:tc>
        <w:tc>
          <w:tcPr>
            <w:tcW w:w="2512" w:type="dxa"/>
            <w:tcBorders>
              <w:top w:val="nil"/>
              <w:left w:val="nil"/>
              <w:bottom w:val="nil"/>
              <w:right w:val="nil"/>
            </w:tcBorders>
            <w:tcMar>
              <w:top w:w="15" w:type="dxa"/>
              <w:left w:w="15" w:type="dxa"/>
              <w:right w:w="15" w:type="dxa"/>
            </w:tcMar>
            <w:vAlign w:val="bottom"/>
          </w:tcPr>
          <w:p w14:paraId="1E84BA82" w14:textId="21732738"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w:t>
            </w:r>
          </w:p>
        </w:tc>
        <w:tc>
          <w:tcPr>
            <w:tcW w:w="3015" w:type="dxa"/>
            <w:tcBorders>
              <w:top w:val="nil"/>
              <w:left w:val="nil"/>
              <w:bottom w:val="nil"/>
              <w:right w:val="nil"/>
            </w:tcBorders>
            <w:tcMar>
              <w:top w:w="15" w:type="dxa"/>
              <w:left w:w="15" w:type="dxa"/>
              <w:right w:w="15" w:type="dxa"/>
            </w:tcMar>
            <w:vAlign w:val="bottom"/>
          </w:tcPr>
          <w:p w14:paraId="6A3C8B45" w14:textId="51E86D1B"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83.730.105 </w:t>
            </w:r>
          </w:p>
        </w:tc>
      </w:tr>
      <w:tr w:rsidR="20DE3AC1" w14:paraId="54933F46" w14:textId="77777777" w:rsidTr="3BCD5C0E">
        <w:trPr>
          <w:trHeight w:val="300"/>
          <w:jc w:val="center"/>
        </w:trPr>
        <w:tc>
          <w:tcPr>
            <w:tcW w:w="4114" w:type="dxa"/>
            <w:tcBorders>
              <w:top w:val="nil"/>
              <w:left w:val="nil"/>
              <w:bottom w:val="nil"/>
              <w:right w:val="nil"/>
            </w:tcBorders>
            <w:tcMar>
              <w:top w:w="15" w:type="dxa"/>
              <w:left w:w="15" w:type="dxa"/>
              <w:right w:w="15" w:type="dxa"/>
            </w:tcMar>
            <w:vAlign w:val="bottom"/>
          </w:tcPr>
          <w:p w14:paraId="70873894" w14:textId="10DBD3FC"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Selección Abreviada de Menor Cuantía</w:t>
            </w:r>
          </w:p>
        </w:tc>
        <w:tc>
          <w:tcPr>
            <w:tcW w:w="2512" w:type="dxa"/>
            <w:tcBorders>
              <w:top w:val="nil"/>
              <w:left w:val="nil"/>
              <w:bottom w:val="nil"/>
              <w:right w:val="nil"/>
            </w:tcBorders>
            <w:tcMar>
              <w:top w:w="15" w:type="dxa"/>
              <w:left w:w="15" w:type="dxa"/>
              <w:right w:w="15" w:type="dxa"/>
            </w:tcMar>
            <w:vAlign w:val="bottom"/>
          </w:tcPr>
          <w:p w14:paraId="22AEFEB2" w14:textId="5D4416FE"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202</w:t>
            </w:r>
          </w:p>
        </w:tc>
        <w:tc>
          <w:tcPr>
            <w:tcW w:w="3015" w:type="dxa"/>
            <w:tcBorders>
              <w:top w:val="nil"/>
              <w:left w:val="nil"/>
              <w:bottom w:val="nil"/>
              <w:right w:val="nil"/>
            </w:tcBorders>
            <w:tcMar>
              <w:top w:w="15" w:type="dxa"/>
              <w:left w:w="15" w:type="dxa"/>
              <w:right w:w="15" w:type="dxa"/>
            </w:tcMar>
            <w:vAlign w:val="bottom"/>
          </w:tcPr>
          <w:p w14:paraId="2E3849FA" w14:textId="3C7D1A08" w:rsidR="20DE3AC1" w:rsidRDefault="2C851D01"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 xml:space="preserve"> $      304.571.931.101 </w:t>
            </w:r>
          </w:p>
        </w:tc>
      </w:tr>
      <w:tr w:rsidR="20DE3AC1" w14:paraId="3500F029" w14:textId="77777777" w:rsidTr="3BCD5C0E">
        <w:trPr>
          <w:trHeight w:val="300"/>
          <w:jc w:val="center"/>
        </w:trPr>
        <w:tc>
          <w:tcPr>
            <w:tcW w:w="4114" w:type="dxa"/>
            <w:tcBorders>
              <w:top w:val="single" w:sz="4" w:space="0" w:color="44B3E1"/>
              <w:left w:val="nil"/>
              <w:bottom w:val="nil"/>
              <w:right w:val="nil"/>
            </w:tcBorders>
            <w:shd w:val="clear" w:color="auto" w:fill="C0E6F5"/>
            <w:tcMar>
              <w:top w:w="15" w:type="dxa"/>
              <w:left w:w="15" w:type="dxa"/>
              <w:right w:w="15" w:type="dxa"/>
            </w:tcMar>
            <w:vAlign w:val="bottom"/>
          </w:tcPr>
          <w:p w14:paraId="5EF525D4" w14:textId="1597131B" w:rsidR="20DE3AC1" w:rsidRDefault="2C851D01" w:rsidP="3BCD5C0E">
            <w:pPr>
              <w:jc w:val="cente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512" w:type="dxa"/>
            <w:tcBorders>
              <w:top w:val="single" w:sz="4" w:space="0" w:color="44B3E1"/>
              <w:left w:val="nil"/>
              <w:bottom w:val="nil"/>
              <w:right w:val="nil"/>
            </w:tcBorders>
            <w:shd w:val="clear" w:color="auto" w:fill="C0E6F5"/>
            <w:tcMar>
              <w:top w:w="15" w:type="dxa"/>
              <w:left w:w="15" w:type="dxa"/>
              <w:right w:w="15" w:type="dxa"/>
            </w:tcMar>
            <w:vAlign w:val="bottom"/>
          </w:tcPr>
          <w:p w14:paraId="7C45158D" w14:textId="20DB9FCF"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380</w:t>
            </w:r>
          </w:p>
        </w:tc>
        <w:tc>
          <w:tcPr>
            <w:tcW w:w="3015" w:type="dxa"/>
            <w:tcBorders>
              <w:top w:val="single" w:sz="4" w:space="0" w:color="44B3E1"/>
              <w:left w:val="nil"/>
              <w:bottom w:val="nil"/>
              <w:right w:val="nil"/>
            </w:tcBorders>
            <w:shd w:val="clear" w:color="auto" w:fill="C0E6F5"/>
            <w:tcMar>
              <w:top w:w="15" w:type="dxa"/>
              <w:left w:w="15" w:type="dxa"/>
              <w:right w:w="15" w:type="dxa"/>
            </w:tcMar>
            <w:vAlign w:val="bottom"/>
          </w:tcPr>
          <w:p w14:paraId="5242642B" w14:textId="4E873953" w:rsidR="20DE3AC1" w:rsidRDefault="2C851D01"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 </w:t>
            </w:r>
            <w:proofErr w:type="gramStart"/>
            <w:r w:rsidRPr="3BCD5C0E">
              <w:rPr>
                <w:rFonts w:ascii="Verdana Pro" w:eastAsia="Verdana Pro" w:hAnsi="Verdana Pro" w:cs="Verdana Pro"/>
                <w:b/>
                <w:bCs/>
                <w:color w:val="000000" w:themeColor="text1"/>
                <w:sz w:val="22"/>
                <w:szCs w:val="22"/>
              </w:rPr>
              <w:t>$  1</w:t>
            </w:r>
            <w:proofErr w:type="gramEnd"/>
            <w:r w:rsidRPr="3BCD5C0E">
              <w:rPr>
                <w:rFonts w:ascii="Verdana Pro" w:eastAsia="Verdana Pro" w:hAnsi="Verdana Pro" w:cs="Verdana Pro"/>
                <w:b/>
                <w:bCs/>
                <w:color w:val="000000" w:themeColor="text1"/>
                <w:sz w:val="22"/>
                <w:szCs w:val="22"/>
              </w:rPr>
              <w:t>.269.535.762.656</w:t>
            </w:r>
          </w:p>
        </w:tc>
      </w:tr>
    </w:tbl>
    <w:p w14:paraId="2B731ECA" w14:textId="6E63A557"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063"/>
        <w:gridCol w:w="2235"/>
        <w:gridCol w:w="1711"/>
        <w:gridCol w:w="2029"/>
        <w:gridCol w:w="1353"/>
      </w:tblGrid>
      <w:tr w:rsidR="20DE3AC1" w14:paraId="2AE29CD1" w14:textId="77777777" w:rsidTr="3BCD5C0E">
        <w:trPr>
          <w:trHeight w:val="300"/>
          <w:jc w:val="center"/>
        </w:trPr>
        <w:tc>
          <w:tcPr>
            <w:tcW w:w="2063" w:type="dxa"/>
            <w:tcBorders>
              <w:top w:val="nil"/>
              <w:left w:val="nil"/>
              <w:bottom w:val="single" w:sz="4" w:space="0" w:color="44B3E1"/>
              <w:right w:val="nil"/>
            </w:tcBorders>
            <w:shd w:val="clear" w:color="auto" w:fill="C0E6F5"/>
            <w:tcMar>
              <w:top w:w="15" w:type="dxa"/>
              <w:left w:w="15" w:type="dxa"/>
              <w:right w:w="15" w:type="dxa"/>
            </w:tcMar>
            <w:vAlign w:val="bottom"/>
          </w:tcPr>
          <w:p w14:paraId="09D0F64E" w14:textId="11DEDD37" w:rsidR="1BBB012A" w:rsidRDefault="520ABA00"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Aplican D.T.</w:t>
            </w:r>
          </w:p>
        </w:tc>
        <w:tc>
          <w:tcPr>
            <w:tcW w:w="2235" w:type="dxa"/>
            <w:tcBorders>
              <w:top w:val="nil"/>
              <w:left w:val="nil"/>
              <w:bottom w:val="single" w:sz="4" w:space="0" w:color="44B3E1"/>
              <w:right w:val="nil"/>
            </w:tcBorders>
            <w:shd w:val="clear" w:color="auto" w:fill="C0E6F5"/>
            <w:tcMar>
              <w:top w:w="15" w:type="dxa"/>
              <w:left w:w="15" w:type="dxa"/>
              <w:right w:w="15" w:type="dxa"/>
            </w:tcMar>
            <w:vAlign w:val="bottom"/>
          </w:tcPr>
          <w:p w14:paraId="5B85E5C6" w14:textId="31DE1E3B"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Seguridad Pública</w:t>
            </w:r>
          </w:p>
        </w:tc>
        <w:tc>
          <w:tcPr>
            <w:tcW w:w="1711" w:type="dxa"/>
            <w:tcBorders>
              <w:top w:val="nil"/>
              <w:left w:val="nil"/>
              <w:bottom w:val="single" w:sz="4" w:space="0" w:color="44B3E1"/>
              <w:right w:val="nil"/>
            </w:tcBorders>
            <w:shd w:val="clear" w:color="auto" w:fill="C0E6F5"/>
            <w:tcMar>
              <w:top w:w="15" w:type="dxa"/>
              <w:left w:w="15" w:type="dxa"/>
              <w:right w:w="15" w:type="dxa"/>
            </w:tcMar>
            <w:vAlign w:val="bottom"/>
          </w:tcPr>
          <w:p w14:paraId="053DC659" w14:textId="56FA7CA3"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Servicio Público</w:t>
            </w:r>
          </w:p>
        </w:tc>
        <w:tc>
          <w:tcPr>
            <w:tcW w:w="2029" w:type="dxa"/>
            <w:tcBorders>
              <w:top w:val="nil"/>
              <w:left w:val="nil"/>
              <w:bottom w:val="single" w:sz="4" w:space="0" w:color="44B3E1"/>
              <w:right w:val="nil"/>
            </w:tcBorders>
            <w:shd w:val="clear" w:color="auto" w:fill="C0E6F5"/>
            <w:tcMar>
              <w:top w:w="15" w:type="dxa"/>
              <w:left w:w="15" w:type="dxa"/>
              <w:right w:w="15" w:type="dxa"/>
            </w:tcMar>
            <w:vAlign w:val="bottom"/>
          </w:tcPr>
          <w:p w14:paraId="6A055CEE" w14:textId="3DE92BFB"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Sitios de Reclusión</w:t>
            </w:r>
          </w:p>
        </w:tc>
        <w:tc>
          <w:tcPr>
            <w:tcW w:w="1353" w:type="dxa"/>
            <w:tcBorders>
              <w:top w:val="nil"/>
              <w:left w:val="nil"/>
              <w:bottom w:val="single" w:sz="4" w:space="0" w:color="44B3E1"/>
              <w:right w:val="nil"/>
            </w:tcBorders>
            <w:shd w:val="clear" w:color="auto" w:fill="C0E6F5"/>
            <w:tcMar>
              <w:top w:w="15" w:type="dxa"/>
              <w:left w:w="15" w:type="dxa"/>
              <w:right w:w="15" w:type="dxa"/>
            </w:tcMar>
            <w:vAlign w:val="bottom"/>
          </w:tcPr>
          <w:p w14:paraId="21660D56" w14:textId="6E9BFF19"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r>
      <w:tr w:rsidR="20DE3AC1" w14:paraId="00EA9C0B" w14:textId="77777777" w:rsidTr="3BCD5C0E">
        <w:trPr>
          <w:trHeight w:val="300"/>
          <w:jc w:val="center"/>
        </w:trPr>
        <w:tc>
          <w:tcPr>
            <w:tcW w:w="2063" w:type="dxa"/>
            <w:tcBorders>
              <w:top w:val="single" w:sz="4" w:space="0" w:color="44B3E1"/>
              <w:left w:val="nil"/>
              <w:bottom w:val="nil"/>
              <w:right w:val="nil"/>
            </w:tcBorders>
            <w:tcMar>
              <w:top w:w="15" w:type="dxa"/>
              <w:left w:w="15" w:type="dxa"/>
              <w:right w:w="15" w:type="dxa"/>
            </w:tcMar>
            <w:vAlign w:val="bottom"/>
          </w:tcPr>
          <w:p w14:paraId="59272715" w14:textId="5C6B3BAC"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No</w:t>
            </w:r>
          </w:p>
        </w:tc>
        <w:tc>
          <w:tcPr>
            <w:tcW w:w="2235" w:type="dxa"/>
            <w:tcBorders>
              <w:top w:val="single" w:sz="4" w:space="0" w:color="44B3E1"/>
              <w:left w:val="nil"/>
              <w:bottom w:val="nil"/>
              <w:right w:val="nil"/>
            </w:tcBorders>
            <w:tcMar>
              <w:top w:w="15" w:type="dxa"/>
              <w:left w:w="15" w:type="dxa"/>
              <w:right w:w="15" w:type="dxa"/>
            </w:tcMar>
            <w:vAlign w:val="bottom"/>
          </w:tcPr>
          <w:p w14:paraId="7733E654" w14:textId="526492B9"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252</w:t>
            </w:r>
          </w:p>
        </w:tc>
        <w:tc>
          <w:tcPr>
            <w:tcW w:w="1711" w:type="dxa"/>
            <w:tcBorders>
              <w:top w:val="single" w:sz="4" w:space="0" w:color="44B3E1"/>
              <w:left w:val="nil"/>
              <w:bottom w:val="nil"/>
              <w:right w:val="nil"/>
            </w:tcBorders>
            <w:tcMar>
              <w:top w:w="15" w:type="dxa"/>
              <w:left w:w="15" w:type="dxa"/>
              <w:right w:w="15" w:type="dxa"/>
            </w:tcMar>
            <w:vAlign w:val="bottom"/>
          </w:tcPr>
          <w:p w14:paraId="2B7063C8" w14:textId="5ADE7C1E"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83</w:t>
            </w:r>
          </w:p>
        </w:tc>
        <w:tc>
          <w:tcPr>
            <w:tcW w:w="2029" w:type="dxa"/>
            <w:tcBorders>
              <w:top w:val="single" w:sz="4" w:space="0" w:color="44B3E1"/>
              <w:left w:val="nil"/>
              <w:bottom w:val="nil"/>
              <w:right w:val="nil"/>
            </w:tcBorders>
            <w:tcMar>
              <w:top w:w="15" w:type="dxa"/>
              <w:left w:w="15" w:type="dxa"/>
              <w:right w:w="15" w:type="dxa"/>
            </w:tcMar>
            <w:vAlign w:val="bottom"/>
          </w:tcPr>
          <w:p w14:paraId="071CB16C" w14:textId="3E313D17"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r w:rsidR="240C083E" w:rsidRPr="3BCD5C0E">
              <w:rPr>
                <w:rFonts w:ascii="Verdana Pro" w:eastAsia="Verdana Pro" w:hAnsi="Verdana Pro" w:cs="Verdana Pro"/>
                <w:color w:val="000000" w:themeColor="text1"/>
                <w:sz w:val="22"/>
                <w:szCs w:val="22"/>
              </w:rPr>
              <w:t>5</w:t>
            </w:r>
          </w:p>
        </w:tc>
        <w:tc>
          <w:tcPr>
            <w:tcW w:w="1353" w:type="dxa"/>
            <w:tcBorders>
              <w:top w:val="single" w:sz="4" w:space="0" w:color="44B3E1"/>
              <w:left w:val="nil"/>
              <w:bottom w:val="nil"/>
              <w:right w:val="nil"/>
            </w:tcBorders>
            <w:tcMar>
              <w:top w:w="15" w:type="dxa"/>
              <w:left w:w="15" w:type="dxa"/>
              <w:right w:w="15" w:type="dxa"/>
            </w:tcMar>
            <w:vAlign w:val="bottom"/>
          </w:tcPr>
          <w:p w14:paraId="369BFD88" w14:textId="4E447E6F"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3</w:t>
            </w:r>
            <w:r w:rsidR="5F2C9442" w:rsidRPr="3BCD5C0E">
              <w:rPr>
                <w:rFonts w:ascii="Verdana Pro" w:eastAsia="Verdana Pro" w:hAnsi="Verdana Pro" w:cs="Verdana Pro"/>
                <w:color w:val="000000" w:themeColor="text1"/>
                <w:sz w:val="22"/>
                <w:szCs w:val="22"/>
              </w:rPr>
              <w:t>50</w:t>
            </w:r>
          </w:p>
        </w:tc>
      </w:tr>
      <w:tr w:rsidR="20DE3AC1" w14:paraId="0CD6EE7F" w14:textId="77777777" w:rsidTr="3BCD5C0E">
        <w:trPr>
          <w:trHeight w:val="300"/>
          <w:jc w:val="center"/>
        </w:trPr>
        <w:tc>
          <w:tcPr>
            <w:tcW w:w="2063" w:type="dxa"/>
            <w:tcBorders>
              <w:top w:val="nil"/>
              <w:left w:val="nil"/>
              <w:bottom w:val="nil"/>
              <w:right w:val="nil"/>
            </w:tcBorders>
            <w:tcMar>
              <w:top w:w="15" w:type="dxa"/>
              <w:left w:w="15" w:type="dxa"/>
              <w:right w:w="15" w:type="dxa"/>
            </w:tcMar>
            <w:vAlign w:val="bottom"/>
          </w:tcPr>
          <w:p w14:paraId="03E81600" w14:textId="6AC111B6"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Si</w:t>
            </w:r>
          </w:p>
        </w:tc>
        <w:tc>
          <w:tcPr>
            <w:tcW w:w="2235" w:type="dxa"/>
            <w:tcBorders>
              <w:top w:val="nil"/>
              <w:left w:val="nil"/>
              <w:bottom w:val="nil"/>
              <w:right w:val="nil"/>
            </w:tcBorders>
            <w:tcMar>
              <w:top w:w="15" w:type="dxa"/>
              <w:left w:w="15" w:type="dxa"/>
              <w:right w:w="15" w:type="dxa"/>
            </w:tcMar>
            <w:vAlign w:val="bottom"/>
          </w:tcPr>
          <w:p w14:paraId="7E1879DF" w14:textId="0CEE918A"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13</w:t>
            </w:r>
          </w:p>
        </w:tc>
        <w:tc>
          <w:tcPr>
            <w:tcW w:w="1711" w:type="dxa"/>
            <w:tcBorders>
              <w:top w:val="nil"/>
              <w:left w:val="nil"/>
              <w:bottom w:val="nil"/>
              <w:right w:val="nil"/>
            </w:tcBorders>
            <w:tcMar>
              <w:top w:w="15" w:type="dxa"/>
              <w:left w:w="15" w:type="dxa"/>
              <w:right w:w="15" w:type="dxa"/>
            </w:tcMar>
            <w:vAlign w:val="bottom"/>
          </w:tcPr>
          <w:p w14:paraId="4676EC0E" w14:textId="2C262125"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17</w:t>
            </w:r>
          </w:p>
        </w:tc>
        <w:tc>
          <w:tcPr>
            <w:tcW w:w="2029" w:type="dxa"/>
            <w:tcBorders>
              <w:top w:val="nil"/>
              <w:left w:val="nil"/>
              <w:bottom w:val="nil"/>
              <w:right w:val="nil"/>
            </w:tcBorders>
            <w:tcMar>
              <w:top w:w="15" w:type="dxa"/>
              <w:left w:w="15" w:type="dxa"/>
              <w:right w:w="15" w:type="dxa"/>
            </w:tcMar>
            <w:vAlign w:val="bottom"/>
          </w:tcPr>
          <w:p w14:paraId="663551DC" w14:textId="7B79CAD7" w:rsidR="20DE3AC1" w:rsidRDefault="20DE3AC1" w:rsidP="3BCD5C0E">
            <w:pPr>
              <w:rPr>
                <w:rFonts w:ascii="Verdana Pro" w:eastAsia="Verdana Pro" w:hAnsi="Verdana Pro" w:cs="Verdana Pro"/>
              </w:rPr>
            </w:pPr>
          </w:p>
        </w:tc>
        <w:tc>
          <w:tcPr>
            <w:tcW w:w="1353" w:type="dxa"/>
            <w:tcBorders>
              <w:top w:val="nil"/>
              <w:left w:val="nil"/>
              <w:bottom w:val="nil"/>
              <w:right w:val="nil"/>
            </w:tcBorders>
            <w:tcMar>
              <w:top w:w="15" w:type="dxa"/>
              <w:left w:w="15" w:type="dxa"/>
              <w:right w:w="15" w:type="dxa"/>
            </w:tcMar>
            <w:vAlign w:val="bottom"/>
          </w:tcPr>
          <w:p w14:paraId="3442109E" w14:textId="4FC7297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30</w:t>
            </w:r>
          </w:p>
        </w:tc>
      </w:tr>
      <w:tr w:rsidR="20DE3AC1" w14:paraId="60D2ACBE" w14:textId="77777777" w:rsidTr="3BCD5C0E">
        <w:trPr>
          <w:trHeight w:val="300"/>
          <w:jc w:val="center"/>
        </w:trPr>
        <w:tc>
          <w:tcPr>
            <w:tcW w:w="2063" w:type="dxa"/>
            <w:tcBorders>
              <w:top w:val="single" w:sz="4" w:space="0" w:color="44B3E1"/>
              <w:left w:val="nil"/>
              <w:bottom w:val="nil"/>
              <w:right w:val="nil"/>
            </w:tcBorders>
            <w:shd w:val="clear" w:color="auto" w:fill="C0E6F5"/>
            <w:tcMar>
              <w:top w:w="15" w:type="dxa"/>
              <w:left w:w="15" w:type="dxa"/>
              <w:right w:w="15" w:type="dxa"/>
            </w:tcMar>
            <w:vAlign w:val="bottom"/>
          </w:tcPr>
          <w:p w14:paraId="32B5F687" w14:textId="5A5FE686"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235" w:type="dxa"/>
            <w:tcBorders>
              <w:top w:val="single" w:sz="4" w:space="0" w:color="44B3E1"/>
              <w:left w:val="nil"/>
              <w:bottom w:val="nil"/>
              <w:right w:val="nil"/>
            </w:tcBorders>
            <w:shd w:val="clear" w:color="auto" w:fill="C0E6F5"/>
            <w:tcMar>
              <w:top w:w="15" w:type="dxa"/>
              <w:left w:w="15" w:type="dxa"/>
              <w:right w:w="15" w:type="dxa"/>
            </w:tcMar>
            <w:vAlign w:val="bottom"/>
          </w:tcPr>
          <w:p w14:paraId="7CAEA0E1" w14:textId="0910148D"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265</w:t>
            </w:r>
          </w:p>
        </w:tc>
        <w:tc>
          <w:tcPr>
            <w:tcW w:w="1711" w:type="dxa"/>
            <w:tcBorders>
              <w:top w:val="single" w:sz="4" w:space="0" w:color="44B3E1"/>
              <w:left w:val="nil"/>
              <w:bottom w:val="nil"/>
              <w:right w:val="nil"/>
            </w:tcBorders>
            <w:shd w:val="clear" w:color="auto" w:fill="C0E6F5"/>
            <w:tcMar>
              <w:top w:w="15" w:type="dxa"/>
              <w:left w:w="15" w:type="dxa"/>
              <w:right w:w="15" w:type="dxa"/>
            </w:tcMar>
            <w:vAlign w:val="bottom"/>
          </w:tcPr>
          <w:p w14:paraId="253FE88A" w14:textId="6368595D"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c>
          <w:tcPr>
            <w:tcW w:w="2029" w:type="dxa"/>
            <w:tcBorders>
              <w:top w:val="single" w:sz="4" w:space="0" w:color="44B3E1"/>
              <w:left w:val="nil"/>
              <w:bottom w:val="nil"/>
              <w:right w:val="nil"/>
            </w:tcBorders>
            <w:shd w:val="clear" w:color="auto" w:fill="C0E6F5"/>
            <w:tcMar>
              <w:top w:w="15" w:type="dxa"/>
              <w:left w:w="15" w:type="dxa"/>
              <w:right w:w="15" w:type="dxa"/>
            </w:tcMar>
            <w:vAlign w:val="bottom"/>
          </w:tcPr>
          <w:p w14:paraId="2394D463" w14:textId="6B15F42D"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15</w:t>
            </w:r>
          </w:p>
        </w:tc>
        <w:tc>
          <w:tcPr>
            <w:tcW w:w="1353" w:type="dxa"/>
            <w:tcBorders>
              <w:top w:val="single" w:sz="4" w:space="0" w:color="44B3E1"/>
              <w:left w:val="nil"/>
              <w:bottom w:val="nil"/>
              <w:right w:val="nil"/>
            </w:tcBorders>
            <w:shd w:val="clear" w:color="auto" w:fill="C0E6F5"/>
            <w:tcMar>
              <w:top w:w="15" w:type="dxa"/>
              <w:left w:w="15" w:type="dxa"/>
              <w:right w:w="15" w:type="dxa"/>
            </w:tcMar>
            <w:vAlign w:val="bottom"/>
          </w:tcPr>
          <w:p w14:paraId="6D6A74B1" w14:textId="3E854968"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380</w:t>
            </w:r>
          </w:p>
        </w:tc>
      </w:tr>
    </w:tbl>
    <w:p w14:paraId="033C035A" w14:textId="4DD73139" w:rsidR="3BC43353" w:rsidRDefault="3BC43353"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365"/>
        <w:gridCol w:w="2246"/>
        <w:gridCol w:w="1686"/>
        <w:gridCol w:w="1999"/>
        <w:gridCol w:w="1333"/>
      </w:tblGrid>
      <w:tr w:rsidR="20DE3AC1" w14:paraId="2CC8A34E" w14:textId="77777777" w:rsidTr="3BCD5C0E">
        <w:trPr>
          <w:trHeight w:val="300"/>
          <w:jc w:val="center"/>
        </w:trPr>
        <w:tc>
          <w:tcPr>
            <w:tcW w:w="2365" w:type="dxa"/>
            <w:tcBorders>
              <w:top w:val="nil"/>
              <w:left w:val="nil"/>
              <w:bottom w:val="single" w:sz="4" w:space="0" w:color="44B3E1"/>
              <w:right w:val="nil"/>
            </w:tcBorders>
            <w:shd w:val="clear" w:color="auto" w:fill="C0E6F5"/>
            <w:tcMar>
              <w:top w:w="15" w:type="dxa"/>
              <w:left w:w="15" w:type="dxa"/>
              <w:right w:w="15" w:type="dxa"/>
            </w:tcMar>
            <w:vAlign w:val="bottom"/>
          </w:tcPr>
          <w:p w14:paraId="7093FBF3" w14:textId="3415EABC"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Etiquetas de fila</w:t>
            </w:r>
          </w:p>
        </w:tc>
        <w:tc>
          <w:tcPr>
            <w:tcW w:w="2246" w:type="dxa"/>
            <w:tcBorders>
              <w:top w:val="nil"/>
              <w:left w:val="nil"/>
              <w:bottom w:val="single" w:sz="4" w:space="0" w:color="44B3E1"/>
              <w:right w:val="nil"/>
            </w:tcBorders>
            <w:shd w:val="clear" w:color="auto" w:fill="C0E6F5"/>
            <w:tcMar>
              <w:top w:w="15" w:type="dxa"/>
              <w:left w:w="15" w:type="dxa"/>
              <w:right w:w="15" w:type="dxa"/>
            </w:tcMar>
            <w:vAlign w:val="bottom"/>
          </w:tcPr>
          <w:p w14:paraId="2038CB9E" w14:textId="7B84C335"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Seguridad Pública</w:t>
            </w:r>
          </w:p>
        </w:tc>
        <w:tc>
          <w:tcPr>
            <w:tcW w:w="1686" w:type="dxa"/>
            <w:tcBorders>
              <w:top w:val="nil"/>
              <w:left w:val="nil"/>
              <w:bottom w:val="single" w:sz="4" w:space="0" w:color="44B3E1"/>
              <w:right w:val="nil"/>
            </w:tcBorders>
            <w:shd w:val="clear" w:color="auto" w:fill="C0E6F5"/>
            <w:tcMar>
              <w:top w:w="15" w:type="dxa"/>
              <w:left w:w="15" w:type="dxa"/>
              <w:right w:w="15" w:type="dxa"/>
            </w:tcMar>
            <w:vAlign w:val="bottom"/>
          </w:tcPr>
          <w:p w14:paraId="3574AD96" w14:textId="6AD85504"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Servicio Público</w:t>
            </w:r>
          </w:p>
        </w:tc>
        <w:tc>
          <w:tcPr>
            <w:tcW w:w="1999" w:type="dxa"/>
            <w:tcBorders>
              <w:top w:val="nil"/>
              <w:left w:val="nil"/>
              <w:bottom w:val="single" w:sz="4" w:space="0" w:color="44B3E1"/>
              <w:right w:val="nil"/>
            </w:tcBorders>
            <w:shd w:val="clear" w:color="auto" w:fill="C0E6F5"/>
            <w:tcMar>
              <w:top w:w="15" w:type="dxa"/>
              <w:left w:w="15" w:type="dxa"/>
              <w:right w:w="15" w:type="dxa"/>
            </w:tcMar>
            <w:vAlign w:val="bottom"/>
          </w:tcPr>
          <w:p w14:paraId="580B7603" w14:textId="18C87AF4" w:rsidR="20DE3AC1" w:rsidRDefault="2C851D01"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Sitios de Reclusión</w:t>
            </w:r>
          </w:p>
        </w:tc>
        <w:tc>
          <w:tcPr>
            <w:tcW w:w="1333" w:type="dxa"/>
            <w:tcBorders>
              <w:top w:val="nil"/>
              <w:left w:val="nil"/>
              <w:bottom w:val="single" w:sz="4" w:space="0" w:color="44B3E1"/>
              <w:right w:val="nil"/>
            </w:tcBorders>
            <w:shd w:val="clear" w:color="auto" w:fill="C0E6F5"/>
            <w:tcMar>
              <w:top w:w="15" w:type="dxa"/>
              <w:left w:w="15" w:type="dxa"/>
              <w:right w:w="15" w:type="dxa"/>
            </w:tcMar>
            <w:vAlign w:val="bottom"/>
          </w:tcPr>
          <w:p w14:paraId="4F116807" w14:textId="618AA738"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r>
      <w:tr w:rsidR="20DE3AC1" w14:paraId="4F1DB119" w14:textId="77777777" w:rsidTr="3BCD5C0E">
        <w:trPr>
          <w:trHeight w:val="300"/>
          <w:jc w:val="center"/>
        </w:trPr>
        <w:tc>
          <w:tcPr>
            <w:tcW w:w="2365" w:type="dxa"/>
            <w:tcBorders>
              <w:top w:val="single" w:sz="4" w:space="0" w:color="44B3E1"/>
              <w:left w:val="nil"/>
              <w:bottom w:val="nil"/>
              <w:right w:val="nil"/>
            </w:tcBorders>
            <w:tcMar>
              <w:top w:w="15" w:type="dxa"/>
              <w:left w:w="15" w:type="dxa"/>
              <w:right w:w="15" w:type="dxa"/>
            </w:tcMar>
            <w:vAlign w:val="bottom"/>
          </w:tcPr>
          <w:p w14:paraId="25B661F8" w14:textId="2228C1DF"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Activo</w:t>
            </w:r>
          </w:p>
        </w:tc>
        <w:tc>
          <w:tcPr>
            <w:tcW w:w="2246" w:type="dxa"/>
            <w:tcBorders>
              <w:top w:val="single" w:sz="4" w:space="0" w:color="44B3E1"/>
              <w:left w:val="nil"/>
              <w:bottom w:val="nil"/>
              <w:right w:val="nil"/>
            </w:tcBorders>
            <w:tcMar>
              <w:top w:w="15" w:type="dxa"/>
              <w:left w:w="15" w:type="dxa"/>
              <w:right w:w="15" w:type="dxa"/>
            </w:tcMar>
            <w:vAlign w:val="bottom"/>
          </w:tcPr>
          <w:p w14:paraId="7A401C59" w14:textId="0E8D62CF"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13</w:t>
            </w:r>
          </w:p>
        </w:tc>
        <w:tc>
          <w:tcPr>
            <w:tcW w:w="1686" w:type="dxa"/>
            <w:tcBorders>
              <w:top w:val="single" w:sz="4" w:space="0" w:color="44B3E1"/>
              <w:left w:val="nil"/>
              <w:bottom w:val="nil"/>
              <w:right w:val="nil"/>
            </w:tcBorders>
            <w:tcMar>
              <w:top w:w="15" w:type="dxa"/>
              <w:left w:w="15" w:type="dxa"/>
              <w:right w:w="15" w:type="dxa"/>
            </w:tcMar>
            <w:vAlign w:val="bottom"/>
          </w:tcPr>
          <w:p w14:paraId="22BF4925" w14:textId="1C7532FD"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w:t>
            </w:r>
          </w:p>
        </w:tc>
        <w:tc>
          <w:tcPr>
            <w:tcW w:w="1999" w:type="dxa"/>
            <w:tcBorders>
              <w:top w:val="single" w:sz="4" w:space="0" w:color="44B3E1"/>
              <w:left w:val="nil"/>
              <w:bottom w:val="nil"/>
              <w:right w:val="nil"/>
            </w:tcBorders>
            <w:tcMar>
              <w:top w:w="15" w:type="dxa"/>
              <w:left w:w="15" w:type="dxa"/>
              <w:right w:w="15" w:type="dxa"/>
            </w:tcMar>
            <w:vAlign w:val="bottom"/>
          </w:tcPr>
          <w:p w14:paraId="246E63C2" w14:textId="566EC5E1" w:rsidR="20DE3AC1" w:rsidRDefault="20DE3AC1" w:rsidP="3BCD5C0E">
            <w:pPr>
              <w:rPr>
                <w:rFonts w:ascii="Verdana Pro" w:eastAsia="Verdana Pro" w:hAnsi="Verdana Pro" w:cs="Verdana Pro"/>
              </w:rPr>
            </w:pPr>
          </w:p>
        </w:tc>
        <w:tc>
          <w:tcPr>
            <w:tcW w:w="1333" w:type="dxa"/>
            <w:tcBorders>
              <w:top w:val="single" w:sz="4" w:space="0" w:color="44B3E1"/>
              <w:left w:val="nil"/>
              <w:bottom w:val="nil"/>
              <w:right w:val="nil"/>
            </w:tcBorders>
            <w:tcMar>
              <w:top w:w="15" w:type="dxa"/>
              <w:left w:w="15" w:type="dxa"/>
              <w:right w:w="15" w:type="dxa"/>
            </w:tcMar>
            <w:vAlign w:val="bottom"/>
          </w:tcPr>
          <w:p w14:paraId="3A816D4E" w14:textId="247C222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15</w:t>
            </w:r>
          </w:p>
        </w:tc>
      </w:tr>
      <w:tr w:rsidR="20DE3AC1" w14:paraId="42CB5C42" w14:textId="77777777" w:rsidTr="3BCD5C0E">
        <w:trPr>
          <w:trHeight w:val="300"/>
          <w:jc w:val="center"/>
        </w:trPr>
        <w:tc>
          <w:tcPr>
            <w:tcW w:w="2365" w:type="dxa"/>
            <w:tcBorders>
              <w:top w:val="nil"/>
              <w:left w:val="nil"/>
              <w:bottom w:val="nil"/>
              <w:right w:val="nil"/>
            </w:tcBorders>
            <w:tcMar>
              <w:top w:w="15" w:type="dxa"/>
              <w:left w:w="15" w:type="dxa"/>
              <w:right w:w="15" w:type="dxa"/>
            </w:tcMar>
            <w:vAlign w:val="bottom"/>
          </w:tcPr>
          <w:p w14:paraId="783C10C2" w14:textId="240377C6" w:rsidR="110691CD" w:rsidRDefault="1057088B"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lastRenderedPageBreak/>
              <w:t>C</w:t>
            </w:r>
            <w:r w:rsidR="2C851D01" w:rsidRPr="3BCD5C0E">
              <w:rPr>
                <w:rFonts w:ascii="Verdana Pro" w:eastAsia="Verdana Pro" w:hAnsi="Verdana Pro" w:cs="Verdana Pro"/>
                <w:color w:val="000000" w:themeColor="text1"/>
                <w:sz w:val="22"/>
                <w:szCs w:val="22"/>
              </w:rPr>
              <w:t>edido</w:t>
            </w:r>
          </w:p>
        </w:tc>
        <w:tc>
          <w:tcPr>
            <w:tcW w:w="2246" w:type="dxa"/>
            <w:tcBorders>
              <w:top w:val="nil"/>
              <w:left w:val="nil"/>
              <w:bottom w:val="nil"/>
              <w:right w:val="nil"/>
            </w:tcBorders>
            <w:tcMar>
              <w:top w:w="15" w:type="dxa"/>
              <w:left w:w="15" w:type="dxa"/>
              <w:right w:w="15" w:type="dxa"/>
            </w:tcMar>
            <w:vAlign w:val="bottom"/>
          </w:tcPr>
          <w:p w14:paraId="2E6CB533" w14:textId="60B2F10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c>
          <w:tcPr>
            <w:tcW w:w="1686" w:type="dxa"/>
            <w:tcBorders>
              <w:top w:val="nil"/>
              <w:left w:val="nil"/>
              <w:bottom w:val="nil"/>
              <w:right w:val="nil"/>
            </w:tcBorders>
            <w:tcMar>
              <w:top w:w="15" w:type="dxa"/>
              <w:left w:w="15" w:type="dxa"/>
              <w:right w:w="15" w:type="dxa"/>
            </w:tcMar>
            <w:vAlign w:val="bottom"/>
          </w:tcPr>
          <w:p w14:paraId="78DD2581" w14:textId="4D875C94" w:rsidR="20DE3AC1" w:rsidRDefault="20DE3AC1" w:rsidP="3BCD5C0E">
            <w:pPr>
              <w:rPr>
                <w:rFonts w:ascii="Verdana Pro" w:eastAsia="Verdana Pro" w:hAnsi="Verdana Pro" w:cs="Verdana Pro"/>
              </w:rPr>
            </w:pPr>
          </w:p>
        </w:tc>
        <w:tc>
          <w:tcPr>
            <w:tcW w:w="1999" w:type="dxa"/>
            <w:tcBorders>
              <w:top w:val="nil"/>
              <w:left w:val="nil"/>
              <w:bottom w:val="nil"/>
              <w:right w:val="nil"/>
            </w:tcBorders>
            <w:tcMar>
              <w:top w:w="15" w:type="dxa"/>
              <w:left w:w="15" w:type="dxa"/>
              <w:right w:w="15" w:type="dxa"/>
            </w:tcMar>
            <w:vAlign w:val="bottom"/>
          </w:tcPr>
          <w:p w14:paraId="01C39692" w14:textId="34038C63" w:rsidR="20DE3AC1" w:rsidRDefault="20DE3AC1" w:rsidP="3BCD5C0E">
            <w:pPr>
              <w:rPr>
                <w:rFonts w:ascii="Verdana Pro" w:eastAsia="Verdana Pro" w:hAnsi="Verdana Pro" w:cs="Verdana Pro"/>
              </w:rPr>
            </w:pPr>
          </w:p>
        </w:tc>
        <w:tc>
          <w:tcPr>
            <w:tcW w:w="1333" w:type="dxa"/>
            <w:tcBorders>
              <w:top w:val="nil"/>
              <w:left w:val="nil"/>
              <w:bottom w:val="nil"/>
              <w:right w:val="nil"/>
            </w:tcBorders>
            <w:tcMar>
              <w:top w:w="15" w:type="dxa"/>
              <w:left w:w="15" w:type="dxa"/>
              <w:right w:w="15" w:type="dxa"/>
            </w:tcMar>
            <w:vAlign w:val="bottom"/>
          </w:tcPr>
          <w:p w14:paraId="3CC4369A" w14:textId="6B7BDFBF"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r>
      <w:tr w:rsidR="20DE3AC1" w14:paraId="1D6A9522" w14:textId="77777777" w:rsidTr="3BCD5C0E">
        <w:trPr>
          <w:trHeight w:val="300"/>
          <w:jc w:val="center"/>
        </w:trPr>
        <w:tc>
          <w:tcPr>
            <w:tcW w:w="2365" w:type="dxa"/>
            <w:tcBorders>
              <w:top w:val="nil"/>
              <w:left w:val="nil"/>
              <w:bottom w:val="nil"/>
              <w:right w:val="nil"/>
            </w:tcBorders>
            <w:tcMar>
              <w:top w:w="15" w:type="dxa"/>
              <w:left w:w="15" w:type="dxa"/>
              <w:right w:w="15" w:type="dxa"/>
            </w:tcMar>
            <w:vAlign w:val="bottom"/>
          </w:tcPr>
          <w:p w14:paraId="1210461A" w14:textId="31C42EE9"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En ejecución</w:t>
            </w:r>
          </w:p>
        </w:tc>
        <w:tc>
          <w:tcPr>
            <w:tcW w:w="2246" w:type="dxa"/>
            <w:tcBorders>
              <w:top w:val="nil"/>
              <w:left w:val="nil"/>
              <w:bottom w:val="nil"/>
              <w:right w:val="nil"/>
            </w:tcBorders>
            <w:tcMar>
              <w:top w:w="15" w:type="dxa"/>
              <w:left w:w="15" w:type="dxa"/>
              <w:right w:w="15" w:type="dxa"/>
            </w:tcMar>
            <w:vAlign w:val="bottom"/>
          </w:tcPr>
          <w:p w14:paraId="0BE4011F" w14:textId="01998FB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60</w:t>
            </w:r>
          </w:p>
        </w:tc>
        <w:tc>
          <w:tcPr>
            <w:tcW w:w="1686" w:type="dxa"/>
            <w:tcBorders>
              <w:top w:val="nil"/>
              <w:left w:val="nil"/>
              <w:bottom w:val="nil"/>
              <w:right w:val="nil"/>
            </w:tcBorders>
            <w:tcMar>
              <w:top w:w="15" w:type="dxa"/>
              <w:left w:w="15" w:type="dxa"/>
              <w:right w:w="15" w:type="dxa"/>
            </w:tcMar>
            <w:vAlign w:val="bottom"/>
          </w:tcPr>
          <w:p w14:paraId="2B28D7FC" w14:textId="4B1740D6"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16</w:t>
            </w:r>
          </w:p>
        </w:tc>
        <w:tc>
          <w:tcPr>
            <w:tcW w:w="1999" w:type="dxa"/>
            <w:tcBorders>
              <w:top w:val="nil"/>
              <w:left w:val="nil"/>
              <w:bottom w:val="nil"/>
              <w:right w:val="nil"/>
            </w:tcBorders>
            <w:tcMar>
              <w:top w:w="15" w:type="dxa"/>
              <w:left w:w="15" w:type="dxa"/>
              <w:right w:w="15" w:type="dxa"/>
            </w:tcMar>
            <w:vAlign w:val="bottom"/>
          </w:tcPr>
          <w:p w14:paraId="4D7A21B8" w14:textId="2B48F17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4</w:t>
            </w:r>
          </w:p>
        </w:tc>
        <w:tc>
          <w:tcPr>
            <w:tcW w:w="1333" w:type="dxa"/>
            <w:tcBorders>
              <w:top w:val="nil"/>
              <w:left w:val="nil"/>
              <w:bottom w:val="nil"/>
              <w:right w:val="nil"/>
            </w:tcBorders>
            <w:tcMar>
              <w:top w:w="15" w:type="dxa"/>
              <w:left w:w="15" w:type="dxa"/>
              <w:right w:w="15" w:type="dxa"/>
            </w:tcMar>
            <w:vAlign w:val="bottom"/>
          </w:tcPr>
          <w:p w14:paraId="07A3D241" w14:textId="2747A27D"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80</w:t>
            </w:r>
          </w:p>
        </w:tc>
      </w:tr>
      <w:tr w:rsidR="20DE3AC1" w14:paraId="7D6B5845" w14:textId="77777777" w:rsidTr="3BCD5C0E">
        <w:trPr>
          <w:trHeight w:val="300"/>
          <w:jc w:val="center"/>
        </w:trPr>
        <w:tc>
          <w:tcPr>
            <w:tcW w:w="2365" w:type="dxa"/>
            <w:tcBorders>
              <w:top w:val="nil"/>
              <w:left w:val="nil"/>
              <w:bottom w:val="nil"/>
              <w:right w:val="nil"/>
            </w:tcBorders>
            <w:tcMar>
              <w:top w:w="15" w:type="dxa"/>
              <w:left w:w="15" w:type="dxa"/>
              <w:right w:w="15" w:type="dxa"/>
            </w:tcMar>
            <w:vAlign w:val="bottom"/>
          </w:tcPr>
          <w:p w14:paraId="5D5FCC80" w14:textId="15A2CB3F"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Modificado</w:t>
            </w:r>
          </w:p>
        </w:tc>
        <w:tc>
          <w:tcPr>
            <w:tcW w:w="2246" w:type="dxa"/>
            <w:tcBorders>
              <w:top w:val="nil"/>
              <w:left w:val="nil"/>
              <w:bottom w:val="nil"/>
              <w:right w:val="nil"/>
            </w:tcBorders>
            <w:tcMar>
              <w:top w:w="15" w:type="dxa"/>
              <w:left w:w="15" w:type="dxa"/>
              <w:right w:w="15" w:type="dxa"/>
            </w:tcMar>
            <w:vAlign w:val="bottom"/>
          </w:tcPr>
          <w:p w14:paraId="24F1C8BE" w14:textId="35D8AB4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121</w:t>
            </w:r>
          </w:p>
        </w:tc>
        <w:tc>
          <w:tcPr>
            <w:tcW w:w="1686" w:type="dxa"/>
            <w:tcBorders>
              <w:top w:val="nil"/>
              <w:left w:val="nil"/>
              <w:bottom w:val="nil"/>
              <w:right w:val="nil"/>
            </w:tcBorders>
            <w:tcMar>
              <w:top w:w="15" w:type="dxa"/>
              <w:left w:w="15" w:type="dxa"/>
              <w:right w:w="15" w:type="dxa"/>
            </w:tcMar>
            <w:vAlign w:val="bottom"/>
          </w:tcPr>
          <w:p w14:paraId="4421AF90" w14:textId="74E714B6"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65</w:t>
            </w:r>
          </w:p>
        </w:tc>
        <w:tc>
          <w:tcPr>
            <w:tcW w:w="1999" w:type="dxa"/>
            <w:tcBorders>
              <w:top w:val="nil"/>
              <w:left w:val="nil"/>
              <w:bottom w:val="nil"/>
              <w:right w:val="nil"/>
            </w:tcBorders>
            <w:tcMar>
              <w:top w:w="15" w:type="dxa"/>
              <w:left w:w="15" w:type="dxa"/>
              <w:right w:w="15" w:type="dxa"/>
            </w:tcMar>
            <w:vAlign w:val="bottom"/>
          </w:tcPr>
          <w:p w14:paraId="62DC7770" w14:textId="1C3B3B64"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10</w:t>
            </w:r>
          </w:p>
        </w:tc>
        <w:tc>
          <w:tcPr>
            <w:tcW w:w="1333" w:type="dxa"/>
            <w:tcBorders>
              <w:top w:val="nil"/>
              <w:left w:val="nil"/>
              <w:bottom w:val="nil"/>
              <w:right w:val="nil"/>
            </w:tcBorders>
            <w:tcMar>
              <w:top w:w="15" w:type="dxa"/>
              <w:left w:w="15" w:type="dxa"/>
              <w:right w:w="15" w:type="dxa"/>
            </w:tcMar>
            <w:vAlign w:val="bottom"/>
          </w:tcPr>
          <w:p w14:paraId="5110B41C" w14:textId="1CA8F793"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196</w:t>
            </w:r>
          </w:p>
        </w:tc>
      </w:tr>
      <w:tr w:rsidR="20DE3AC1" w14:paraId="08F808D2" w14:textId="77777777" w:rsidTr="3BCD5C0E">
        <w:trPr>
          <w:trHeight w:val="300"/>
          <w:jc w:val="center"/>
        </w:trPr>
        <w:tc>
          <w:tcPr>
            <w:tcW w:w="2365" w:type="dxa"/>
            <w:tcBorders>
              <w:top w:val="nil"/>
              <w:left w:val="nil"/>
              <w:bottom w:val="nil"/>
              <w:right w:val="nil"/>
            </w:tcBorders>
            <w:tcMar>
              <w:top w:w="15" w:type="dxa"/>
              <w:left w:w="15" w:type="dxa"/>
              <w:right w:w="15" w:type="dxa"/>
            </w:tcMar>
            <w:vAlign w:val="bottom"/>
          </w:tcPr>
          <w:p w14:paraId="0E880D64" w14:textId="38BFED80" w:rsidR="20DE3AC1" w:rsidRDefault="2C851D01"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Suspendido</w:t>
            </w:r>
          </w:p>
        </w:tc>
        <w:tc>
          <w:tcPr>
            <w:tcW w:w="2246" w:type="dxa"/>
            <w:tcBorders>
              <w:top w:val="nil"/>
              <w:left w:val="nil"/>
              <w:bottom w:val="nil"/>
              <w:right w:val="nil"/>
            </w:tcBorders>
            <w:tcMar>
              <w:top w:w="15" w:type="dxa"/>
              <w:left w:w="15" w:type="dxa"/>
              <w:right w:w="15" w:type="dxa"/>
            </w:tcMar>
            <w:vAlign w:val="bottom"/>
          </w:tcPr>
          <w:p w14:paraId="31B8B376" w14:textId="55702908"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12</w:t>
            </w:r>
          </w:p>
        </w:tc>
        <w:tc>
          <w:tcPr>
            <w:tcW w:w="1686" w:type="dxa"/>
            <w:tcBorders>
              <w:top w:val="nil"/>
              <w:left w:val="nil"/>
              <w:bottom w:val="nil"/>
              <w:right w:val="nil"/>
            </w:tcBorders>
            <w:tcMar>
              <w:top w:w="15" w:type="dxa"/>
              <w:left w:w="15" w:type="dxa"/>
              <w:right w:w="15" w:type="dxa"/>
            </w:tcMar>
            <w:vAlign w:val="bottom"/>
          </w:tcPr>
          <w:p w14:paraId="5B5FAA01" w14:textId="36BFD744"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w:t>
            </w:r>
          </w:p>
        </w:tc>
        <w:tc>
          <w:tcPr>
            <w:tcW w:w="1999" w:type="dxa"/>
            <w:tcBorders>
              <w:top w:val="nil"/>
              <w:left w:val="nil"/>
              <w:bottom w:val="nil"/>
              <w:right w:val="nil"/>
            </w:tcBorders>
            <w:tcMar>
              <w:top w:w="15" w:type="dxa"/>
              <w:left w:w="15" w:type="dxa"/>
              <w:right w:w="15" w:type="dxa"/>
            </w:tcMar>
            <w:vAlign w:val="bottom"/>
          </w:tcPr>
          <w:p w14:paraId="1152097A" w14:textId="663E521C"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w:t>
            </w:r>
          </w:p>
        </w:tc>
        <w:tc>
          <w:tcPr>
            <w:tcW w:w="1333" w:type="dxa"/>
            <w:tcBorders>
              <w:top w:val="nil"/>
              <w:left w:val="nil"/>
              <w:bottom w:val="nil"/>
              <w:right w:val="nil"/>
            </w:tcBorders>
            <w:tcMar>
              <w:top w:w="15" w:type="dxa"/>
              <w:left w:w="15" w:type="dxa"/>
              <w:right w:w="15" w:type="dxa"/>
            </w:tcMar>
            <w:vAlign w:val="bottom"/>
          </w:tcPr>
          <w:p w14:paraId="4B3D40E1" w14:textId="47B5F8A0"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19</w:t>
            </w:r>
          </w:p>
        </w:tc>
      </w:tr>
      <w:tr w:rsidR="20DE3AC1" w14:paraId="072CB7E6" w14:textId="77777777" w:rsidTr="3BCD5C0E">
        <w:trPr>
          <w:trHeight w:val="300"/>
          <w:jc w:val="center"/>
        </w:trPr>
        <w:tc>
          <w:tcPr>
            <w:tcW w:w="2365" w:type="dxa"/>
            <w:tcBorders>
              <w:top w:val="nil"/>
              <w:left w:val="nil"/>
              <w:bottom w:val="nil"/>
              <w:right w:val="nil"/>
            </w:tcBorders>
            <w:tcMar>
              <w:top w:w="15" w:type="dxa"/>
              <w:left w:w="15" w:type="dxa"/>
              <w:right w:w="15" w:type="dxa"/>
            </w:tcMar>
            <w:vAlign w:val="bottom"/>
          </w:tcPr>
          <w:p w14:paraId="3F70B751" w14:textId="73D688F5" w:rsidR="7FE01D6A" w:rsidRDefault="4DC5FF46" w:rsidP="3BCD5C0E">
            <w:pP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T</w:t>
            </w:r>
            <w:r w:rsidR="2C851D01" w:rsidRPr="3BCD5C0E">
              <w:rPr>
                <w:rFonts w:ascii="Verdana Pro" w:eastAsia="Verdana Pro" w:hAnsi="Verdana Pro" w:cs="Verdana Pro"/>
                <w:color w:val="000000" w:themeColor="text1"/>
                <w:sz w:val="22"/>
                <w:szCs w:val="22"/>
              </w:rPr>
              <w:t>erminado</w:t>
            </w:r>
          </w:p>
        </w:tc>
        <w:tc>
          <w:tcPr>
            <w:tcW w:w="2246" w:type="dxa"/>
            <w:tcBorders>
              <w:top w:val="nil"/>
              <w:left w:val="nil"/>
              <w:bottom w:val="nil"/>
              <w:right w:val="nil"/>
            </w:tcBorders>
            <w:tcMar>
              <w:top w:w="15" w:type="dxa"/>
              <w:left w:w="15" w:type="dxa"/>
              <w:right w:w="15" w:type="dxa"/>
            </w:tcMar>
            <w:vAlign w:val="bottom"/>
          </w:tcPr>
          <w:p w14:paraId="7C4D0C6A" w14:textId="7ABEE19B"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58</w:t>
            </w:r>
          </w:p>
        </w:tc>
        <w:tc>
          <w:tcPr>
            <w:tcW w:w="1686" w:type="dxa"/>
            <w:tcBorders>
              <w:top w:val="nil"/>
              <w:left w:val="nil"/>
              <w:bottom w:val="nil"/>
              <w:right w:val="nil"/>
            </w:tcBorders>
            <w:tcMar>
              <w:top w:w="15" w:type="dxa"/>
              <w:left w:w="15" w:type="dxa"/>
              <w:right w:w="15" w:type="dxa"/>
            </w:tcMar>
            <w:vAlign w:val="bottom"/>
          </w:tcPr>
          <w:p w14:paraId="20887CD1" w14:textId="2596BA4E"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11</w:t>
            </w:r>
          </w:p>
        </w:tc>
        <w:tc>
          <w:tcPr>
            <w:tcW w:w="1999" w:type="dxa"/>
            <w:tcBorders>
              <w:top w:val="nil"/>
              <w:left w:val="nil"/>
              <w:bottom w:val="nil"/>
              <w:right w:val="nil"/>
            </w:tcBorders>
            <w:tcMar>
              <w:top w:w="15" w:type="dxa"/>
              <w:left w:w="15" w:type="dxa"/>
              <w:right w:w="15" w:type="dxa"/>
            </w:tcMar>
            <w:vAlign w:val="bottom"/>
          </w:tcPr>
          <w:p w14:paraId="30D81CD6" w14:textId="6CBE97CF" w:rsidR="20DE3AC1" w:rsidRDefault="20DE3AC1" w:rsidP="3BCD5C0E">
            <w:pPr>
              <w:rPr>
                <w:rFonts w:ascii="Verdana Pro" w:eastAsia="Verdana Pro" w:hAnsi="Verdana Pro" w:cs="Verdana Pro"/>
              </w:rPr>
            </w:pPr>
          </w:p>
        </w:tc>
        <w:tc>
          <w:tcPr>
            <w:tcW w:w="1333" w:type="dxa"/>
            <w:tcBorders>
              <w:top w:val="nil"/>
              <w:left w:val="nil"/>
              <w:bottom w:val="nil"/>
              <w:right w:val="nil"/>
            </w:tcBorders>
            <w:tcMar>
              <w:top w:w="15" w:type="dxa"/>
              <w:left w:w="15" w:type="dxa"/>
              <w:right w:w="15" w:type="dxa"/>
            </w:tcMar>
            <w:vAlign w:val="bottom"/>
          </w:tcPr>
          <w:p w14:paraId="57BE4AAB" w14:textId="747A7E98" w:rsidR="20DE3AC1" w:rsidRDefault="2C851D01" w:rsidP="3BCD5C0E">
            <w:pPr>
              <w:jc w:val="right"/>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69</w:t>
            </w:r>
          </w:p>
        </w:tc>
      </w:tr>
      <w:tr w:rsidR="20DE3AC1" w14:paraId="757891F5" w14:textId="77777777" w:rsidTr="3BCD5C0E">
        <w:trPr>
          <w:trHeight w:val="300"/>
          <w:jc w:val="center"/>
        </w:trPr>
        <w:tc>
          <w:tcPr>
            <w:tcW w:w="2365" w:type="dxa"/>
            <w:tcBorders>
              <w:top w:val="single" w:sz="4" w:space="0" w:color="44B3E1"/>
              <w:left w:val="nil"/>
              <w:bottom w:val="nil"/>
              <w:right w:val="nil"/>
            </w:tcBorders>
            <w:shd w:val="clear" w:color="auto" w:fill="C0E6F5"/>
            <w:tcMar>
              <w:top w:w="15" w:type="dxa"/>
              <w:left w:w="15" w:type="dxa"/>
              <w:right w:w="15" w:type="dxa"/>
            </w:tcMar>
            <w:vAlign w:val="bottom"/>
          </w:tcPr>
          <w:p w14:paraId="05C383E5" w14:textId="79AB4826" w:rsidR="20DE3AC1" w:rsidRDefault="2C851D01" w:rsidP="3BCD5C0E">
            <w:pPr>
              <w:rPr>
                <w:rFonts w:ascii="Verdana Pro" w:eastAsia="Verdana Pro" w:hAnsi="Verdana Pro" w:cs="Verdana Pro"/>
                <w:b/>
                <w:bCs/>
                <w:color w:val="000000" w:themeColor="text1"/>
                <w:sz w:val="22"/>
                <w:szCs w:val="22"/>
              </w:rPr>
            </w:pPr>
            <w:proofErr w:type="gramStart"/>
            <w:r w:rsidRPr="3BCD5C0E">
              <w:rPr>
                <w:rFonts w:ascii="Verdana Pro" w:eastAsia="Verdana Pro" w:hAnsi="Verdana Pro" w:cs="Verdana Pro"/>
                <w:b/>
                <w:bCs/>
                <w:color w:val="000000" w:themeColor="text1"/>
                <w:sz w:val="22"/>
                <w:szCs w:val="22"/>
              </w:rPr>
              <w:t>Total</w:t>
            </w:r>
            <w:proofErr w:type="gramEnd"/>
            <w:r w:rsidRPr="3BCD5C0E">
              <w:rPr>
                <w:rFonts w:ascii="Verdana Pro" w:eastAsia="Verdana Pro" w:hAnsi="Verdana Pro" w:cs="Verdana Pro"/>
                <w:b/>
                <w:bCs/>
                <w:color w:val="000000" w:themeColor="text1"/>
                <w:sz w:val="22"/>
                <w:szCs w:val="22"/>
              </w:rPr>
              <w:t xml:space="preserve"> general</w:t>
            </w:r>
          </w:p>
        </w:tc>
        <w:tc>
          <w:tcPr>
            <w:tcW w:w="2246" w:type="dxa"/>
            <w:tcBorders>
              <w:top w:val="single" w:sz="4" w:space="0" w:color="44B3E1"/>
              <w:left w:val="nil"/>
              <w:bottom w:val="nil"/>
              <w:right w:val="nil"/>
            </w:tcBorders>
            <w:shd w:val="clear" w:color="auto" w:fill="C0E6F5"/>
            <w:tcMar>
              <w:top w:w="15" w:type="dxa"/>
              <w:left w:w="15" w:type="dxa"/>
              <w:right w:w="15" w:type="dxa"/>
            </w:tcMar>
            <w:vAlign w:val="bottom"/>
          </w:tcPr>
          <w:p w14:paraId="15B1D2E2" w14:textId="780CF831"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265</w:t>
            </w:r>
          </w:p>
        </w:tc>
        <w:tc>
          <w:tcPr>
            <w:tcW w:w="1686" w:type="dxa"/>
            <w:tcBorders>
              <w:top w:val="single" w:sz="4" w:space="0" w:color="44B3E1"/>
              <w:left w:val="nil"/>
              <w:bottom w:val="nil"/>
              <w:right w:val="nil"/>
            </w:tcBorders>
            <w:shd w:val="clear" w:color="auto" w:fill="C0E6F5"/>
            <w:tcMar>
              <w:top w:w="15" w:type="dxa"/>
              <w:left w:w="15" w:type="dxa"/>
              <w:right w:w="15" w:type="dxa"/>
            </w:tcMar>
            <w:vAlign w:val="bottom"/>
          </w:tcPr>
          <w:p w14:paraId="6638F542" w14:textId="64F2438C"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100</w:t>
            </w:r>
          </w:p>
        </w:tc>
        <w:tc>
          <w:tcPr>
            <w:tcW w:w="1999" w:type="dxa"/>
            <w:tcBorders>
              <w:top w:val="single" w:sz="4" w:space="0" w:color="44B3E1"/>
              <w:left w:val="nil"/>
              <w:bottom w:val="nil"/>
              <w:right w:val="nil"/>
            </w:tcBorders>
            <w:shd w:val="clear" w:color="auto" w:fill="C0E6F5"/>
            <w:tcMar>
              <w:top w:w="15" w:type="dxa"/>
              <w:left w:w="15" w:type="dxa"/>
              <w:right w:w="15" w:type="dxa"/>
            </w:tcMar>
            <w:vAlign w:val="bottom"/>
          </w:tcPr>
          <w:p w14:paraId="386309D6" w14:textId="5DF46A19"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15</w:t>
            </w:r>
          </w:p>
        </w:tc>
        <w:tc>
          <w:tcPr>
            <w:tcW w:w="1333" w:type="dxa"/>
            <w:tcBorders>
              <w:top w:val="single" w:sz="4" w:space="0" w:color="44B3E1"/>
              <w:left w:val="nil"/>
              <w:bottom w:val="nil"/>
              <w:right w:val="nil"/>
            </w:tcBorders>
            <w:shd w:val="clear" w:color="auto" w:fill="C0E6F5"/>
            <w:tcMar>
              <w:top w:w="15" w:type="dxa"/>
              <w:left w:w="15" w:type="dxa"/>
              <w:right w:w="15" w:type="dxa"/>
            </w:tcMar>
            <w:vAlign w:val="bottom"/>
          </w:tcPr>
          <w:p w14:paraId="48DF9424" w14:textId="2F81214B" w:rsidR="20DE3AC1" w:rsidRDefault="2C851D01" w:rsidP="3BCD5C0E">
            <w:pPr>
              <w:jc w:val="right"/>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380</w:t>
            </w:r>
          </w:p>
        </w:tc>
      </w:tr>
    </w:tbl>
    <w:p w14:paraId="5EF8F6FA" w14:textId="2EB18DD6" w:rsidR="20DE3AC1" w:rsidRDefault="20DE3AC1" w:rsidP="3BCD5C0E">
      <w:pPr>
        <w:rPr>
          <w:rFonts w:ascii="Verdana Pro" w:eastAsia="Verdana Pro" w:hAnsi="Verdana Pro" w:cs="Verdana Pro"/>
        </w:rPr>
      </w:pPr>
    </w:p>
    <w:p w14:paraId="2F1BA1DE" w14:textId="7884CF2F" w:rsidR="3ECB730D" w:rsidRDefault="3ECB730D" w:rsidP="3BCD5C0E">
      <w:pPr>
        <w:jc w:val="center"/>
        <w:rPr>
          <w:rFonts w:ascii="Verdana Pro" w:eastAsia="Verdana Pro" w:hAnsi="Verdana Pro" w:cs="Verdana Pro"/>
        </w:rPr>
      </w:pPr>
      <w:r>
        <w:rPr>
          <w:noProof/>
        </w:rPr>
        <w:drawing>
          <wp:inline distT="0" distB="0" distL="0" distR="0" wp14:anchorId="2CFB6A88" wp14:editId="659B7323">
            <wp:extent cx="5931923" cy="2847079"/>
            <wp:effectExtent l="0" t="0" r="0" b="0"/>
            <wp:docPr id="663638931" name="Picture 66363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5931923" cy="2847079"/>
                    </a:xfrm>
                    <a:prstGeom prst="rect">
                      <a:avLst/>
                    </a:prstGeom>
                  </pic:spPr>
                </pic:pic>
              </a:graphicData>
            </a:graphic>
          </wp:inline>
        </w:drawing>
      </w:r>
    </w:p>
    <w:p w14:paraId="3C304F79" w14:textId="1B347B15" w:rsidR="20DE3AC1" w:rsidRDefault="20DE3AC1" w:rsidP="3BCD5C0E">
      <w:pPr>
        <w:rPr>
          <w:rFonts w:ascii="Verdana Pro" w:eastAsia="Verdana Pro" w:hAnsi="Verdana Pro" w:cs="Verdana Pro"/>
        </w:rPr>
      </w:pPr>
    </w:p>
    <w:p w14:paraId="732062F2" w14:textId="5B2B4F1E" w:rsidR="71257146" w:rsidRDefault="71257146" w:rsidP="3BCD5C0E">
      <w:pPr>
        <w:jc w:val="center"/>
        <w:rPr>
          <w:rFonts w:ascii="Verdana Pro" w:eastAsia="Verdana Pro" w:hAnsi="Verdana Pro" w:cs="Verdana Pro"/>
        </w:rPr>
      </w:pPr>
      <w:r>
        <w:rPr>
          <w:noProof/>
        </w:rPr>
        <w:lastRenderedPageBreak/>
        <w:drawing>
          <wp:inline distT="0" distB="0" distL="0" distR="0" wp14:anchorId="09460041" wp14:editId="68B99689">
            <wp:extent cx="5931923" cy="2847079"/>
            <wp:effectExtent l="0" t="0" r="0" b="0"/>
            <wp:docPr id="684297264" name="Picture 684297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931923" cy="2847079"/>
                    </a:xfrm>
                    <a:prstGeom prst="rect">
                      <a:avLst/>
                    </a:prstGeom>
                  </pic:spPr>
                </pic:pic>
              </a:graphicData>
            </a:graphic>
          </wp:inline>
        </w:drawing>
      </w:r>
    </w:p>
    <w:p w14:paraId="1A714333" w14:textId="23FE1B0A" w:rsidR="20DE3AC1" w:rsidRDefault="20DE3AC1" w:rsidP="3BCD5C0E">
      <w:pPr>
        <w:rPr>
          <w:rFonts w:ascii="Verdana Pro" w:eastAsia="Verdana Pro" w:hAnsi="Verdana Pro" w:cs="Verdana Pro"/>
        </w:rPr>
      </w:pPr>
    </w:p>
    <w:p w14:paraId="239C5CE1" w14:textId="1A6E637C" w:rsidR="71257146" w:rsidRDefault="71257146" w:rsidP="3BCD5C0E">
      <w:pPr>
        <w:jc w:val="center"/>
        <w:rPr>
          <w:rFonts w:ascii="Verdana Pro" w:eastAsia="Verdana Pro" w:hAnsi="Verdana Pro" w:cs="Verdana Pro"/>
        </w:rPr>
      </w:pPr>
      <w:r>
        <w:rPr>
          <w:noProof/>
        </w:rPr>
        <w:drawing>
          <wp:inline distT="0" distB="0" distL="0" distR="0" wp14:anchorId="799AF9B5" wp14:editId="735FC819">
            <wp:extent cx="5931923" cy="2847079"/>
            <wp:effectExtent l="0" t="0" r="0" b="0"/>
            <wp:docPr id="1544182784" name="Picture 154418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5931923" cy="2847079"/>
                    </a:xfrm>
                    <a:prstGeom prst="rect">
                      <a:avLst/>
                    </a:prstGeom>
                  </pic:spPr>
                </pic:pic>
              </a:graphicData>
            </a:graphic>
          </wp:inline>
        </w:drawing>
      </w:r>
    </w:p>
    <w:p w14:paraId="3273E32D" w14:textId="61207123" w:rsidR="20DE3AC1" w:rsidRDefault="20DE3AC1"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1070"/>
        <w:gridCol w:w="1070"/>
        <w:gridCol w:w="1070"/>
        <w:gridCol w:w="1070"/>
        <w:gridCol w:w="1070"/>
        <w:gridCol w:w="1070"/>
        <w:gridCol w:w="1070"/>
        <w:gridCol w:w="1070"/>
        <w:gridCol w:w="1071"/>
      </w:tblGrid>
      <w:tr w:rsidR="20DE3AC1" w14:paraId="270C096F" w14:textId="77777777" w:rsidTr="3BCD5C0E">
        <w:trPr>
          <w:trHeight w:val="300"/>
          <w:jc w:val="center"/>
        </w:trPr>
        <w:tc>
          <w:tcPr>
            <w:tcW w:w="1070" w:type="dxa"/>
            <w:vMerge w:val="restart"/>
            <w:tcBorders>
              <w:top w:val="nil"/>
              <w:left w:val="nil"/>
              <w:bottom w:val="nil"/>
              <w:right w:val="nil"/>
            </w:tcBorders>
            <w:shd w:val="clear" w:color="auto" w:fill="DAE9F8"/>
            <w:tcMar>
              <w:top w:w="15" w:type="dxa"/>
              <w:left w:w="15" w:type="dxa"/>
              <w:right w:w="15" w:type="dxa"/>
            </w:tcMar>
            <w:vAlign w:val="center"/>
          </w:tcPr>
          <w:p w14:paraId="4F503E07" w14:textId="0A34613B" w:rsidR="20DE3AC1" w:rsidRDefault="2C851D01" w:rsidP="3BCD5C0E">
            <w:pPr>
              <w:jc w:val="center"/>
              <w:rPr>
                <w:rFonts w:ascii="Verdana Pro" w:eastAsia="Verdana Pro" w:hAnsi="Verdana Pro" w:cs="Verdana Pro"/>
                <w:b/>
                <w:bCs/>
                <w:color w:val="000000" w:themeColor="text1"/>
                <w:sz w:val="14"/>
                <w:szCs w:val="14"/>
              </w:rPr>
            </w:pPr>
            <w:r w:rsidRPr="3BCD5C0E">
              <w:rPr>
                <w:rFonts w:ascii="Verdana Pro" w:eastAsia="Verdana Pro" w:hAnsi="Verdana Pro" w:cs="Verdana Pro"/>
                <w:b/>
                <w:bCs/>
                <w:color w:val="000000" w:themeColor="text1"/>
                <w:sz w:val="14"/>
                <w:szCs w:val="14"/>
              </w:rPr>
              <w:t>Cantidad de propuestas por proceso</w:t>
            </w:r>
          </w:p>
        </w:tc>
        <w:tc>
          <w:tcPr>
            <w:tcW w:w="2140" w:type="dxa"/>
            <w:gridSpan w:val="2"/>
            <w:tcBorders>
              <w:top w:val="nil"/>
              <w:left w:val="nil"/>
              <w:bottom w:val="nil"/>
              <w:right w:val="nil"/>
            </w:tcBorders>
            <w:shd w:val="clear" w:color="auto" w:fill="DAE9F8"/>
            <w:tcMar>
              <w:top w:w="15" w:type="dxa"/>
              <w:left w:w="15" w:type="dxa"/>
              <w:right w:w="15" w:type="dxa"/>
            </w:tcMar>
            <w:vAlign w:val="center"/>
          </w:tcPr>
          <w:p w14:paraId="462CE24D" w14:textId="6265D98F"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Seguridad Pública</w:t>
            </w:r>
          </w:p>
        </w:tc>
        <w:tc>
          <w:tcPr>
            <w:tcW w:w="2140" w:type="dxa"/>
            <w:gridSpan w:val="2"/>
            <w:tcBorders>
              <w:top w:val="nil"/>
              <w:left w:val="nil"/>
              <w:bottom w:val="nil"/>
              <w:right w:val="nil"/>
            </w:tcBorders>
            <w:shd w:val="clear" w:color="auto" w:fill="DAE9F8"/>
            <w:tcMar>
              <w:top w:w="15" w:type="dxa"/>
              <w:left w:w="15" w:type="dxa"/>
              <w:right w:w="15" w:type="dxa"/>
            </w:tcMar>
            <w:vAlign w:val="center"/>
          </w:tcPr>
          <w:p w14:paraId="207BC036" w14:textId="2EF082F6"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Servicio Público</w:t>
            </w:r>
          </w:p>
        </w:tc>
        <w:tc>
          <w:tcPr>
            <w:tcW w:w="2140" w:type="dxa"/>
            <w:gridSpan w:val="2"/>
            <w:tcBorders>
              <w:top w:val="nil"/>
              <w:left w:val="nil"/>
              <w:bottom w:val="nil"/>
              <w:right w:val="nil"/>
            </w:tcBorders>
            <w:shd w:val="clear" w:color="auto" w:fill="DAE9F8"/>
            <w:tcMar>
              <w:top w:w="15" w:type="dxa"/>
              <w:left w:w="15" w:type="dxa"/>
              <w:right w:w="15" w:type="dxa"/>
            </w:tcMar>
            <w:vAlign w:val="center"/>
          </w:tcPr>
          <w:p w14:paraId="758174B5" w14:textId="535084CB"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Sitios de Reclusión</w:t>
            </w:r>
          </w:p>
        </w:tc>
        <w:tc>
          <w:tcPr>
            <w:tcW w:w="2141" w:type="dxa"/>
            <w:gridSpan w:val="2"/>
            <w:tcBorders>
              <w:top w:val="nil"/>
              <w:left w:val="nil"/>
              <w:bottom w:val="nil"/>
              <w:right w:val="nil"/>
            </w:tcBorders>
            <w:shd w:val="clear" w:color="auto" w:fill="DAE9F8"/>
            <w:tcMar>
              <w:top w:w="15" w:type="dxa"/>
              <w:left w:w="15" w:type="dxa"/>
              <w:right w:w="15" w:type="dxa"/>
            </w:tcMar>
            <w:vAlign w:val="center"/>
          </w:tcPr>
          <w:p w14:paraId="05475D4F" w14:textId="6D139584"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TOTALES</w:t>
            </w:r>
          </w:p>
        </w:tc>
      </w:tr>
      <w:tr w:rsidR="20DE3AC1" w14:paraId="49AF0E06" w14:textId="77777777" w:rsidTr="3BCD5C0E">
        <w:trPr>
          <w:trHeight w:val="615"/>
          <w:jc w:val="center"/>
        </w:trPr>
        <w:tc>
          <w:tcPr>
            <w:tcW w:w="1070" w:type="dxa"/>
            <w:vMerge/>
            <w:vAlign w:val="center"/>
          </w:tcPr>
          <w:p w14:paraId="2A9306E8" w14:textId="77777777" w:rsidR="00FF6CE9" w:rsidRDefault="00FF6CE9"/>
        </w:tc>
        <w:tc>
          <w:tcPr>
            <w:tcW w:w="1070" w:type="dxa"/>
            <w:tcBorders>
              <w:top w:val="nil"/>
              <w:left w:val="nil"/>
              <w:bottom w:val="nil"/>
              <w:right w:val="nil"/>
            </w:tcBorders>
            <w:shd w:val="clear" w:color="auto" w:fill="DAE9F8"/>
            <w:tcMar>
              <w:top w:w="15" w:type="dxa"/>
              <w:left w:w="15" w:type="dxa"/>
              <w:right w:w="15" w:type="dxa"/>
            </w:tcMar>
            <w:vAlign w:val="center"/>
          </w:tcPr>
          <w:p w14:paraId="1EE13CEE" w14:textId="2112E049"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presentan propuesta</w:t>
            </w:r>
          </w:p>
        </w:tc>
        <w:tc>
          <w:tcPr>
            <w:tcW w:w="1070" w:type="dxa"/>
            <w:tcBorders>
              <w:top w:val="nil"/>
              <w:left w:val="nil"/>
              <w:bottom w:val="nil"/>
              <w:right w:val="nil"/>
            </w:tcBorders>
            <w:shd w:val="clear" w:color="auto" w:fill="DAE9F8"/>
            <w:tcMar>
              <w:top w:w="15" w:type="dxa"/>
              <w:left w:w="15" w:type="dxa"/>
              <w:right w:w="15" w:type="dxa"/>
            </w:tcMar>
            <w:vAlign w:val="center"/>
          </w:tcPr>
          <w:p w14:paraId="741A6807" w14:textId="09202421"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habilitados</w:t>
            </w:r>
          </w:p>
        </w:tc>
        <w:tc>
          <w:tcPr>
            <w:tcW w:w="1070" w:type="dxa"/>
            <w:tcBorders>
              <w:top w:val="nil"/>
              <w:left w:val="nil"/>
              <w:bottom w:val="nil"/>
              <w:right w:val="nil"/>
            </w:tcBorders>
            <w:shd w:val="clear" w:color="auto" w:fill="DAE9F8"/>
            <w:tcMar>
              <w:top w:w="15" w:type="dxa"/>
              <w:left w:w="15" w:type="dxa"/>
              <w:right w:w="15" w:type="dxa"/>
            </w:tcMar>
            <w:vAlign w:val="center"/>
          </w:tcPr>
          <w:p w14:paraId="3C81C5AE" w14:textId="2C1016F9"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presentan propuesta</w:t>
            </w:r>
          </w:p>
        </w:tc>
        <w:tc>
          <w:tcPr>
            <w:tcW w:w="1070" w:type="dxa"/>
            <w:tcBorders>
              <w:top w:val="nil"/>
              <w:left w:val="nil"/>
              <w:bottom w:val="nil"/>
              <w:right w:val="nil"/>
            </w:tcBorders>
            <w:shd w:val="clear" w:color="auto" w:fill="DAE9F8"/>
            <w:tcMar>
              <w:top w:w="15" w:type="dxa"/>
              <w:left w:w="15" w:type="dxa"/>
              <w:right w:w="15" w:type="dxa"/>
            </w:tcMar>
            <w:vAlign w:val="center"/>
          </w:tcPr>
          <w:p w14:paraId="701C4058" w14:textId="45AA29F8"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habilitados</w:t>
            </w:r>
          </w:p>
        </w:tc>
        <w:tc>
          <w:tcPr>
            <w:tcW w:w="1070" w:type="dxa"/>
            <w:tcBorders>
              <w:top w:val="nil"/>
              <w:left w:val="nil"/>
              <w:bottom w:val="nil"/>
              <w:right w:val="nil"/>
            </w:tcBorders>
            <w:shd w:val="clear" w:color="auto" w:fill="DAE9F8"/>
            <w:tcMar>
              <w:top w:w="15" w:type="dxa"/>
              <w:left w:w="15" w:type="dxa"/>
              <w:right w:w="15" w:type="dxa"/>
            </w:tcMar>
            <w:vAlign w:val="center"/>
          </w:tcPr>
          <w:p w14:paraId="74CA43FB" w14:textId="7A4A1340"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presentan propuesta</w:t>
            </w:r>
          </w:p>
        </w:tc>
        <w:tc>
          <w:tcPr>
            <w:tcW w:w="1070" w:type="dxa"/>
            <w:tcBorders>
              <w:top w:val="nil"/>
              <w:left w:val="nil"/>
              <w:bottom w:val="nil"/>
              <w:right w:val="nil"/>
            </w:tcBorders>
            <w:shd w:val="clear" w:color="auto" w:fill="DAE9F8"/>
            <w:tcMar>
              <w:top w:w="15" w:type="dxa"/>
              <w:left w:w="15" w:type="dxa"/>
              <w:right w:w="15" w:type="dxa"/>
            </w:tcMar>
            <w:vAlign w:val="center"/>
          </w:tcPr>
          <w:p w14:paraId="407B5D2B" w14:textId="2870793D"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habilitados</w:t>
            </w:r>
          </w:p>
        </w:tc>
        <w:tc>
          <w:tcPr>
            <w:tcW w:w="1070" w:type="dxa"/>
            <w:tcBorders>
              <w:top w:val="nil"/>
              <w:left w:val="nil"/>
              <w:bottom w:val="nil"/>
              <w:right w:val="nil"/>
            </w:tcBorders>
            <w:shd w:val="clear" w:color="auto" w:fill="DAE9F8"/>
            <w:tcMar>
              <w:top w:w="15" w:type="dxa"/>
              <w:left w:w="15" w:type="dxa"/>
              <w:right w:w="15" w:type="dxa"/>
            </w:tcMar>
            <w:vAlign w:val="center"/>
          </w:tcPr>
          <w:p w14:paraId="67D2A8C2" w14:textId="045BBBB5" w:rsidR="20DE3AC1" w:rsidRPr="00B00FCB" w:rsidRDefault="2C851D01" w:rsidP="3BCD5C0E">
            <w:pPr>
              <w:jc w:val="center"/>
              <w:rPr>
                <w:rFonts w:ascii="Verdana Pro" w:eastAsia="Verdana Pro" w:hAnsi="Verdana Pro" w:cs="Verdana Pro"/>
                <w:color w:val="000000" w:themeColor="text1"/>
                <w:sz w:val="14"/>
                <w:szCs w:val="14"/>
              </w:rPr>
            </w:pPr>
            <w:proofErr w:type="gramStart"/>
            <w:r w:rsidRPr="00B00FCB">
              <w:rPr>
                <w:rFonts w:ascii="Verdana Pro" w:eastAsia="Verdana Pro" w:hAnsi="Verdana Pro" w:cs="Verdana Pro"/>
                <w:color w:val="000000" w:themeColor="text1"/>
                <w:sz w:val="14"/>
                <w:szCs w:val="14"/>
              </w:rPr>
              <w:t>Total</w:t>
            </w:r>
            <w:proofErr w:type="gramEnd"/>
            <w:r w:rsidRPr="00B00FCB">
              <w:rPr>
                <w:rFonts w:ascii="Verdana Pro" w:eastAsia="Verdana Pro" w:hAnsi="Verdana Pro" w:cs="Verdana Pro"/>
                <w:color w:val="000000" w:themeColor="text1"/>
                <w:sz w:val="14"/>
                <w:szCs w:val="14"/>
              </w:rPr>
              <w:t xml:space="preserve"> </w:t>
            </w:r>
            <w:r w:rsidR="35667F1A" w:rsidRPr="00B00FCB">
              <w:rPr>
                <w:rFonts w:ascii="Verdana Pro" w:eastAsia="Verdana Pro" w:hAnsi="Verdana Pro" w:cs="Verdana Pro"/>
                <w:color w:val="000000" w:themeColor="text1"/>
                <w:sz w:val="14"/>
                <w:szCs w:val="14"/>
              </w:rPr>
              <w:t>P</w:t>
            </w:r>
            <w:r w:rsidRPr="00B00FCB">
              <w:rPr>
                <w:rFonts w:ascii="Verdana Pro" w:eastAsia="Verdana Pro" w:hAnsi="Verdana Pro" w:cs="Verdana Pro"/>
                <w:color w:val="000000" w:themeColor="text1"/>
                <w:sz w:val="14"/>
                <w:szCs w:val="14"/>
              </w:rPr>
              <w:t>roponentes presentan propuesta</w:t>
            </w:r>
          </w:p>
        </w:tc>
        <w:tc>
          <w:tcPr>
            <w:tcW w:w="1071" w:type="dxa"/>
            <w:tcBorders>
              <w:top w:val="nil"/>
              <w:left w:val="nil"/>
              <w:bottom w:val="nil"/>
              <w:right w:val="nil"/>
            </w:tcBorders>
            <w:shd w:val="clear" w:color="auto" w:fill="DAE9F8"/>
            <w:tcMar>
              <w:top w:w="15" w:type="dxa"/>
              <w:left w:w="15" w:type="dxa"/>
              <w:right w:w="15" w:type="dxa"/>
            </w:tcMar>
            <w:vAlign w:val="center"/>
          </w:tcPr>
          <w:p w14:paraId="587C2E20" w14:textId="013CBBA8" w:rsidR="20DE3AC1" w:rsidRPr="00B00FCB" w:rsidRDefault="2C851D01" w:rsidP="3BCD5C0E">
            <w:pPr>
              <w:jc w:val="center"/>
              <w:rPr>
                <w:rFonts w:ascii="Verdana Pro" w:eastAsia="Verdana Pro" w:hAnsi="Verdana Pro" w:cs="Verdana Pro"/>
                <w:color w:val="000000" w:themeColor="text1"/>
                <w:sz w:val="14"/>
                <w:szCs w:val="14"/>
              </w:rPr>
            </w:pPr>
            <w:r w:rsidRPr="00B00FCB">
              <w:rPr>
                <w:rFonts w:ascii="Verdana Pro" w:eastAsia="Verdana Pro" w:hAnsi="Verdana Pro" w:cs="Verdana Pro"/>
                <w:color w:val="000000" w:themeColor="text1"/>
                <w:sz w:val="14"/>
                <w:szCs w:val="14"/>
              </w:rPr>
              <w:t>Proponentes habilitados</w:t>
            </w:r>
          </w:p>
        </w:tc>
      </w:tr>
      <w:tr w:rsidR="20DE3AC1" w14:paraId="26A23790"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1F49118F" w14:textId="37D719BE"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lastRenderedPageBreak/>
              <w:t>1</w:t>
            </w:r>
          </w:p>
        </w:tc>
        <w:tc>
          <w:tcPr>
            <w:tcW w:w="1070" w:type="dxa"/>
            <w:tcBorders>
              <w:top w:val="nil"/>
              <w:left w:val="nil"/>
              <w:bottom w:val="nil"/>
              <w:right w:val="nil"/>
            </w:tcBorders>
            <w:tcMar>
              <w:top w:w="15" w:type="dxa"/>
              <w:left w:w="15" w:type="dxa"/>
              <w:right w:w="15" w:type="dxa"/>
            </w:tcMar>
            <w:vAlign w:val="center"/>
          </w:tcPr>
          <w:p w14:paraId="709029F4" w14:textId="10A324D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53</w:t>
            </w:r>
          </w:p>
        </w:tc>
        <w:tc>
          <w:tcPr>
            <w:tcW w:w="1070" w:type="dxa"/>
            <w:tcBorders>
              <w:top w:val="nil"/>
              <w:left w:val="nil"/>
              <w:bottom w:val="nil"/>
              <w:right w:val="nil"/>
            </w:tcBorders>
            <w:tcMar>
              <w:top w:w="15" w:type="dxa"/>
              <w:left w:w="15" w:type="dxa"/>
              <w:right w:w="15" w:type="dxa"/>
            </w:tcMar>
            <w:vAlign w:val="center"/>
          </w:tcPr>
          <w:p w14:paraId="4681FC3F" w14:textId="412554E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53</w:t>
            </w:r>
          </w:p>
        </w:tc>
        <w:tc>
          <w:tcPr>
            <w:tcW w:w="1070" w:type="dxa"/>
            <w:tcBorders>
              <w:top w:val="nil"/>
              <w:left w:val="nil"/>
              <w:bottom w:val="nil"/>
              <w:right w:val="nil"/>
            </w:tcBorders>
            <w:tcMar>
              <w:top w:w="15" w:type="dxa"/>
              <w:left w:w="15" w:type="dxa"/>
              <w:right w:w="15" w:type="dxa"/>
            </w:tcMar>
            <w:vAlign w:val="center"/>
          </w:tcPr>
          <w:p w14:paraId="2D374E99" w14:textId="09AC79F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0" w:type="dxa"/>
            <w:tcBorders>
              <w:top w:val="nil"/>
              <w:left w:val="nil"/>
              <w:bottom w:val="nil"/>
              <w:right w:val="nil"/>
            </w:tcBorders>
            <w:tcMar>
              <w:top w:w="15" w:type="dxa"/>
              <w:left w:w="15" w:type="dxa"/>
              <w:right w:w="15" w:type="dxa"/>
            </w:tcMar>
            <w:vAlign w:val="center"/>
          </w:tcPr>
          <w:p w14:paraId="61C33FD6" w14:textId="06F22F8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0" w:type="dxa"/>
            <w:tcBorders>
              <w:top w:val="nil"/>
              <w:left w:val="nil"/>
              <w:bottom w:val="nil"/>
              <w:right w:val="nil"/>
            </w:tcBorders>
            <w:tcMar>
              <w:top w:w="15" w:type="dxa"/>
              <w:left w:w="15" w:type="dxa"/>
              <w:right w:w="15" w:type="dxa"/>
            </w:tcMar>
            <w:vAlign w:val="center"/>
          </w:tcPr>
          <w:p w14:paraId="11F2F8AD" w14:textId="59B37F5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w:t>
            </w:r>
          </w:p>
        </w:tc>
        <w:tc>
          <w:tcPr>
            <w:tcW w:w="1070" w:type="dxa"/>
            <w:tcBorders>
              <w:top w:val="nil"/>
              <w:left w:val="nil"/>
              <w:bottom w:val="nil"/>
              <w:right w:val="nil"/>
            </w:tcBorders>
            <w:tcMar>
              <w:top w:w="15" w:type="dxa"/>
              <w:left w:w="15" w:type="dxa"/>
              <w:right w:w="15" w:type="dxa"/>
            </w:tcMar>
            <w:vAlign w:val="center"/>
          </w:tcPr>
          <w:p w14:paraId="2DB0C778" w14:textId="2A59CB3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w:t>
            </w:r>
          </w:p>
        </w:tc>
        <w:tc>
          <w:tcPr>
            <w:tcW w:w="1070" w:type="dxa"/>
            <w:tcBorders>
              <w:top w:val="nil"/>
              <w:left w:val="nil"/>
              <w:bottom w:val="nil"/>
              <w:right w:val="nil"/>
            </w:tcBorders>
            <w:shd w:val="clear" w:color="auto" w:fill="DAE9F8"/>
            <w:tcMar>
              <w:top w:w="15" w:type="dxa"/>
              <w:left w:w="15" w:type="dxa"/>
              <w:right w:w="15" w:type="dxa"/>
            </w:tcMar>
            <w:vAlign w:val="center"/>
          </w:tcPr>
          <w:p w14:paraId="661AC757" w14:textId="4AFBBDE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83</w:t>
            </w:r>
          </w:p>
        </w:tc>
        <w:tc>
          <w:tcPr>
            <w:tcW w:w="1071" w:type="dxa"/>
            <w:tcBorders>
              <w:top w:val="nil"/>
              <w:left w:val="nil"/>
              <w:bottom w:val="nil"/>
              <w:right w:val="nil"/>
            </w:tcBorders>
            <w:shd w:val="clear" w:color="auto" w:fill="DAE9F8"/>
            <w:tcMar>
              <w:top w:w="15" w:type="dxa"/>
              <w:left w:w="15" w:type="dxa"/>
              <w:right w:w="15" w:type="dxa"/>
            </w:tcMar>
            <w:vAlign w:val="center"/>
          </w:tcPr>
          <w:p w14:paraId="7F38CA11" w14:textId="6C3A267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83</w:t>
            </w:r>
          </w:p>
        </w:tc>
      </w:tr>
      <w:tr w:rsidR="20DE3AC1" w14:paraId="2501919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26C4CFB" w14:textId="6960D34B"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w:t>
            </w:r>
          </w:p>
        </w:tc>
        <w:tc>
          <w:tcPr>
            <w:tcW w:w="1070" w:type="dxa"/>
            <w:tcBorders>
              <w:top w:val="nil"/>
              <w:left w:val="nil"/>
              <w:bottom w:val="nil"/>
              <w:right w:val="nil"/>
            </w:tcBorders>
            <w:tcMar>
              <w:top w:w="15" w:type="dxa"/>
              <w:left w:w="15" w:type="dxa"/>
              <w:right w:w="15" w:type="dxa"/>
            </w:tcMar>
            <w:vAlign w:val="center"/>
          </w:tcPr>
          <w:p w14:paraId="4A7E11F8" w14:textId="6B94B12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c>
          <w:tcPr>
            <w:tcW w:w="1070" w:type="dxa"/>
            <w:tcBorders>
              <w:top w:val="nil"/>
              <w:left w:val="nil"/>
              <w:bottom w:val="nil"/>
              <w:right w:val="nil"/>
            </w:tcBorders>
            <w:tcMar>
              <w:top w:w="15" w:type="dxa"/>
              <w:left w:w="15" w:type="dxa"/>
              <w:right w:w="15" w:type="dxa"/>
            </w:tcMar>
            <w:vAlign w:val="center"/>
          </w:tcPr>
          <w:p w14:paraId="1DD6D5F8" w14:textId="6C7D10C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c>
          <w:tcPr>
            <w:tcW w:w="1070" w:type="dxa"/>
            <w:tcBorders>
              <w:top w:val="nil"/>
              <w:left w:val="nil"/>
              <w:bottom w:val="nil"/>
              <w:right w:val="nil"/>
            </w:tcBorders>
            <w:tcMar>
              <w:top w:w="15" w:type="dxa"/>
              <w:left w:w="15" w:type="dxa"/>
              <w:right w:w="15" w:type="dxa"/>
            </w:tcMar>
            <w:vAlign w:val="center"/>
          </w:tcPr>
          <w:p w14:paraId="4F5FF507" w14:textId="2892889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c>
          <w:tcPr>
            <w:tcW w:w="1070" w:type="dxa"/>
            <w:tcBorders>
              <w:top w:val="nil"/>
              <w:left w:val="nil"/>
              <w:bottom w:val="nil"/>
              <w:right w:val="nil"/>
            </w:tcBorders>
            <w:tcMar>
              <w:top w:w="15" w:type="dxa"/>
              <w:left w:w="15" w:type="dxa"/>
              <w:right w:w="15" w:type="dxa"/>
            </w:tcMar>
            <w:vAlign w:val="center"/>
          </w:tcPr>
          <w:p w14:paraId="4A229F3B" w14:textId="171F0A3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c>
          <w:tcPr>
            <w:tcW w:w="1070" w:type="dxa"/>
            <w:tcBorders>
              <w:top w:val="nil"/>
              <w:left w:val="nil"/>
              <w:bottom w:val="nil"/>
              <w:right w:val="nil"/>
            </w:tcBorders>
            <w:tcMar>
              <w:top w:w="15" w:type="dxa"/>
              <w:left w:w="15" w:type="dxa"/>
              <w:right w:w="15" w:type="dxa"/>
            </w:tcMar>
            <w:vAlign w:val="center"/>
          </w:tcPr>
          <w:p w14:paraId="6DD42A86" w14:textId="6F61C08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w:t>
            </w:r>
          </w:p>
        </w:tc>
        <w:tc>
          <w:tcPr>
            <w:tcW w:w="1070" w:type="dxa"/>
            <w:tcBorders>
              <w:top w:val="nil"/>
              <w:left w:val="nil"/>
              <w:bottom w:val="nil"/>
              <w:right w:val="nil"/>
            </w:tcBorders>
            <w:tcMar>
              <w:top w:w="15" w:type="dxa"/>
              <w:left w:w="15" w:type="dxa"/>
              <w:right w:w="15" w:type="dxa"/>
            </w:tcMar>
            <w:vAlign w:val="center"/>
          </w:tcPr>
          <w:p w14:paraId="6E9DC225" w14:textId="4EE014E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w:t>
            </w:r>
          </w:p>
        </w:tc>
        <w:tc>
          <w:tcPr>
            <w:tcW w:w="1070" w:type="dxa"/>
            <w:tcBorders>
              <w:top w:val="nil"/>
              <w:left w:val="nil"/>
              <w:bottom w:val="nil"/>
              <w:right w:val="nil"/>
            </w:tcBorders>
            <w:shd w:val="clear" w:color="auto" w:fill="DAE9F8"/>
            <w:tcMar>
              <w:top w:w="15" w:type="dxa"/>
              <w:left w:w="15" w:type="dxa"/>
              <w:right w:w="15" w:type="dxa"/>
            </w:tcMar>
            <w:vAlign w:val="center"/>
          </w:tcPr>
          <w:p w14:paraId="3207DE16" w14:textId="2924E99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102</w:t>
            </w:r>
          </w:p>
        </w:tc>
        <w:tc>
          <w:tcPr>
            <w:tcW w:w="1071" w:type="dxa"/>
            <w:tcBorders>
              <w:top w:val="nil"/>
              <w:left w:val="nil"/>
              <w:bottom w:val="nil"/>
              <w:right w:val="nil"/>
            </w:tcBorders>
            <w:shd w:val="clear" w:color="auto" w:fill="DAE9F8"/>
            <w:tcMar>
              <w:top w:w="15" w:type="dxa"/>
              <w:left w:w="15" w:type="dxa"/>
              <w:right w:w="15" w:type="dxa"/>
            </w:tcMar>
            <w:vAlign w:val="center"/>
          </w:tcPr>
          <w:p w14:paraId="507947AE" w14:textId="3ADD2E2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56</w:t>
            </w:r>
          </w:p>
        </w:tc>
      </w:tr>
      <w:tr w:rsidR="20DE3AC1" w14:paraId="7E429AFB"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728B036" w14:textId="49BDB01C"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3</w:t>
            </w:r>
          </w:p>
        </w:tc>
        <w:tc>
          <w:tcPr>
            <w:tcW w:w="1070" w:type="dxa"/>
            <w:tcBorders>
              <w:top w:val="nil"/>
              <w:left w:val="nil"/>
              <w:bottom w:val="nil"/>
              <w:right w:val="nil"/>
            </w:tcBorders>
            <w:tcMar>
              <w:top w:w="15" w:type="dxa"/>
              <w:left w:w="15" w:type="dxa"/>
              <w:right w:w="15" w:type="dxa"/>
            </w:tcMar>
            <w:vAlign w:val="center"/>
          </w:tcPr>
          <w:p w14:paraId="5AC22DDF" w14:textId="6A36AD5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84</w:t>
            </w:r>
          </w:p>
        </w:tc>
        <w:tc>
          <w:tcPr>
            <w:tcW w:w="1070" w:type="dxa"/>
            <w:tcBorders>
              <w:top w:val="nil"/>
              <w:left w:val="nil"/>
              <w:bottom w:val="nil"/>
              <w:right w:val="nil"/>
            </w:tcBorders>
            <w:tcMar>
              <w:top w:w="15" w:type="dxa"/>
              <w:left w:w="15" w:type="dxa"/>
              <w:right w:w="15" w:type="dxa"/>
            </w:tcMar>
            <w:vAlign w:val="center"/>
          </w:tcPr>
          <w:p w14:paraId="71059E32" w14:textId="0101150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52</w:t>
            </w:r>
          </w:p>
        </w:tc>
        <w:tc>
          <w:tcPr>
            <w:tcW w:w="1070" w:type="dxa"/>
            <w:tcBorders>
              <w:top w:val="nil"/>
              <w:left w:val="nil"/>
              <w:bottom w:val="nil"/>
              <w:right w:val="nil"/>
            </w:tcBorders>
            <w:tcMar>
              <w:top w:w="15" w:type="dxa"/>
              <w:left w:w="15" w:type="dxa"/>
              <w:right w:w="15" w:type="dxa"/>
            </w:tcMar>
            <w:vAlign w:val="center"/>
          </w:tcPr>
          <w:p w14:paraId="641650B2" w14:textId="3D39EF4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24</w:t>
            </w:r>
          </w:p>
        </w:tc>
        <w:tc>
          <w:tcPr>
            <w:tcW w:w="1070" w:type="dxa"/>
            <w:tcBorders>
              <w:top w:val="nil"/>
              <w:left w:val="nil"/>
              <w:bottom w:val="nil"/>
              <w:right w:val="nil"/>
            </w:tcBorders>
            <w:tcMar>
              <w:top w:w="15" w:type="dxa"/>
              <w:left w:w="15" w:type="dxa"/>
              <w:right w:w="15" w:type="dxa"/>
            </w:tcMar>
            <w:vAlign w:val="center"/>
          </w:tcPr>
          <w:p w14:paraId="5EF57DD4" w14:textId="4DBDD9D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c>
          <w:tcPr>
            <w:tcW w:w="1070" w:type="dxa"/>
            <w:tcBorders>
              <w:top w:val="nil"/>
              <w:left w:val="nil"/>
              <w:bottom w:val="nil"/>
              <w:right w:val="nil"/>
            </w:tcBorders>
            <w:tcMar>
              <w:top w:w="15" w:type="dxa"/>
              <w:left w:w="15" w:type="dxa"/>
              <w:right w:w="15" w:type="dxa"/>
            </w:tcMar>
            <w:vAlign w:val="center"/>
          </w:tcPr>
          <w:p w14:paraId="74947B87" w14:textId="4937FB9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w:t>
            </w:r>
          </w:p>
        </w:tc>
        <w:tc>
          <w:tcPr>
            <w:tcW w:w="1070" w:type="dxa"/>
            <w:tcBorders>
              <w:top w:val="nil"/>
              <w:left w:val="nil"/>
              <w:bottom w:val="nil"/>
              <w:right w:val="nil"/>
            </w:tcBorders>
            <w:tcMar>
              <w:top w:w="15" w:type="dxa"/>
              <w:left w:w="15" w:type="dxa"/>
              <w:right w:w="15" w:type="dxa"/>
            </w:tcMar>
            <w:vAlign w:val="center"/>
          </w:tcPr>
          <w:p w14:paraId="6A3BCF83" w14:textId="6495159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w:t>
            </w:r>
          </w:p>
        </w:tc>
        <w:tc>
          <w:tcPr>
            <w:tcW w:w="1070" w:type="dxa"/>
            <w:tcBorders>
              <w:top w:val="nil"/>
              <w:left w:val="nil"/>
              <w:bottom w:val="nil"/>
              <w:right w:val="nil"/>
            </w:tcBorders>
            <w:shd w:val="clear" w:color="auto" w:fill="DAE9F8"/>
            <w:tcMar>
              <w:top w:w="15" w:type="dxa"/>
              <w:left w:w="15" w:type="dxa"/>
              <w:right w:w="15" w:type="dxa"/>
            </w:tcMar>
            <w:vAlign w:val="center"/>
          </w:tcPr>
          <w:p w14:paraId="4E1518A3" w14:textId="794AAE3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120</w:t>
            </w:r>
          </w:p>
        </w:tc>
        <w:tc>
          <w:tcPr>
            <w:tcW w:w="1071" w:type="dxa"/>
            <w:tcBorders>
              <w:top w:val="nil"/>
              <w:left w:val="nil"/>
              <w:bottom w:val="nil"/>
              <w:right w:val="nil"/>
            </w:tcBorders>
            <w:shd w:val="clear" w:color="auto" w:fill="DAE9F8"/>
            <w:tcMar>
              <w:top w:w="15" w:type="dxa"/>
              <w:left w:w="15" w:type="dxa"/>
              <w:right w:w="15" w:type="dxa"/>
            </w:tcMar>
            <w:vAlign w:val="center"/>
          </w:tcPr>
          <w:p w14:paraId="1DCA14C1" w14:textId="2941D8D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69</w:t>
            </w:r>
          </w:p>
        </w:tc>
      </w:tr>
      <w:tr w:rsidR="20DE3AC1" w14:paraId="73EAC351"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169589D0" w14:textId="0D921251"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4</w:t>
            </w:r>
          </w:p>
        </w:tc>
        <w:tc>
          <w:tcPr>
            <w:tcW w:w="1070" w:type="dxa"/>
            <w:tcBorders>
              <w:top w:val="nil"/>
              <w:left w:val="nil"/>
              <w:bottom w:val="nil"/>
              <w:right w:val="nil"/>
            </w:tcBorders>
            <w:tcMar>
              <w:top w:w="15" w:type="dxa"/>
              <w:left w:w="15" w:type="dxa"/>
              <w:right w:w="15" w:type="dxa"/>
            </w:tcMar>
            <w:vAlign w:val="center"/>
          </w:tcPr>
          <w:p w14:paraId="2390609D" w14:textId="5603AC3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80</w:t>
            </w:r>
          </w:p>
        </w:tc>
        <w:tc>
          <w:tcPr>
            <w:tcW w:w="1070" w:type="dxa"/>
            <w:tcBorders>
              <w:top w:val="nil"/>
              <w:left w:val="nil"/>
              <w:bottom w:val="nil"/>
              <w:right w:val="nil"/>
            </w:tcBorders>
            <w:tcMar>
              <w:top w:w="15" w:type="dxa"/>
              <w:left w:w="15" w:type="dxa"/>
              <w:right w:w="15" w:type="dxa"/>
            </w:tcMar>
            <w:vAlign w:val="center"/>
          </w:tcPr>
          <w:p w14:paraId="52CB7A1B" w14:textId="05D2365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41</w:t>
            </w:r>
          </w:p>
        </w:tc>
        <w:tc>
          <w:tcPr>
            <w:tcW w:w="1070" w:type="dxa"/>
            <w:tcBorders>
              <w:top w:val="nil"/>
              <w:left w:val="nil"/>
              <w:bottom w:val="nil"/>
              <w:right w:val="nil"/>
            </w:tcBorders>
            <w:tcMar>
              <w:top w:w="15" w:type="dxa"/>
              <w:left w:w="15" w:type="dxa"/>
              <w:right w:w="15" w:type="dxa"/>
            </w:tcMar>
            <w:vAlign w:val="center"/>
          </w:tcPr>
          <w:p w14:paraId="70B5AA28" w14:textId="36F1071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44</w:t>
            </w:r>
          </w:p>
        </w:tc>
        <w:tc>
          <w:tcPr>
            <w:tcW w:w="1070" w:type="dxa"/>
            <w:tcBorders>
              <w:top w:val="nil"/>
              <w:left w:val="nil"/>
              <w:bottom w:val="nil"/>
              <w:right w:val="nil"/>
            </w:tcBorders>
            <w:tcMar>
              <w:top w:w="15" w:type="dxa"/>
              <w:left w:w="15" w:type="dxa"/>
              <w:right w:w="15" w:type="dxa"/>
            </w:tcMar>
            <w:vAlign w:val="center"/>
          </w:tcPr>
          <w:p w14:paraId="65563A92" w14:textId="3F1131E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23</w:t>
            </w:r>
          </w:p>
        </w:tc>
        <w:tc>
          <w:tcPr>
            <w:tcW w:w="1070" w:type="dxa"/>
            <w:tcBorders>
              <w:top w:val="nil"/>
              <w:left w:val="nil"/>
              <w:bottom w:val="nil"/>
              <w:right w:val="nil"/>
            </w:tcBorders>
            <w:tcMar>
              <w:top w:w="15" w:type="dxa"/>
              <w:left w:w="15" w:type="dxa"/>
              <w:right w:w="15" w:type="dxa"/>
            </w:tcMar>
            <w:vAlign w:val="center"/>
          </w:tcPr>
          <w:p w14:paraId="3A256AD8" w14:textId="3D966FF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005B48B" w14:textId="75EE531B"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79AE08F" w14:textId="34B74F6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124</w:t>
            </w:r>
          </w:p>
        </w:tc>
        <w:tc>
          <w:tcPr>
            <w:tcW w:w="1071" w:type="dxa"/>
            <w:tcBorders>
              <w:top w:val="nil"/>
              <w:left w:val="nil"/>
              <w:bottom w:val="nil"/>
              <w:right w:val="nil"/>
            </w:tcBorders>
            <w:shd w:val="clear" w:color="auto" w:fill="DAE9F8"/>
            <w:tcMar>
              <w:top w:w="15" w:type="dxa"/>
              <w:left w:w="15" w:type="dxa"/>
              <w:right w:w="15" w:type="dxa"/>
            </w:tcMar>
            <w:vAlign w:val="center"/>
          </w:tcPr>
          <w:p w14:paraId="0B7A2E26" w14:textId="5A3B1BA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r>
      <w:tr w:rsidR="20DE3AC1" w14:paraId="12E9E73F"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1408936C" w14:textId="0C889479"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5</w:t>
            </w:r>
          </w:p>
        </w:tc>
        <w:tc>
          <w:tcPr>
            <w:tcW w:w="1070" w:type="dxa"/>
            <w:tcBorders>
              <w:top w:val="nil"/>
              <w:left w:val="nil"/>
              <w:bottom w:val="nil"/>
              <w:right w:val="nil"/>
            </w:tcBorders>
            <w:tcMar>
              <w:top w:w="15" w:type="dxa"/>
              <w:left w:w="15" w:type="dxa"/>
              <w:right w:w="15" w:type="dxa"/>
            </w:tcMar>
            <w:vAlign w:val="center"/>
          </w:tcPr>
          <w:p w14:paraId="0F2DAF94" w14:textId="5E8A274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120</w:t>
            </w:r>
          </w:p>
        </w:tc>
        <w:tc>
          <w:tcPr>
            <w:tcW w:w="1070" w:type="dxa"/>
            <w:tcBorders>
              <w:top w:val="nil"/>
              <w:left w:val="nil"/>
              <w:bottom w:val="nil"/>
              <w:right w:val="nil"/>
            </w:tcBorders>
            <w:tcMar>
              <w:top w:w="15" w:type="dxa"/>
              <w:left w:w="15" w:type="dxa"/>
              <w:right w:w="15" w:type="dxa"/>
            </w:tcMar>
            <w:vAlign w:val="center"/>
          </w:tcPr>
          <w:p w14:paraId="356CD584" w14:textId="375B10C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c>
          <w:tcPr>
            <w:tcW w:w="1070" w:type="dxa"/>
            <w:tcBorders>
              <w:top w:val="nil"/>
              <w:left w:val="nil"/>
              <w:bottom w:val="nil"/>
              <w:right w:val="nil"/>
            </w:tcBorders>
            <w:tcMar>
              <w:top w:w="15" w:type="dxa"/>
              <w:left w:w="15" w:type="dxa"/>
              <w:right w:w="15" w:type="dxa"/>
            </w:tcMar>
            <w:vAlign w:val="center"/>
          </w:tcPr>
          <w:p w14:paraId="6FAC8001" w14:textId="1E6F809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c>
          <w:tcPr>
            <w:tcW w:w="1070" w:type="dxa"/>
            <w:tcBorders>
              <w:top w:val="nil"/>
              <w:left w:val="nil"/>
              <w:bottom w:val="nil"/>
              <w:right w:val="nil"/>
            </w:tcBorders>
            <w:tcMar>
              <w:top w:w="15" w:type="dxa"/>
              <w:left w:w="15" w:type="dxa"/>
              <w:right w:w="15" w:type="dxa"/>
            </w:tcMar>
            <w:vAlign w:val="center"/>
          </w:tcPr>
          <w:p w14:paraId="0F89E134" w14:textId="3BBEF3E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c>
          <w:tcPr>
            <w:tcW w:w="1070" w:type="dxa"/>
            <w:tcBorders>
              <w:top w:val="nil"/>
              <w:left w:val="nil"/>
              <w:bottom w:val="nil"/>
              <w:right w:val="nil"/>
            </w:tcBorders>
            <w:tcMar>
              <w:top w:w="15" w:type="dxa"/>
              <w:left w:w="15" w:type="dxa"/>
              <w:right w:w="15" w:type="dxa"/>
            </w:tcMar>
            <w:vAlign w:val="center"/>
          </w:tcPr>
          <w:p w14:paraId="4C6220D1" w14:textId="36D39CB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w:t>
            </w:r>
          </w:p>
        </w:tc>
        <w:tc>
          <w:tcPr>
            <w:tcW w:w="1070" w:type="dxa"/>
            <w:tcBorders>
              <w:top w:val="nil"/>
              <w:left w:val="nil"/>
              <w:bottom w:val="nil"/>
              <w:right w:val="nil"/>
            </w:tcBorders>
            <w:tcMar>
              <w:top w:w="15" w:type="dxa"/>
              <w:left w:w="15" w:type="dxa"/>
              <w:right w:w="15" w:type="dxa"/>
            </w:tcMar>
            <w:vAlign w:val="center"/>
          </w:tcPr>
          <w:p w14:paraId="0DD47B72" w14:textId="361E5F7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w:t>
            </w:r>
          </w:p>
        </w:tc>
        <w:tc>
          <w:tcPr>
            <w:tcW w:w="1070" w:type="dxa"/>
            <w:tcBorders>
              <w:top w:val="nil"/>
              <w:left w:val="nil"/>
              <w:bottom w:val="nil"/>
              <w:right w:val="nil"/>
            </w:tcBorders>
            <w:shd w:val="clear" w:color="auto" w:fill="DAE9F8"/>
            <w:tcMar>
              <w:top w:w="15" w:type="dxa"/>
              <w:left w:w="15" w:type="dxa"/>
              <w:right w:w="15" w:type="dxa"/>
            </w:tcMar>
            <w:vAlign w:val="center"/>
          </w:tcPr>
          <w:p w14:paraId="79C24930" w14:textId="7F47675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145</w:t>
            </w:r>
          </w:p>
        </w:tc>
        <w:tc>
          <w:tcPr>
            <w:tcW w:w="1071" w:type="dxa"/>
            <w:tcBorders>
              <w:top w:val="nil"/>
              <w:left w:val="nil"/>
              <w:bottom w:val="nil"/>
              <w:right w:val="nil"/>
            </w:tcBorders>
            <w:shd w:val="clear" w:color="auto" w:fill="DAE9F8"/>
            <w:tcMar>
              <w:top w:w="15" w:type="dxa"/>
              <w:left w:w="15" w:type="dxa"/>
              <w:right w:w="15" w:type="dxa"/>
            </w:tcMar>
            <w:vAlign w:val="center"/>
          </w:tcPr>
          <w:p w14:paraId="387C003F" w14:textId="19EDE31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79</w:t>
            </w:r>
          </w:p>
        </w:tc>
      </w:tr>
      <w:tr w:rsidR="20DE3AC1" w14:paraId="55ABCF69"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EC836F5" w14:textId="657F1462"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6</w:t>
            </w:r>
          </w:p>
        </w:tc>
        <w:tc>
          <w:tcPr>
            <w:tcW w:w="1070" w:type="dxa"/>
            <w:tcBorders>
              <w:top w:val="nil"/>
              <w:left w:val="nil"/>
              <w:bottom w:val="nil"/>
              <w:right w:val="nil"/>
            </w:tcBorders>
            <w:tcMar>
              <w:top w:w="15" w:type="dxa"/>
              <w:left w:w="15" w:type="dxa"/>
              <w:right w:w="15" w:type="dxa"/>
            </w:tcMar>
            <w:vAlign w:val="center"/>
          </w:tcPr>
          <w:p w14:paraId="614CC57F" w14:textId="65F416B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138</w:t>
            </w:r>
          </w:p>
        </w:tc>
        <w:tc>
          <w:tcPr>
            <w:tcW w:w="1070" w:type="dxa"/>
            <w:tcBorders>
              <w:top w:val="nil"/>
              <w:left w:val="nil"/>
              <w:bottom w:val="nil"/>
              <w:right w:val="nil"/>
            </w:tcBorders>
            <w:tcMar>
              <w:top w:w="15" w:type="dxa"/>
              <w:left w:w="15" w:type="dxa"/>
              <w:right w:w="15" w:type="dxa"/>
            </w:tcMar>
            <w:vAlign w:val="center"/>
          </w:tcPr>
          <w:p w14:paraId="0CC478BC" w14:textId="59D3B4D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84</w:t>
            </w:r>
          </w:p>
        </w:tc>
        <w:tc>
          <w:tcPr>
            <w:tcW w:w="1070" w:type="dxa"/>
            <w:tcBorders>
              <w:top w:val="nil"/>
              <w:left w:val="nil"/>
              <w:bottom w:val="nil"/>
              <w:right w:val="nil"/>
            </w:tcBorders>
            <w:tcMar>
              <w:top w:w="15" w:type="dxa"/>
              <w:left w:w="15" w:type="dxa"/>
              <w:right w:w="15" w:type="dxa"/>
            </w:tcMar>
            <w:vAlign w:val="center"/>
          </w:tcPr>
          <w:p w14:paraId="7DE7069F" w14:textId="169A004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54</w:t>
            </w:r>
          </w:p>
        </w:tc>
        <w:tc>
          <w:tcPr>
            <w:tcW w:w="1070" w:type="dxa"/>
            <w:tcBorders>
              <w:top w:val="nil"/>
              <w:left w:val="nil"/>
              <w:bottom w:val="nil"/>
              <w:right w:val="nil"/>
            </w:tcBorders>
            <w:tcMar>
              <w:top w:w="15" w:type="dxa"/>
              <w:left w:w="15" w:type="dxa"/>
              <w:right w:w="15" w:type="dxa"/>
            </w:tcMar>
            <w:vAlign w:val="center"/>
          </w:tcPr>
          <w:p w14:paraId="1CBA5DF2" w14:textId="765B179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30</w:t>
            </w:r>
          </w:p>
        </w:tc>
        <w:tc>
          <w:tcPr>
            <w:tcW w:w="1070" w:type="dxa"/>
            <w:tcBorders>
              <w:top w:val="nil"/>
              <w:left w:val="nil"/>
              <w:bottom w:val="nil"/>
              <w:right w:val="nil"/>
            </w:tcBorders>
            <w:tcMar>
              <w:top w:w="15" w:type="dxa"/>
              <w:left w:w="15" w:type="dxa"/>
              <w:right w:w="15" w:type="dxa"/>
            </w:tcMar>
            <w:vAlign w:val="center"/>
          </w:tcPr>
          <w:p w14:paraId="683A76A6" w14:textId="42E30C9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w:t>
            </w:r>
          </w:p>
        </w:tc>
        <w:tc>
          <w:tcPr>
            <w:tcW w:w="1070" w:type="dxa"/>
            <w:tcBorders>
              <w:top w:val="nil"/>
              <w:left w:val="nil"/>
              <w:bottom w:val="nil"/>
              <w:right w:val="nil"/>
            </w:tcBorders>
            <w:tcMar>
              <w:top w:w="15" w:type="dxa"/>
              <w:left w:w="15" w:type="dxa"/>
              <w:right w:w="15" w:type="dxa"/>
            </w:tcMar>
            <w:vAlign w:val="center"/>
          </w:tcPr>
          <w:p w14:paraId="15803187" w14:textId="3F6D1D8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w:t>
            </w:r>
          </w:p>
        </w:tc>
        <w:tc>
          <w:tcPr>
            <w:tcW w:w="1070" w:type="dxa"/>
            <w:tcBorders>
              <w:top w:val="nil"/>
              <w:left w:val="nil"/>
              <w:bottom w:val="nil"/>
              <w:right w:val="nil"/>
            </w:tcBorders>
            <w:shd w:val="clear" w:color="auto" w:fill="DAE9F8"/>
            <w:tcMar>
              <w:top w:w="15" w:type="dxa"/>
              <w:left w:w="15" w:type="dxa"/>
              <w:right w:w="15" w:type="dxa"/>
            </w:tcMar>
            <w:vAlign w:val="center"/>
          </w:tcPr>
          <w:p w14:paraId="14057183" w14:textId="25203A5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198</w:t>
            </w:r>
          </w:p>
        </w:tc>
        <w:tc>
          <w:tcPr>
            <w:tcW w:w="1071" w:type="dxa"/>
            <w:tcBorders>
              <w:top w:val="nil"/>
              <w:left w:val="nil"/>
              <w:bottom w:val="nil"/>
              <w:right w:val="nil"/>
            </w:tcBorders>
            <w:shd w:val="clear" w:color="auto" w:fill="DAE9F8"/>
            <w:tcMar>
              <w:top w:w="15" w:type="dxa"/>
              <w:left w:w="15" w:type="dxa"/>
              <w:right w:w="15" w:type="dxa"/>
            </w:tcMar>
            <w:vAlign w:val="center"/>
          </w:tcPr>
          <w:p w14:paraId="6BE168BC" w14:textId="18BDCFC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120</w:t>
            </w:r>
          </w:p>
        </w:tc>
      </w:tr>
      <w:tr w:rsidR="20DE3AC1" w14:paraId="580A293E"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3C4BC286" w14:textId="25D7F137"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7</w:t>
            </w:r>
          </w:p>
        </w:tc>
        <w:tc>
          <w:tcPr>
            <w:tcW w:w="1070" w:type="dxa"/>
            <w:tcBorders>
              <w:top w:val="nil"/>
              <w:left w:val="nil"/>
              <w:bottom w:val="nil"/>
              <w:right w:val="nil"/>
            </w:tcBorders>
            <w:tcMar>
              <w:top w:w="15" w:type="dxa"/>
              <w:left w:w="15" w:type="dxa"/>
              <w:right w:w="15" w:type="dxa"/>
            </w:tcMar>
            <w:vAlign w:val="center"/>
          </w:tcPr>
          <w:p w14:paraId="0DDE3241" w14:textId="2A30F71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119</w:t>
            </w:r>
          </w:p>
        </w:tc>
        <w:tc>
          <w:tcPr>
            <w:tcW w:w="1070" w:type="dxa"/>
            <w:tcBorders>
              <w:top w:val="nil"/>
              <w:left w:val="nil"/>
              <w:bottom w:val="nil"/>
              <w:right w:val="nil"/>
            </w:tcBorders>
            <w:tcMar>
              <w:top w:w="15" w:type="dxa"/>
              <w:left w:w="15" w:type="dxa"/>
              <w:right w:w="15" w:type="dxa"/>
            </w:tcMar>
            <w:vAlign w:val="center"/>
          </w:tcPr>
          <w:p w14:paraId="27CECFBC" w14:textId="3AD2AFE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70</w:t>
            </w:r>
          </w:p>
        </w:tc>
        <w:tc>
          <w:tcPr>
            <w:tcW w:w="1070" w:type="dxa"/>
            <w:tcBorders>
              <w:top w:val="nil"/>
              <w:left w:val="nil"/>
              <w:bottom w:val="nil"/>
              <w:right w:val="nil"/>
            </w:tcBorders>
            <w:tcMar>
              <w:top w:w="15" w:type="dxa"/>
              <w:left w:w="15" w:type="dxa"/>
              <w:right w:w="15" w:type="dxa"/>
            </w:tcMar>
            <w:vAlign w:val="center"/>
          </w:tcPr>
          <w:p w14:paraId="5CCCAFBF" w14:textId="1A09D1A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c>
          <w:tcPr>
            <w:tcW w:w="1070" w:type="dxa"/>
            <w:tcBorders>
              <w:top w:val="nil"/>
              <w:left w:val="nil"/>
              <w:bottom w:val="nil"/>
              <w:right w:val="nil"/>
            </w:tcBorders>
            <w:tcMar>
              <w:top w:w="15" w:type="dxa"/>
              <w:left w:w="15" w:type="dxa"/>
              <w:right w:w="15" w:type="dxa"/>
            </w:tcMar>
            <w:vAlign w:val="center"/>
          </w:tcPr>
          <w:p w14:paraId="12BF75B5" w14:textId="0887649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17</w:t>
            </w:r>
          </w:p>
        </w:tc>
        <w:tc>
          <w:tcPr>
            <w:tcW w:w="1070" w:type="dxa"/>
            <w:tcBorders>
              <w:top w:val="nil"/>
              <w:left w:val="nil"/>
              <w:bottom w:val="nil"/>
              <w:right w:val="nil"/>
            </w:tcBorders>
            <w:tcMar>
              <w:top w:w="15" w:type="dxa"/>
              <w:left w:w="15" w:type="dxa"/>
              <w:right w:w="15" w:type="dxa"/>
            </w:tcMar>
            <w:vAlign w:val="center"/>
          </w:tcPr>
          <w:p w14:paraId="7947DC0E" w14:textId="35A16A2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4B72758" w14:textId="7AF059C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5A56826" w14:textId="44503E2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147</w:t>
            </w:r>
          </w:p>
        </w:tc>
        <w:tc>
          <w:tcPr>
            <w:tcW w:w="1071" w:type="dxa"/>
            <w:tcBorders>
              <w:top w:val="nil"/>
              <w:left w:val="nil"/>
              <w:bottom w:val="nil"/>
              <w:right w:val="nil"/>
            </w:tcBorders>
            <w:shd w:val="clear" w:color="auto" w:fill="DAE9F8"/>
            <w:tcMar>
              <w:top w:w="15" w:type="dxa"/>
              <w:left w:w="15" w:type="dxa"/>
              <w:right w:w="15" w:type="dxa"/>
            </w:tcMar>
            <w:vAlign w:val="center"/>
          </w:tcPr>
          <w:p w14:paraId="745268F1" w14:textId="5E764A5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87</w:t>
            </w:r>
          </w:p>
        </w:tc>
      </w:tr>
      <w:tr w:rsidR="20DE3AC1" w14:paraId="5FF938A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A3472C1" w14:textId="50B63777"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8</w:t>
            </w:r>
          </w:p>
        </w:tc>
        <w:tc>
          <w:tcPr>
            <w:tcW w:w="1070" w:type="dxa"/>
            <w:tcBorders>
              <w:top w:val="nil"/>
              <w:left w:val="nil"/>
              <w:bottom w:val="nil"/>
              <w:right w:val="nil"/>
            </w:tcBorders>
            <w:tcMar>
              <w:top w:w="15" w:type="dxa"/>
              <w:left w:w="15" w:type="dxa"/>
              <w:right w:w="15" w:type="dxa"/>
            </w:tcMar>
            <w:vAlign w:val="center"/>
          </w:tcPr>
          <w:p w14:paraId="12621BED" w14:textId="15EE23C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40</w:t>
            </w:r>
          </w:p>
        </w:tc>
        <w:tc>
          <w:tcPr>
            <w:tcW w:w="1070" w:type="dxa"/>
            <w:tcBorders>
              <w:top w:val="nil"/>
              <w:left w:val="nil"/>
              <w:bottom w:val="nil"/>
              <w:right w:val="nil"/>
            </w:tcBorders>
            <w:tcMar>
              <w:top w:w="15" w:type="dxa"/>
              <w:left w:w="15" w:type="dxa"/>
              <w:right w:w="15" w:type="dxa"/>
            </w:tcMar>
            <w:vAlign w:val="center"/>
          </w:tcPr>
          <w:p w14:paraId="37C308C7" w14:textId="69FD451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30</w:t>
            </w:r>
          </w:p>
        </w:tc>
        <w:tc>
          <w:tcPr>
            <w:tcW w:w="1070" w:type="dxa"/>
            <w:tcBorders>
              <w:top w:val="nil"/>
              <w:left w:val="nil"/>
              <w:bottom w:val="nil"/>
              <w:right w:val="nil"/>
            </w:tcBorders>
            <w:tcMar>
              <w:top w:w="15" w:type="dxa"/>
              <w:left w:w="15" w:type="dxa"/>
              <w:right w:w="15" w:type="dxa"/>
            </w:tcMar>
            <w:vAlign w:val="center"/>
          </w:tcPr>
          <w:p w14:paraId="02B3B3C8" w14:textId="2ED53B3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056C8B3" w14:textId="361FBC8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D6FC4F2" w14:textId="51DA423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0A44602" w14:textId="67136F6C"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E831715" w14:textId="7A170DB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40</w:t>
            </w:r>
          </w:p>
        </w:tc>
        <w:tc>
          <w:tcPr>
            <w:tcW w:w="1071" w:type="dxa"/>
            <w:tcBorders>
              <w:top w:val="nil"/>
              <w:left w:val="nil"/>
              <w:bottom w:val="nil"/>
              <w:right w:val="nil"/>
            </w:tcBorders>
            <w:shd w:val="clear" w:color="auto" w:fill="DAE9F8"/>
            <w:tcMar>
              <w:top w:w="15" w:type="dxa"/>
              <w:left w:w="15" w:type="dxa"/>
              <w:right w:w="15" w:type="dxa"/>
            </w:tcMar>
            <w:vAlign w:val="center"/>
          </w:tcPr>
          <w:p w14:paraId="7339F377" w14:textId="7CAA0DF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30</w:t>
            </w:r>
          </w:p>
        </w:tc>
      </w:tr>
      <w:tr w:rsidR="20DE3AC1" w14:paraId="4914F29E"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39470F15" w14:textId="4B834D21"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9</w:t>
            </w:r>
          </w:p>
        </w:tc>
        <w:tc>
          <w:tcPr>
            <w:tcW w:w="1070" w:type="dxa"/>
            <w:tcBorders>
              <w:top w:val="nil"/>
              <w:left w:val="nil"/>
              <w:bottom w:val="nil"/>
              <w:right w:val="nil"/>
            </w:tcBorders>
            <w:tcMar>
              <w:top w:w="15" w:type="dxa"/>
              <w:left w:w="15" w:type="dxa"/>
              <w:right w:w="15" w:type="dxa"/>
            </w:tcMar>
            <w:vAlign w:val="center"/>
          </w:tcPr>
          <w:p w14:paraId="09D9101D" w14:textId="7C993F0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63</w:t>
            </w:r>
          </w:p>
        </w:tc>
        <w:tc>
          <w:tcPr>
            <w:tcW w:w="1070" w:type="dxa"/>
            <w:tcBorders>
              <w:top w:val="nil"/>
              <w:left w:val="nil"/>
              <w:bottom w:val="nil"/>
              <w:right w:val="nil"/>
            </w:tcBorders>
            <w:tcMar>
              <w:top w:w="15" w:type="dxa"/>
              <w:left w:w="15" w:type="dxa"/>
              <w:right w:w="15" w:type="dxa"/>
            </w:tcMar>
            <w:vAlign w:val="center"/>
          </w:tcPr>
          <w:p w14:paraId="66BB021E" w14:textId="27D0AAC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0" w:type="dxa"/>
            <w:tcBorders>
              <w:top w:val="nil"/>
              <w:left w:val="nil"/>
              <w:bottom w:val="nil"/>
              <w:right w:val="nil"/>
            </w:tcBorders>
            <w:tcMar>
              <w:top w:w="15" w:type="dxa"/>
              <w:left w:w="15" w:type="dxa"/>
              <w:right w:w="15" w:type="dxa"/>
            </w:tcMar>
            <w:vAlign w:val="center"/>
          </w:tcPr>
          <w:p w14:paraId="33C7F6D9" w14:textId="7F92230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5BDEF4F" w14:textId="2D3D3FEA"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61948CA" w14:textId="00B4829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C143245" w14:textId="6DD9A19E"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3BD33A1" w14:textId="31BFC94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63</w:t>
            </w:r>
          </w:p>
        </w:tc>
        <w:tc>
          <w:tcPr>
            <w:tcW w:w="1071" w:type="dxa"/>
            <w:tcBorders>
              <w:top w:val="nil"/>
              <w:left w:val="nil"/>
              <w:bottom w:val="nil"/>
              <w:right w:val="nil"/>
            </w:tcBorders>
            <w:shd w:val="clear" w:color="auto" w:fill="DAE9F8"/>
            <w:tcMar>
              <w:top w:w="15" w:type="dxa"/>
              <w:left w:w="15" w:type="dxa"/>
              <w:right w:w="15" w:type="dxa"/>
            </w:tcMar>
            <w:vAlign w:val="center"/>
          </w:tcPr>
          <w:p w14:paraId="53048DD3" w14:textId="08B3BAC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r>
      <w:tr w:rsidR="20DE3AC1" w14:paraId="44AD50A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46D58B30" w14:textId="7CDE0DB6"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10</w:t>
            </w:r>
          </w:p>
        </w:tc>
        <w:tc>
          <w:tcPr>
            <w:tcW w:w="1070" w:type="dxa"/>
            <w:tcBorders>
              <w:top w:val="nil"/>
              <w:left w:val="nil"/>
              <w:bottom w:val="nil"/>
              <w:right w:val="nil"/>
            </w:tcBorders>
            <w:tcMar>
              <w:top w:w="15" w:type="dxa"/>
              <w:left w:w="15" w:type="dxa"/>
              <w:right w:w="15" w:type="dxa"/>
            </w:tcMar>
            <w:vAlign w:val="center"/>
          </w:tcPr>
          <w:p w14:paraId="274E8FCC" w14:textId="1CE1B62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90</w:t>
            </w:r>
          </w:p>
        </w:tc>
        <w:tc>
          <w:tcPr>
            <w:tcW w:w="1070" w:type="dxa"/>
            <w:tcBorders>
              <w:top w:val="nil"/>
              <w:left w:val="nil"/>
              <w:bottom w:val="nil"/>
              <w:right w:val="nil"/>
            </w:tcBorders>
            <w:tcMar>
              <w:top w:w="15" w:type="dxa"/>
              <w:left w:w="15" w:type="dxa"/>
              <w:right w:w="15" w:type="dxa"/>
            </w:tcMar>
            <w:vAlign w:val="center"/>
          </w:tcPr>
          <w:p w14:paraId="21EA154B" w14:textId="0AA47FD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37</w:t>
            </w:r>
          </w:p>
        </w:tc>
        <w:tc>
          <w:tcPr>
            <w:tcW w:w="1070" w:type="dxa"/>
            <w:tcBorders>
              <w:top w:val="nil"/>
              <w:left w:val="nil"/>
              <w:bottom w:val="nil"/>
              <w:right w:val="nil"/>
            </w:tcBorders>
            <w:tcMar>
              <w:top w:w="15" w:type="dxa"/>
              <w:left w:w="15" w:type="dxa"/>
              <w:right w:w="15" w:type="dxa"/>
            </w:tcMar>
            <w:vAlign w:val="center"/>
          </w:tcPr>
          <w:p w14:paraId="2A75AF87" w14:textId="7B8B34D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c>
          <w:tcPr>
            <w:tcW w:w="1070" w:type="dxa"/>
            <w:tcBorders>
              <w:top w:val="nil"/>
              <w:left w:val="nil"/>
              <w:bottom w:val="nil"/>
              <w:right w:val="nil"/>
            </w:tcBorders>
            <w:tcMar>
              <w:top w:w="15" w:type="dxa"/>
              <w:left w:w="15" w:type="dxa"/>
              <w:right w:w="15" w:type="dxa"/>
            </w:tcMar>
            <w:vAlign w:val="center"/>
          </w:tcPr>
          <w:p w14:paraId="37911A28" w14:textId="35D2A68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w:t>
            </w:r>
          </w:p>
        </w:tc>
        <w:tc>
          <w:tcPr>
            <w:tcW w:w="1070" w:type="dxa"/>
            <w:tcBorders>
              <w:top w:val="nil"/>
              <w:left w:val="nil"/>
              <w:bottom w:val="nil"/>
              <w:right w:val="nil"/>
            </w:tcBorders>
            <w:tcMar>
              <w:top w:w="15" w:type="dxa"/>
              <w:left w:w="15" w:type="dxa"/>
              <w:right w:w="15" w:type="dxa"/>
            </w:tcMar>
            <w:vAlign w:val="center"/>
          </w:tcPr>
          <w:p w14:paraId="2D071813" w14:textId="68438B8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B5F7B69" w14:textId="2DAD7BE3"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7E064290" w14:textId="23FE4B9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100</w:t>
            </w:r>
          </w:p>
        </w:tc>
        <w:tc>
          <w:tcPr>
            <w:tcW w:w="1071" w:type="dxa"/>
            <w:tcBorders>
              <w:top w:val="nil"/>
              <w:left w:val="nil"/>
              <w:bottom w:val="nil"/>
              <w:right w:val="nil"/>
            </w:tcBorders>
            <w:shd w:val="clear" w:color="auto" w:fill="DAE9F8"/>
            <w:tcMar>
              <w:top w:w="15" w:type="dxa"/>
              <w:left w:w="15" w:type="dxa"/>
              <w:right w:w="15" w:type="dxa"/>
            </w:tcMar>
            <w:vAlign w:val="center"/>
          </w:tcPr>
          <w:p w14:paraId="350393A7" w14:textId="522F7BB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44</w:t>
            </w:r>
          </w:p>
        </w:tc>
      </w:tr>
      <w:tr w:rsidR="20DE3AC1" w14:paraId="633202DD"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78C7750" w14:textId="31862710"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11</w:t>
            </w:r>
          </w:p>
        </w:tc>
        <w:tc>
          <w:tcPr>
            <w:tcW w:w="1070" w:type="dxa"/>
            <w:tcBorders>
              <w:top w:val="nil"/>
              <w:left w:val="nil"/>
              <w:bottom w:val="nil"/>
              <w:right w:val="nil"/>
            </w:tcBorders>
            <w:tcMar>
              <w:top w:w="15" w:type="dxa"/>
              <w:left w:w="15" w:type="dxa"/>
              <w:right w:w="15" w:type="dxa"/>
            </w:tcMar>
            <w:vAlign w:val="center"/>
          </w:tcPr>
          <w:p w14:paraId="58714885" w14:textId="5ECA56F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22</w:t>
            </w:r>
          </w:p>
        </w:tc>
        <w:tc>
          <w:tcPr>
            <w:tcW w:w="1070" w:type="dxa"/>
            <w:tcBorders>
              <w:top w:val="nil"/>
              <w:left w:val="nil"/>
              <w:bottom w:val="nil"/>
              <w:right w:val="nil"/>
            </w:tcBorders>
            <w:tcMar>
              <w:top w:w="15" w:type="dxa"/>
              <w:left w:w="15" w:type="dxa"/>
              <w:right w:w="15" w:type="dxa"/>
            </w:tcMar>
            <w:vAlign w:val="center"/>
          </w:tcPr>
          <w:p w14:paraId="7208CD36" w14:textId="45ED7E8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c>
          <w:tcPr>
            <w:tcW w:w="1070" w:type="dxa"/>
            <w:tcBorders>
              <w:top w:val="nil"/>
              <w:left w:val="nil"/>
              <w:bottom w:val="nil"/>
              <w:right w:val="nil"/>
            </w:tcBorders>
            <w:tcMar>
              <w:top w:w="15" w:type="dxa"/>
              <w:left w:w="15" w:type="dxa"/>
              <w:right w:w="15" w:type="dxa"/>
            </w:tcMar>
            <w:vAlign w:val="center"/>
          </w:tcPr>
          <w:p w14:paraId="065D8613" w14:textId="0C1E428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33</w:t>
            </w:r>
          </w:p>
        </w:tc>
        <w:tc>
          <w:tcPr>
            <w:tcW w:w="1070" w:type="dxa"/>
            <w:tcBorders>
              <w:top w:val="nil"/>
              <w:left w:val="nil"/>
              <w:bottom w:val="nil"/>
              <w:right w:val="nil"/>
            </w:tcBorders>
            <w:tcMar>
              <w:top w:w="15" w:type="dxa"/>
              <w:left w:w="15" w:type="dxa"/>
              <w:right w:w="15" w:type="dxa"/>
            </w:tcMar>
            <w:vAlign w:val="center"/>
          </w:tcPr>
          <w:p w14:paraId="5455A731" w14:textId="560555E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21</w:t>
            </w:r>
          </w:p>
        </w:tc>
        <w:tc>
          <w:tcPr>
            <w:tcW w:w="1070" w:type="dxa"/>
            <w:tcBorders>
              <w:top w:val="nil"/>
              <w:left w:val="nil"/>
              <w:bottom w:val="nil"/>
              <w:right w:val="nil"/>
            </w:tcBorders>
            <w:tcMar>
              <w:top w:w="15" w:type="dxa"/>
              <w:left w:w="15" w:type="dxa"/>
              <w:right w:w="15" w:type="dxa"/>
            </w:tcMar>
            <w:vAlign w:val="center"/>
          </w:tcPr>
          <w:p w14:paraId="38CD5E47" w14:textId="68CB4F8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22CB535" w14:textId="01CFA0E7"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9D95629" w14:textId="0599F10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55</w:t>
            </w:r>
          </w:p>
        </w:tc>
        <w:tc>
          <w:tcPr>
            <w:tcW w:w="1071" w:type="dxa"/>
            <w:tcBorders>
              <w:top w:val="nil"/>
              <w:left w:val="nil"/>
              <w:bottom w:val="nil"/>
              <w:right w:val="nil"/>
            </w:tcBorders>
            <w:shd w:val="clear" w:color="auto" w:fill="DAE9F8"/>
            <w:tcMar>
              <w:top w:w="15" w:type="dxa"/>
              <w:left w:w="15" w:type="dxa"/>
              <w:right w:w="15" w:type="dxa"/>
            </w:tcMar>
            <w:vAlign w:val="center"/>
          </w:tcPr>
          <w:p w14:paraId="30BAB789" w14:textId="5749424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31</w:t>
            </w:r>
          </w:p>
        </w:tc>
      </w:tr>
      <w:tr w:rsidR="20DE3AC1" w14:paraId="6A091D9B"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78DA8EA2" w14:textId="771DE623"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12</w:t>
            </w:r>
          </w:p>
        </w:tc>
        <w:tc>
          <w:tcPr>
            <w:tcW w:w="1070" w:type="dxa"/>
            <w:tcBorders>
              <w:top w:val="nil"/>
              <w:left w:val="nil"/>
              <w:bottom w:val="nil"/>
              <w:right w:val="nil"/>
            </w:tcBorders>
            <w:tcMar>
              <w:top w:w="15" w:type="dxa"/>
              <w:left w:w="15" w:type="dxa"/>
              <w:right w:w="15" w:type="dxa"/>
            </w:tcMar>
            <w:vAlign w:val="center"/>
          </w:tcPr>
          <w:p w14:paraId="30EBF113" w14:textId="374BB84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24</w:t>
            </w:r>
          </w:p>
        </w:tc>
        <w:tc>
          <w:tcPr>
            <w:tcW w:w="1070" w:type="dxa"/>
            <w:tcBorders>
              <w:top w:val="nil"/>
              <w:left w:val="nil"/>
              <w:bottom w:val="nil"/>
              <w:right w:val="nil"/>
            </w:tcBorders>
            <w:tcMar>
              <w:top w:w="15" w:type="dxa"/>
              <w:left w:w="15" w:type="dxa"/>
              <w:right w:w="15" w:type="dxa"/>
            </w:tcMar>
            <w:vAlign w:val="center"/>
          </w:tcPr>
          <w:p w14:paraId="22F9434A" w14:textId="27ED9C9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w:t>
            </w:r>
          </w:p>
        </w:tc>
        <w:tc>
          <w:tcPr>
            <w:tcW w:w="1070" w:type="dxa"/>
            <w:tcBorders>
              <w:top w:val="nil"/>
              <w:left w:val="nil"/>
              <w:bottom w:val="nil"/>
              <w:right w:val="nil"/>
            </w:tcBorders>
            <w:tcMar>
              <w:top w:w="15" w:type="dxa"/>
              <w:left w:w="15" w:type="dxa"/>
              <w:right w:w="15" w:type="dxa"/>
            </w:tcMar>
            <w:vAlign w:val="center"/>
          </w:tcPr>
          <w:p w14:paraId="5971FA1A" w14:textId="3778A83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B0049DE" w14:textId="290BB1E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99C16E7" w14:textId="054FA4C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0A954F2" w14:textId="38EC038B"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4CF452B8" w14:textId="10C4920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24</w:t>
            </w:r>
          </w:p>
        </w:tc>
        <w:tc>
          <w:tcPr>
            <w:tcW w:w="1071" w:type="dxa"/>
            <w:tcBorders>
              <w:top w:val="nil"/>
              <w:left w:val="nil"/>
              <w:bottom w:val="nil"/>
              <w:right w:val="nil"/>
            </w:tcBorders>
            <w:shd w:val="clear" w:color="auto" w:fill="DAE9F8"/>
            <w:tcMar>
              <w:top w:w="15" w:type="dxa"/>
              <w:left w:w="15" w:type="dxa"/>
              <w:right w:w="15" w:type="dxa"/>
            </w:tcMar>
            <w:vAlign w:val="center"/>
          </w:tcPr>
          <w:p w14:paraId="52D365CA" w14:textId="2402771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w:t>
            </w:r>
          </w:p>
        </w:tc>
      </w:tr>
      <w:tr w:rsidR="20DE3AC1" w14:paraId="18A2922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E8E5FEC" w14:textId="6E04CF36"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13</w:t>
            </w:r>
          </w:p>
        </w:tc>
        <w:tc>
          <w:tcPr>
            <w:tcW w:w="1070" w:type="dxa"/>
            <w:tcBorders>
              <w:top w:val="nil"/>
              <w:left w:val="nil"/>
              <w:bottom w:val="nil"/>
              <w:right w:val="nil"/>
            </w:tcBorders>
            <w:tcMar>
              <w:top w:w="15" w:type="dxa"/>
              <w:left w:w="15" w:type="dxa"/>
              <w:right w:w="15" w:type="dxa"/>
            </w:tcMar>
            <w:vAlign w:val="center"/>
          </w:tcPr>
          <w:p w14:paraId="4CC1F906" w14:textId="0133DE1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65</w:t>
            </w:r>
          </w:p>
        </w:tc>
        <w:tc>
          <w:tcPr>
            <w:tcW w:w="1070" w:type="dxa"/>
            <w:tcBorders>
              <w:top w:val="nil"/>
              <w:left w:val="nil"/>
              <w:bottom w:val="nil"/>
              <w:right w:val="nil"/>
            </w:tcBorders>
            <w:tcMar>
              <w:top w:w="15" w:type="dxa"/>
              <w:left w:w="15" w:type="dxa"/>
              <w:right w:w="15" w:type="dxa"/>
            </w:tcMar>
            <w:vAlign w:val="center"/>
          </w:tcPr>
          <w:p w14:paraId="4BACF4ED" w14:textId="7238C63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40</w:t>
            </w:r>
          </w:p>
        </w:tc>
        <w:tc>
          <w:tcPr>
            <w:tcW w:w="1070" w:type="dxa"/>
            <w:tcBorders>
              <w:top w:val="nil"/>
              <w:left w:val="nil"/>
              <w:bottom w:val="nil"/>
              <w:right w:val="nil"/>
            </w:tcBorders>
            <w:tcMar>
              <w:top w:w="15" w:type="dxa"/>
              <w:left w:w="15" w:type="dxa"/>
              <w:right w:w="15" w:type="dxa"/>
            </w:tcMar>
            <w:vAlign w:val="center"/>
          </w:tcPr>
          <w:p w14:paraId="36154982" w14:textId="035DF368"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00F40DC" w14:textId="7676BC31"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414C44E" w14:textId="5320C86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c>
          <w:tcPr>
            <w:tcW w:w="1070" w:type="dxa"/>
            <w:tcBorders>
              <w:top w:val="nil"/>
              <w:left w:val="nil"/>
              <w:bottom w:val="nil"/>
              <w:right w:val="nil"/>
            </w:tcBorders>
            <w:tcMar>
              <w:top w:w="15" w:type="dxa"/>
              <w:left w:w="15" w:type="dxa"/>
              <w:right w:w="15" w:type="dxa"/>
            </w:tcMar>
            <w:vAlign w:val="center"/>
          </w:tcPr>
          <w:p w14:paraId="68BEDAC6" w14:textId="5A47889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c>
          <w:tcPr>
            <w:tcW w:w="1070" w:type="dxa"/>
            <w:tcBorders>
              <w:top w:val="nil"/>
              <w:left w:val="nil"/>
              <w:bottom w:val="nil"/>
              <w:right w:val="nil"/>
            </w:tcBorders>
            <w:shd w:val="clear" w:color="auto" w:fill="DAE9F8"/>
            <w:tcMar>
              <w:top w:w="15" w:type="dxa"/>
              <w:left w:w="15" w:type="dxa"/>
              <w:right w:w="15" w:type="dxa"/>
            </w:tcMar>
            <w:vAlign w:val="center"/>
          </w:tcPr>
          <w:p w14:paraId="10CBCB3A" w14:textId="18ADC17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78</w:t>
            </w:r>
          </w:p>
        </w:tc>
        <w:tc>
          <w:tcPr>
            <w:tcW w:w="1071" w:type="dxa"/>
            <w:tcBorders>
              <w:top w:val="nil"/>
              <w:left w:val="nil"/>
              <w:bottom w:val="nil"/>
              <w:right w:val="nil"/>
            </w:tcBorders>
            <w:shd w:val="clear" w:color="auto" w:fill="DAE9F8"/>
            <w:tcMar>
              <w:top w:w="15" w:type="dxa"/>
              <w:left w:w="15" w:type="dxa"/>
              <w:right w:w="15" w:type="dxa"/>
            </w:tcMar>
            <w:vAlign w:val="center"/>
          </w:tcPr>
          <w:p w14:paraId="502C8BC0" w14:textId="5AFEBFB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50</w:t>
            </w:r>
          </w:p>
        </w:tc>
      </w:tr>
      <w:tr w:rsidR="20DE3AC1" w14:paraId="33090B83"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B5B0447" w14:textId="4703092E"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14</w:t>
            </w:r>
          </w:p>
        </w:tc>
        <w:tc>
          <w:tcPr>
            <w:tcW w:w="1070" w:type="dxa"/>
            <w:tcBorders>
              <w:top w:val="nil"/>
              <w:left w:val="nil"/>
              <w:bottom w:val="nil"/>
              <w:right w:val="nil"/>
            </w:tcBorders>
            <w:tcMar>
              <w:top w:w="15" w:type="dxa"/>
              <w:left w:w="15" w:type="dxa"/>
              <w:right w:w="15" w:type="dxa"/>
            </w:tcMar>
            <w:vAlign w:val="center"/>
          </w:tcPr>
          <w:p w14:paraId="6776094B" w14:textId="080A5D2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42</w:t>
            </w:r>
          </w:p>
        </w:tc>
        <w:tc>
          <w:tcPr>
            <w:tcW w:w="1070" w:type="dxa"/>
            <w:tcBorders>
              <w:top w:val="nil"/>
              <w:left w:val="nil"/>
              <w:bottom w:val="nil"/>
              <w:right w:val="nil"/>
            </w:tcBorders>
            <w:tcMar>
              <w:top w:w="15" w:type="dxa"/>
              <w:left w:w="15" w:type="dxa"/>
              <w:right w:w="15" w:type="dxa"/>
            </w:tcMar>
            <w:vAlign w:val="center"/>
          </w:tcPr>
          <w:p w14:paraId="3DB451CE" w14:textId="72E78A0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0" w:type="dxa"/>
            <w:tcBorders>
              <w:top w:val="nil"/>
              <w:left w:val="nil"/>
              <w:bottom w:val="nil"/>
              <w:right w:val="nil"/>
            </w:tcBorders>
            <w:tcMar>
              <w:top w:w="15" w:type="dxa"/>
              <w:left w:w="15" w:type="dxa"/>
              <w:right w:w="15" w:type="dxa"/>
            </w:tcMar>
            <w:vAlign w:val="center"/>
          </w:tcPr>
          <w:p w14:paraId="6D2F5271" w14:textId="6A0BA02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c>
          <w:tcPr>
            <w:tcW w:w="1070" w:type="dxa"/>
            <w:tcBorders>
              <w:top w:val="nil"/>
              <w:left w:val="nil"/>
              <w:bottom w:val="nil"/>
              <w:right w:val="nil"/>
            </w:tcBorders>
            <w:tcMar>
              <w:top w:w="15" w:type="dxa"/>
              <w:left w:w="15" w:type="dxa"/>
              <w:right w:w="15" w:type="dxa"/>
            </w:tcMar>
            <w:vAlign w:val="center"/>
          </w:tcPr>
          <w:p w14:paraId="22D10A15" w14:textId="1519AE7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23</w:t>
            </w:r>
          </w:p>
        </w:tc>
        <w:tc>
          <w:tcPr>
            <w:tcW w:w="1070" w:type="dxa"/>
            <w:tcBorders>
              <w:top w:val="nil"/>
              <w:left w:val="nil"/>
              <w:bottom w:val="nil"/>
              <w:right w:val="nil"/>
            </w:tcBorders>
            <w:tcMar>
              <w:top w:w="15" w:type="dxa"/>
              <w:left w:w="15" w:type="dxa"/>
              <w:right w:w="15" w:type="dxa"/>
            </w:tcMar>
            <w:vAlign w:val="center"/>
          </w:tcPr>
          <w:p w14:paraId="06DB41D8" w14:textId="0BA5CBA5"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23CA060" w14:textId="779B8FA7"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BAE8A1B" w14:textId="7D3D081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70</w:t>
            </w:r>
          </w:p>
        </w:tc>
        <w:tc>
          <w:tcPr>
            <w:tcW w:w="1071" w:type="dxa"/>
            <w:tcBorders>
              <w:top w:val="nil"/>
              <w:left w:val="nil"/>
              <w:bottom w:val="nil"/>
              <w:right w:val="nil"/>
            </w:tcBorders>
            <w:shd w:val="clear" w:color="auto" w:fill="DAE9F8"/>
            <w:tcMar>
              <w:top w:w="15" w:type="dxa"/>
              <w:left w:w="15" w:type="dxa"/>
              <w:right w:w="15" w:type="dxa"/>
            </w:tcMar>
            <w:vAlign w:val="center"/>
          </w:tcPr>
          <w:p w14:paraId="6DED5F7F" w14:textId="41BAACC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48</w:t>
            </w:r>
          </w:p>
        </w:tc>
      </w:tr>
      <w:tr w:rsidR="20DE3AC1" w14:paraId="443307DF"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464C9AF" w14:textId="57673BCB"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15</w:t>
            </w:r>
          </w:p>
        </w:tc>
        <w:tc>
          <w:tcPr>
            <w:tcW w:w="1070" w:type="dxa"/>
            <w:tcBorders>
              <w:top w:val="nil"/>
              <w:left w:val="nil"/>
              <w:bottom w:val="nil"/>
              <w:right w:val="nil"/>
            </w:tcBorders>
            <w:tcMar>
              <w:top w:w="15" w:type="dxa"/>
              <w:left w:w="15" w:type="dxa"/>
              <w:right w:w="15" w:type="dxa"/>
            </w:tcMar>
            <w:vAlign w:val="center"/>
          </w:tcPr>
          <w:p w14:paraId="0992877A" w14:textId="755A0FD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30</w:t>
            </w:r>
          </w:p>
        </w:tc>
        <w:tc>
          <w:tcPr>
            <w:tcW w:w="1070" w:type="dxa"/>
            <w:tcBorders>
              <w:top w:val="nil"/>
              <w:left w:val="nil"/>
              <w:bottom w:val="nil"/>
              <w:right w:val="nil"/>
            </w:tcBorders>
            <w:tcMar>
              <w:top w:w="15" w:type="dxa"/>
              <w:left w:w="15" w:type="dxa"/>
              <w:right w:w="15" w:type="dxa"/>
            </w:tcMar>
            <w:vAlign w:val="center"/>
          </w:tcPr>
          <w:p w14:paraId="18DF3D3A" w14:textId="6067A55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w:t>
            </w:r>
          </w:p>
        </w:tc>
        <w:tc>
          <w:tcPr>
            <w:tcW w:w="1070" w:type="dxa"/>
            <w:tcBorders>
              <w:top w:val="nil"/>
              <w:left w:val="nil"/>
              <w:bottom w:val="nil"/>
              <w:right w:val="nil"/>
            </w:tcBorders>
            <w:tcMar>
              <w:top w:w="15" w:type="dxa"/>
              <w:left w:w="15" w:type="dxa"/>
              <w:right w:w="15" w:type="dxa"/>
            </w:tcMar>
            <w:vAlign w:val="center"/>
          </w:tcPr>
          <w:p w14:paraId="57858695" w14:textId="064F9D46"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8C887B0" w14:textId="6FB76B7C"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57A08F1" w14:textId="47EBD8A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905DBB7" w14:textId="18A0210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AA5F5AF" w14:textId="655434D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30</w:t>
            </w:r>
          </w:p>
        </w:tc>
        <w:tc>
          <w:tcPr>
            <w:tcW w:w="1071" w:type="dxa"/>
            <w:tcBorders>
              <w:top w:val="nil"/>
              <w:left w:val="nil"/>
              <w:bottom w:val="nil"/>
              <w:right w:val="nil"/>
            </w:tcBorders>
            <w:shd w:val="clear" w:color="auto" w:fill="DAE9F8"/>
            <w:tcMar>
              <w:top w:w="15" w:type="dxa"/>
              <w:left w:w="15" w:type="dxa"/>
              <w:right w:w="15" w:type="dxa"/>
            </w:tcMar>
            <w:vAlign w:val="center"/>
          </w:tcPr>
          <w:p w14:paraId="17805007" w14:textId="750F3F5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w:t>
            </w:r>
          </w:p>
        </w:tc>
      </w:tr>
      <w:tr w:rsidR="20DE3AC1" w14:paraId="09E515FE"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A3A87A7" w14:textId="740352E7"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16</w:t>
            </w:r>
          </w:p>
        </w:tc>
        <w:tc>
          <w:tcPr>
            <w:tcW w:w="1070" w:type="dxa"/>
            <w:tcBorders>
              <w:top w:val="nil"/>
              <w:left w:val="nil"/>
              <w:bottom w:val="nil"/>
              <w:right w:val="nil"/>
            </w:tcBorders>
            <w:tcMar>
              <w:top w:w="15" w:type="dxa"/>
              <w:left w:w="15" w:type="dxa"/>
              <w:right w:w="15" w:type="dxa"/>
            </w:tcMar>
            <w:vAlign w:val="center"/>
          </w:tcPr>
          <w:p w14:paraId="2C464EE5" w14:textId="3EC6862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32</w:t>
            </w:r>
          </w:p>
        </w:tc>
        <w:tc>
          <w:tcPr>
            <w:tcW w:w="1070" w:type="dxa"/>
            <w:tcBorders>
              <w:top w:val="nil"/>
              <w:left w:val="nil"/>
              <w:bottom w:val="nil"/>
              <w:right w:val="nil"/>
            </w:tcBorders>
            <w:tcMar>
              <w:top w:w="15" w:type="dxa"/>
              <w:left w:w="15" w:type="dxa"/>
              <w:right w:w="15" w:type="dxa"/>
            </w:tcMar>
            <w:vAlign w:val="center"/>
          </w:tcPr>
          <w:p w14:paraId="1A88744D" w14:textId="6F14011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w:t>
            </w:r>
          </w:p>
        </w:tc>
        <w:tc>
          <w:tcPr>
            <w:tcW w:w="1070" w:type="dxa"/>
            <w:tcBorders>
              <w:top w:val="nil"/>
              <w:left w:val="nil"/>
              <w:bottom w:val="nil"/>
              <w:right w:val="nil"/>
            </w:tcBorders>
            <w:tcMar>
              <w:top w:w="15" w:type="dxa"/>
              <w:left w:w="15" w:type="dxa"/>
              <w:right w:w="15" w:type="dxa"/>
            </w:tcMar>
            <w:vAlign w:val="center"/>
          </w:tcPr>
          <w:p w14:paraId="75E48E8B" w14:textId="5FAE72A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32</w:t>
            </w:r>
          </w:p>
        </w:tc>
        <w:tc>
          <w:tcPr>
            <w:tcW w:w="1070" w:type="dxa"/>
            <w:tcBorders>
              <w:top w:val="nil"/>
              <w:left w:val="nil"/>
              <w:bottom w:val="nil"/>
              <w:right w:val="nil"/>
            </w:tcBorders>
            <w:tcMar>
              <w:top w:w="15" w:type="dxa"/>
              <w:left w:w="15" w:type="dxa"/>
              <w:right w:w="15" w:type="dxa"/>
            </w:tcMar>
            <w:vAlign w:val="center"/>
          </w:tcPr>
          <w:p w14:paraId="3EBC97B6" w14:textId="40A49C2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24</w:t>
            </w:r>
          </w:p>
        </w:tc>
        <w:tc>
          <w:tcPr>
            <w:tcW w:w="1070" w:type="dxa"/>
            <w:tcBorders>
              <w:top w:val="nil"/>
              <w:left w:val="nil"/>
              <w:bottom w:val="nil"/>
              <w:right w:val="nil"/>
            </w:tcBorders>
            <w:tcMar>
              <w:top w:w="15" w:type="dxa"/>
              <w:left w:w="15" w:type="dxa"/>
              <w:right w:w="15" w:type="dxa"/>
            </w:tcMar>
            <w:vAlign w:val="center"/>
          </w:tcPr>
          <w:p w14:paraId="2D8A76E4" w14:textId="15E4B84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4A5C829" w14:textId="200FDD44"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6C5E464A" w14:textId="7ED05B1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c>
          <w:tcPr>
            <w:tcW w:w="1071" w:type="dxa"/>
            <w:tcBorders>
              <w:top w:val="nil"/>
              <w:left w:val="nil"/>
              <w:bottom w:val="nil"/>
              <w:right w:val="nil"/>
            </w:tcBorders>
            <w:shd w:val="clear" w:color="auto" w:fill="DAE9F8"/>
            <w:tcMar>
              <w:top w:w="15" w:type="dxa"/>
              <w:left w:w="15" w:type="dxa"/>
              <w:right w:w="15" w:type="dxa"/>
            </w:tcMar>
            <w:vAlign w:val="center"/>
          </w:tcPr>
          <w:p w14:paraId="220D2402" w14:textId="41B5CFD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36</w:t>
            </w:r>
          </w:p>
        </w:tc>
      </w:tr>
      <w:tr w:rsidR="20DE3AC1" w14:paraId="4FBA8D05"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4FD287E8" w14:textId="07229210"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17</w:t>
            </w:r>
          </w:p>
        </w:tc>
        <w:tc>
          <w:tcPr>
            <w:tcW w:w="1070" w:type="dxa"/>
            <w:tcBorders>
              <w:top w:val="nil"/>
              <w:left w:val="nil"/>
              <w:bottom w:val="nil"/>
              <w:right w:val="nil"/>
            </w:tcBorders>
            <w:tcMar>
              <w:top w:w="15" w:type="dxa"/>
              <w:left w:w="15" w:type="dxa"/>
              <w:right w:w="15" w:type="dxa"/>
            </w:tcMar>
            <w:vAlign w:val="center"/>
          </w:tcPr>
          <w:p w14:paraId="13E9F702" w14:textId="4DCBA08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c>
          <w:tcPr>
            <w:tcW w:w="1070" w:type="dxa"/>
            <w:tcBorders>
              <w:top w:val="nil"/>
              <w:left w:val="nil"/>
              <w:bottom w:val="nil"/>
              <w:right w:val="nil"/>
            </w:tcBorders>
            <w:tcMar>
              <w:top w:w="15" w:type="dxa"/>
              <w:left w:w="15" w:type="dxa"/>
              <w:right w:w="15" w:type="dxa"/>
            </w:tcMar>
            <w:vAlign w:val="center"/>
          </w:tcPr>
          <w:p w14:paraId="7999DFDB" w14:textId="2F71A8A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c>
          <w:tcPr>
            <w:tcW w:w="1070" w:type="dxa"/>
            <w:tcBorders>
              <w:top w:val="nil"/>
              <w:left w:val="nil"/>
              <w:bottom w:val="nil"/>
              <w:right w:val="nil"/>
            </w:tcBorders>
            <w:tcMar>
              <w:top w:w="15" w:type="dxa"/>
              <w:left w:w="15" w:type="dxa"/>
              <w:right w:w="15" w:type="dxa"/>
            </w:tcMar>
            <w:vAlign w:val="center"/>
          </w:tcPr>
          <w:p w14:paraId="37993516" w14:textId="6F44DE6A"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7BF17E6" w14:textId="3E50A548"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D67782B" w14:textId="27B85C19"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C521059" w14:textId="0BF85BF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1A03395" w14:textId="476D181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c>
          <w:tcPr>
            <w:tcW w:w="1071" w:type="dxa"/>
            <w:tcBorders>
              <w:top w:val="nil"/>
              <w:left w:val="nil"/>
              <w:bottom w:val="nil"/>
              <w:right w:val="nil"/>
            </w:tcBorders>
            <w:shd w:val="clear" w:color="auto" w:fill="DAE9F8"/>
            <w:tcMar>
              <w:top w:w="15" w:type="dxa"/>
              <w:left w:w="15" w:type="dxa"/>
              <w:right w:w="15" w:type="dxa"/>
            </w:tcMar>
            <w:vAlign w:val="center"/>
          </w:tcPr>
          <w:p w14:paraId="2B5B01AC" w14:textId="28626F6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r>
      <w:tr w:rsidR="20DE3AC1" w14:paraId="2F42C0D2"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B406B39" w14:textId="2AEDBA01"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18</w:t>
            </w:r>
          </w:p>
        </w:tc>
        <w:tc>
          <w:tcPr>
            <w:tcW w:w="1070" w:type="dxa"/>
            <w:tcBorders>
              <w:top w:val="nil"/>
              <w:left w:val="nil"/>
              <w:bottom w:val="nil"/>
              <w:right w:val="nil"/>
            </w:tcBorders>
            <w:tcMar>
              <w:top w:w="15" w:type="dxa"/>
              <w:left w:w="15" w:type="dxa"/>
              <w:right w:w="15" w:type="dxa"/>
            </w:tcMar>
            <w:vAlign w:val="center"/>
          </w:tcPr>
          <w:p w14:paraId="2E22DC7B" w14:textId="2A54B7F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54</w:t>
            </w:r>
          </w:p>
        </w:tc>
        <w:tc>
          <w:tcPr>
            <w:tcW w:w="1070" w:type="dxa"/>
            <w:tcBorders>
              <w:top w:val="nil"/>
              <w:left w:val="nil"/>
              <w:bottom w:val="nil"/>
              <w:right w:val="nil"/>
            </w:tcBorders>
            <w:tcMar>
              <w:top w:w="15" w:type="dxa"/>
              <w:left w:w="15" w:type="dxa"/>
              <w:right w:w="15" w:type="dxa"/>
            </w:tcMar>
            <w:vAlign w:val="center"/>
          </w:tcPr>
          <w:p w14:paraId="5DCA22AF" w14:textId="1C5F114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c>
          <w:tcPr>
            <w:tcW w:w="1070" w:type="dxa"/>
            <w:tcBorders>
              <w:top w:val="nil"/>
              <w:left w:val="nil"/>
              <w:bottom w:val="nil"/>
              <w:right w:val="nil"/>
            </w:tcBorders>
            <w:tcMar>
              <w:top w:w="15" w:type="dxa"/>
              <w:left w:w="15" w:type="dxa"/>
              <w:right w:w="15" w:type="dxa"/>
            </w:tcMar>
            <w:vAlign w:val="center"/>
          </w:tcPr>
          <w:p w14:paraId="71030711" w14:textId="158B5F3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FA4C63C" w14:textId="04C92C1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818383F" w14:textId="31D06455"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EE981F9" w14:textId="2550BDD2"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70C2258" w14:textId="1B0675B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54</w:t>
            </w:r>
          </w:p>
        </w:tc>
        <w:tc>
          <w:tcPr>
            <w:tcW w:w="1071" w:type="dxa"/>
            <w:tcBorders>
              <w:top w:val="nil"/>
              <w:left w:val="nil"/>
              <w:bottom w:val="nil"/>
              <w:right w:val="nil"/>
            </w:tcBorders>
            <w:shd w:val="clear" w:color="auto" w:fill="DAE9F8"/>
            <w:tcMar>
              <w:top w:w="15" w:type="dxa"/>
              <w:left w:w="15" w:type="dxa"/>
              <w:right w:w="15" w:type="dxa"/>
            </w:tcMar>
            <w:vAlign w:val="center"/>
          </w:tcPr>
          <w:p w14:paraId="02DE2F6C" w14:textId="77792DC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r>
      <w:tr w:rsidR="20DE3AC1" w14:paraId="70CC4F20"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3F4317BC" w14:textId="190E577F"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19</w:t>
            </w:r>
          </w:p>
        </w:tc>
        <w:tc>
          <w:tcPr>
            <w:tcW w:w="1070" w:type="dxa"/>
            <w:tcBorders>
              <w:top w:val="nil"/>
              <w:left w:val="nil"/>
              <w:bottom w:val="nil"/>
              <w:right w:val="nil"/>
            </w:tcBorders>
            <w:tcMar>
              <w:top w:w="15" w:type="dxa"/>
              <w:left w:w="15" w:type="dxa"/>
              <w:right w:w="15" w:type="dxa"/>
            </w:tcMar>
            <w:vAlign w:val="center"/>
          </w:tcPr>
          <w:p w14:paraId="04AFFE41" w14:textId="684CF45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57</w:t>
            </w:r>
          </w:p>
        </w:tc>
        <w:tc>
          <w:tcPr>
            <w:tcW w:w="1070" w:type="dxa"/>
            <w:tcBorders>
              <w:top w:val="nil"/>
              <w:left w:val="nil"/>
              <w:bottom w:val="nil"/>
              <w:right w:val="nil"/>
            </w:tcBorders>
            <w:tcMar>
              <w:top w:w="15" w:type="dxa"/>
              <w:left w:w="15" w:type="dxa"/>
              <w:right w:w="15" w:type="dxa"/>
            </w:tcMar>
            <w:vAlign w:val="center"/>
          </w:tcPr>
          <w:p w14:paraId="07F2B51D" w14:textId="7B54618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w:t>
            </w:r>
          </w:p>
        </w:tc>
        <w:tc>
          <w:tcPr>
            <w:tcW w:w="1070" w:type="dxa"/>
            <w:tcBorders>
              <w:top w:val="nil"/>
              <w:left w:val="nil"/>
              <w:bottom w:val="nil"/>
              <w:right w:val="nil"/>
            </w:tcBorders>
            <w:tcMar>
              <w:top w:w="15" w:type="dxa"/>
              <w:left w:w="15" w:type="dxa"/>
              <w:right w:w="15" w:type="dxa"/>
            </w:tcMar>
            <w:vAlign w:val="center"/>
          </w:tcPr>
          <w:p w14:paraId="560215C8" w14:textId="229F66F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57</w:t>
            </w:r>
          </w:p>
        </w:tc>
        <w:tc>
          <w:tcPr>
            <w:tcW w:w="1070" w:type="dxa"/>
            <w:tcBorders>
              <w:top w:val="nil"/>
              <w:left w:val="nil"/>
              <w:bottom w:val="nil"/>
              <w:right w:val="nil"/>
            </w:tcBorders>
            <w:tcMar>
              <w:top w:w="15" w:type="dxa"/>
              <w:left w:w="15" w:type="dxa"/>
              <w:right w:w="15" w:type="dxa"/>
            </w:tcMar>
            <w:vAlign w:val="center"/>
          </w:tcPr>
          <w:p w14:paraId="1DBD320F" w14:textId="70E2BC3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35</w:t>
            </w:r>
          </w:p>
        </w:tc>
        <w:tc>
          <w:tcPr>
            <w:tcW w:w="1070" w:type="dxa"/>
            <w:tcBorders>
              <w:top w:val="nil"/>
              <w:left w:val="nil"/>
              <w:bottom w:val="nil"/>
              <w:right w:val="nil"/>
            </w:tcBorders>
            <w:tcMar>
              <w:top w:w="15" w:type="dxa"/>
              <w:left w:w="15" w:type="dxa"/>
              <w:right w:w="15" w:type="dxa"/>
            </w:tcMar>
            <w:vAlign w:val="center"/>
          </w:tcPr>
          <w:p w14:paraId="380C1C03" w14:textId="77ABB71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758A0DF" w14:textId="420681B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C2A4789" w14:textId="67C21FA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114</w:t>
            </w:r>
          </w:p>
        </w:tc>
        <w:tc>
          <w:tcPr>
            <w:tcW w:w="1071" w:type="dxa"/>
            <w:tcBorders>
              <w:top w:val="nil"/>
              <w:left w:val="nil"/>
              <w:bottom w:val="nil"/>
              <w:right w:val="nil"/>
            </w:tcBorders>
            <w:shd w:val="clear" w:color="auto" w:fill="DAE9F8"/>
            <w:tcMar>
              <w:top w:w="15" w:type="dxa"/>
              <w:left w:w="15" w:type="dxa"/>
              <w:right w:w="15" w:type="dxa"/>
            </w:tcMar>
            <w:vAlign w:val="center"/>
          </w:tcPr>
          <w:p w14:paraId="0FBCEE9C" w14:textId="5DACB95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54</w:t>
            </w:r>
          </w:p>
        </w:tc>
      </w:tr>
      <w:tr w:rsidR="20DE3AC1" w14:paraId="5427EA17"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A8EF175" w14:textId="4BA9CB68"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21</w:t>
            </w:r>
          </w:p>
        </w:tc>
        <w:tc>
          <w:tcPr>
            <w:tcW w:w="1070" w:type="dxa"/>
            <w:tcBorders>
              <w:top w:val="nil"/>
              <w:left w:val="nil"/>
              <w:bottom w:val="nil"/>
              <w:right w:val="nil"/>
            </w:tcBorders>
            <w:tcMar>
              <w:top w:w="15" w:type="dxa"/>
              <w:left w:w="15" w:type="dxa"/>
              <w:right w:w="15" w:type="dxa"/>
            </w:tcMar>
            <w:vAlign w:val="center"/>
          </w:tcPr>
          <w:p w14:paraId="1400AD9C" w14:textId="24C0AAD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105</w:t>
            </w:r>
          </w:p>
        </w:tc>
        <w:tc>
          <w:tcPr>
            <w:tcW w:w="1070" w:type="dxa"/>
            <w:tcBorders>
              <w:top w:val="nil"/>
              <w:left w:val="nil"/>
              <w:bottom w:val="nil"/>
              <w:right w:val="nil"/>
            </w:tcBorders>
            <w:tcMar>
              <w:top w:w="15" w:type="dxa"/>
              <w:left w:w="15" w:type="dxa"/>
              <w:right w:w="15" w:type="dxa"/>
            </w:tcMar>
            <w:vAlign w:val="center"/>
          </w:tcPr>
          <w:p w14:paraId="308E3EDD" w14:textId="24EAA26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60</w:t>
            </w:r>
          </w:p>
        </w:tc>
        <w:tc>
          <w:tcPr>
            <w:tcW w:w="1070" w:type="dxa"/>
            <w:tcBorders>
              <w:top w:val="nil"/>
              <w:left w:val="nil"/>
              <w:bottom w:val="nil"/>
              <w:right w:val="nil"/>
            </w:tcBorders>
            <w:tcMar>
              <w:top w:w="15" w:type="dxa"/>
              <w:left w:w="15" w:type="dxa"/>
              <w:right w:w="15" w:type="dxa"/>
            </w:tcMar>
            <w:vAlign w:val="center"/>
          </w:tcPr>
          <w:p w14:paraId="16578177" w14:textId="2A75EA8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21</w:t>
            </w:r>
          </w:p>
        </w:tc>
        <w:tc>
          <w:tcPr>
            <w:tcW w:w="1070" w:type="dxa"/>
            <w:tcBorders>
              <w:top w:val="nil"/>
              <w:left w:val="nil"/>
              <w:bottom w:val="nil"/>
              <w:right w:val="nil"/>
            </w:tcBorders>
            <w:tcMar>
              <w:top w:w="15" w:type="dxa"/>
              <w:left w:w="15" w:type="dxa"/>
              <w:right w:w="15" w:type="dxa"/>
            </w:tcMar>
            <w:vAlign w:val="center"/>
          </w:tcPr>
          <w:p w14:paraId="1D9D1A4E" w14:textId="29F539F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w:t>
            </w:r>
          </w:p>
        </w:tc>
        <w:tc>
          <w:tcPr>
            <w:tcW w:w="1070" w:type="dxa"/>
            <w:tcBorders>
              <w:top w:val="nil"/>
              <w:left w:val="nil"/>
              <w:bottom w:val="nil"/>
              <w:right w:val="nil"/>
            </w:tcBorders>
            <w:tcMar>
              <w:top w:w="15" w:type="dxa"/>
              <w:left w:w="15" w:type="dxa"/>
              <w:right w:w="15" w:type="dxa"/>
            </w:tcMar>
            <w:vAlign w:val="center"/>
          </w:tcPr>
          <w:p w14:paraId="62F7E6AA" w14:textId="3E2FC28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EFE61A1" w14:textId="128D90F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800BA11" w14:textId="15194FF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126</w:t>
            </w:r>
          </w:p>
        </w:tc>
        <w:tc>
          <w:tcPr>
            <w:tcW w:w="1071" w:type="dxa"/>
            <w:tcBorders>
              <w:top w:val="nil"/>
              <w:left w:val="nil"/>
              <w:bottom w:val="nil"/>
              <w:right w:val="nil"/>
            </w:tcBorders>
            <w:shd w:val="clear" w:color="auto" w:fill="DAE9F8"/>
            <w:tcMar>
              <w:top w:w="15" w:type="dxa"/>
              <w:left w:w="15" w:type="dxa"/>
              <w:right w:w="15" w:type="dxa"/>
            </w:tcMar>
            <w:vAlign w:val="center"/>
          </w:tcPr>
          <w:p w14:paraId="6B5D2674" w14:textId="0B6BDA9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r>
      <w:tr w:rsidR="20DE3AC1" w14:paraId="0CFD8751"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8BEE3C6" w14:textId="71C9311A"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23</w:t>
            </w:r>
          </w:p>
        </w:tc>
        <w:tc>
          <w:tcPr>
            <w:tcW w:w="1070" w:type="dxa"/>
            <w:tcBorders>
              <w:top w:val="nil"/>
              <w:left w:val="nil"/>
              <w:bottom w:val="nil"/>
              <w:right w:val="nil"/>
            </w:tcBorders>
            <w:tcMar>
              <w:top w:w="15" w:type="dxa"/>
              <w:left w:w="15" w:type="dxa"/>
              <w:right w:w="15" w:type="dxa"/>
            </w:tcMar>
            <w:vAlign w:val="center"/>
          </w:tcPr>
          <w:p w14:paraId="76BBF392" w14:textId="56D8B48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23</w:t>
            </w:r>
          </w:p>
        </w:tc>
        <w:tc>
          <w:tcPr>
            <w:tcW w:w="1070" w:type="dxa"/>
            <w:tcBorders>
              <w:top w:val="nil"/>
              <w:left w:val="nil"/>
              <w:bottom w:val="nil"/>
              <w:right w:val="nil"/>
            </w:tcBorders>
            <w:tcMar>
              <w:top w:w="15" w:type="dxa"/>
              <w:left w:w="15" w:type="dxa"/>
              <w:right w:w="15" w:type="dxa"/>
            </w:tcMar>
            <w:vAlign w:val="center"/>
          </w:tcPr>
          <w:p w14:paraId="335FC166" w14:textId="2FE93C1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14</w:t>
            </w:r>
          </w:p>
        </w:tc>
        <w:tc>
          <w:tcPr>
            <w:tcW w:w="1070" w:type="dxa"/>
            <w:tcBorders>
              <w:top w:val="nil"/>
              <w:left w:val="nil"/>
              <w:bottom w:val="nil"/>
              <w:right w:val="nil"/>
            </w:tcBorders>
            <w:tcMar>
              <w:top w:w="15" w:type="dxa"/>
              <w:left w:w="15" w:type="dxa"/>
              <w:right w:w="15" w:type="dxa"/>
            </w:tcMar>
            <w:vAlign w:val="center"/>
          </w:tcPr>
          <w:p w14:paraId="2DDD247E" w14:textId="0FE0C0A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46</w:t>
            </w:r>
          </w:p>
        </w:tc>
        <w:tc>
          <w:tcPr>
            <w:tcW w:w="1070" w:type="dxa"/>
            <w:tcBorders>
              <w:top w:val="nil"/>
              <w:left w:val="nil"/>
              <w:bottom w:val="nil"/>
              <w:right w:val="nil"/>
            </w:tcBorders>
            <w:tcMar>
              <w:top w:w="15" w:type="dxa"/>
              <w:left w:w="15" w:type="dxa"/>
              <w:right w:w="15" w:type="dxa"/>
            </w:tcMar>
            <w:vAlign w:val="center"/>
          </w:tcPr>
          <w:p w14:paraId="7A626F61" w14:textId="477DFD6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c>
          <w:tcPr>
            <w:tcW w:w="1070" w:type="dxa"/>
            <w:tcBorders>
              <w:top w:val="nil"/>
              <w:left w:val="nil"/>
              <w:bottom w:val="nil"/>
              <w:right w:val="nil"/>
            </w:tcBorders>
            <w:tcMar>
              <w:top w:w="15" w:type="dxa"/>
              <w:left w:w="15" w:type="dxa"/>
              <w:right w:w="15" w:type="dxa"/>
            </w:tcMar>
            <w:vAlign w:val="center"/>
          </w:tcPr>
          <w:p w14:paraId="0DCF53A7" w14:textId="76ECEBF9"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0A22941" w14:textId="06BF78A1"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121CBC44" w14:textId="32E0638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69</w:t>
            </w:r>
          </w:p>
        </w:tc>
        <w:tc>
          <w:tcPr>
            <w:tcW w:w="1071" w:type="dxa"/>
            <w:tcBorders>
              <w:top w:val="nil"/>
              <w:left w:val="nil"/>
              <w:bottom w:val="nil"/>
              <w:right w:val="nil"/>
            </w:tcBorders>
            <w:shd w:val="clear" w:color="auto" w:fill="DAE9F8"/>
            <w:tcMar>
              <w:top w:w="15" w:type="dxa"/>
              <w:left w:w="15" w:type="dxa"/>
              <w:right w:w="15" w:type="dxa"/>
            </w:tcMar>
            <w:vAlign w:val="center"/>
          </w:tcPr>
          <w:p w14:paraId="57D28406" w14:textId="2FDB621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r>
      <w:tr w:rsidR="20DE3AC1" w14:paraId="099BC1A3"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42627CF9" w14:textId="0A45588E"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25</w:t>
            </w:r>
          </w:p>
        </w:tc>
        <w:tc>
          <w:tcPr>
            <w:tcW w:w="1070" w:type="dxa"/>
            <w:tcBorders>
              <w:top w:val="nil"/>
              <w:left w:val="nil"/>
              <w:bottom w:val="nil"/>
              <w:right w:val="nil"/>
            </w:tcBorders>
            <w:tcMar>
              <w:top w:w="15" w:type="dxa"/>
              <w:left w:w="15" w:type="dxa"/>
              <w:right w:w="15" w:type="dxa"/>
            </w:tcMar>
            <w:vAlign w:val="center"/>
          </w:tcPr>
          <w:p w14:paraId="52C9B7C6" w14:textId="2E94E30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0" w:type="dxa"/>
            <w:tcBorders>
              <w:top w:val="nil"/>
              <w:left w:val="nil"/>
              <w:bottom w:val="nil"/>
              <w:right w:val="nil"/>
            </w:tcBorders>
            <w:tcMar>
              <w:top w:w="15" w:type="dxa"/>
              <w:left w:w="15" w:type="dxa"/>
              <w:right w:w="15" w:type="dxa"/>
            </w:tcMar>
            <w:vAlign w:val="center"/>
          </w:tcPr>
          <w:p w14:paraId="15CCEA77" w14:textId="7D8CCFA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c>
          <w:tcPr>
            <w:tcW w:w="1070" w:type="dxa"/>
            <w:tcBorders>
              <w:top w:val="nil"/>
              <w:left w:val="nil"/>
              <w:bottom w:val="nil"/>
              <w:right w:val="nil"/>
            </w:tcBorders>
            <w:tcMar>
              <w:top w:w="15" w:type="dxa"/>
              <w:left w:w="15" w:type="dxa"/>
              <w:right w:w="15" w:type="dxa"/>
            </w:tcMar>
            <w:vAlign w:val="center"/>
          </w:tcPr>
          <w:p w14:paraId="5D1559E7" w14:textId="4D09E56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29287CF" w14:textId="143B8235"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74FDD57" w14:textId="040AE678"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CD498D5" w14:textId="0EA34BC2"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DC67299" w14:textId="3F5B1F1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25</w:t>
            </w:r>
          </w:p>
        </w:tc>
        <w:tc>
          <w:tcPr>
            <w:tcW w:w="1071" w:type="dxa"/>
            <w:tcBorders>
              <w:top w:val="nil"/>
              <w:left w:val="nil"/>
              <w:bottom w:val="nil"/>
              <w:right w:val="nil"/>
            </w:tcBorders>
            <w:shd w:val="clear" w:color="auto" w:fill="DAE9F8"/>
            <w:tcMar>
              <w:top w:w="15" w:type="dxa"/>
              <w:left w:w="15" w:type="dxa"/>
              <w:right w:w="15" w:type="dxa"/>
            </w:tcMar>
            <w:vAlign w:val="center"/>
          </w:tcPr>
          <w:p w14:paraId="243B0F87" w14:textId="3DD5047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w:t>
            </w:r>
          </w:p>
        </w:tc>
      </w:tr>
      <w:tr w:rsidR="20DE3AC1" w14:paraId="05DEDC02"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1F7DBC5" w14:textId="11A68E76"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26</w:t>
            </w:r>
          </w:p>
        </w:tc>
        <w:tc>
          <w:tcPr>
            <w:tcW w:w="1070" w:type="dxa"/>
            <w:tcBorders>
              <w:top w:val="nil"/>
              <w:left w:val="nil"/>
              <w:bottom w:val="nil"/>
              <w:right w:val="nil"/>
            </w:tcBorders>
            <w:tcMar>
              <w:top w:w="15" w:type="dxa"/>
              <w:left w:w="15" w:type="dxa"/>
              <w:right w:w="15" w:type="dxa"/>
            </w:tcMar>
            <w:vAlign w:val="center"/>
          </w:tcPr>
          <w:p w14:paraId="0555AAD5" w14:textId="446CC2C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26</w:t>
            </w:r>
          </w:p>
        </w:tc>
        <w:tc>
          <w:tcPr>
            <w:tcW w:w="1070" w:type="dxa"/>
            <w:tcBorders>
              <w:top w:val="nil"/>
              <w:left w:val="nil"/>
              <w:bottom w:val="nil"/>
              <w:right w:val="nil"/>
            </w:tcBorders>
            <w:tcMar>
              <w:top w:w="15" w:type="dxa"/>
              <w:left w:w="15" w:type="dxa"/>
              <w:right w:w="15" w:type="dxa"/>
            </w:tcMar>
            <w:vAlign w:val="center"/>
          </w:tcPr>
          <w:p w14:paraId="4451AF13" w14:textId="5F21723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w:t>
            </w:r>
          </w:p>
        </w:tc>
        <w:tc>
          <w:tcPr>
            <w:tcW w:w="1070" w:type="dxa"/>
            <w:tcBorders>
              <w:top w:val="nil"/>
              <w:left w:val="nil"/>
              <w:bottom w:val="nil"/>
              <w:right w:val="nil"/>
            </w:tcBorders>
            <w:tcMar>
              <w:top w:w="15" w:type="dxa"/>
              <w:left w:w="15" w:type="dxa"/>
              <w:right w:w="15" w:type="dxa"/>
            </w:tcMar>
            <w:vAlign w:val="center"/>
          </w:tcPr>
          <w:p w14:paraId="7B2827A4" w14:textId="374DCA5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5129F75" w14:textId="2EACE54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E63C2D3" w14:textId="59BB7E3D"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9AC8B36" w14:textId="256920CD"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2A44B2D6" w14:textId="003BE48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26</w:t>
            </w:r>
          </w:p>
        </w:tc>
        <w:tc>
          <w:tcPr>
            <w:tcW w:w="1071" w:type="dxa"/>
            <w:tcBorders>
              <w:top w:val="nil"/>
              <w:left w:val="nil"/>
              <w:bottom w:val="nil"/>
              <w:right w:val="nil"/>
            </w:tcBorders>
            <w:shd w:val="clear" w:color="auto" w:fill="DAE9F8"/>
            <w:tcMar>
              <w:top w:w="15" w:type="dxa"/>
              <w:left w:w="15" w:type="dxa"/>
              <w:right w:w="15" w:type="dxa"/>
            </w:tcMar>
            <w:vAlign w:val="center"/>
          </w:tcPr>
          <w:p w14:paraId="50EAC110" w14:textId="5DE3F1B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w:t>
            </w:r>
          </w:p>
        </w:tc>
      </w:tr>
      <w:tr w:rsidR="20DE3AC1" w14:paraId="69E2B8CB"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70E062AE" w14:textId="65B0088A"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27</w:t>
            </w:r>
          </w:p>
        </w:tc>
        <w:tc>
          <w:tcPr>
            <w:tcW w:w="1070" w:type="dxa"/>
            <w:tcBorders>
              <w:top w:val="nil"/>
              <w:left w:val="nil"/>
              <w:bottom w:val="nil"/>
              <w:right w:val="nil"/>
            </w:tcBorders>
            <w:tcMar>
              <w:top w:w="15" w:type="dxa"/>
              <w:left w:w="15" w:type="dxa"/>
              <w:right w:w="15" w:type="dxa"/>
            </w:tcMar>
            <w:vAlign w:val="center"/>
          </w:tcPr>
          <w:p w14:paraId="094557AA" w14:textId="1FE8FC3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E2932EE" w14:textId="3E6D48A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C5FC359" w14:textId="125FB5A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108</w:t>
            </w:r>
          </w:p>
        </w:tc>
        <w:tc>
          <w:tcPr>
            <w:tcW w:w="1070" w:type="dxa"/>
            <w:tcBorders>
              <w:top w:val="nil"/>
              <w:left w:val="nil"/>
              <w:bottom w:val="nil"/>
              <w:right w:val="nil"/>
            </w:tcBorders>
            <w:tcMar>
              <w:top w:w="15" w:type="dxa"/>
              <w:left w:w="15" w:type="dxa"/>
              <w:right w:w="15" w:type="dxa"/>
            </w:tcMar>
            <w:vAlign w:val="center"/>
          </w:tcPr>
          <w:p w14:paraId="7B19A2CB" w14:textId="0A9AC06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93</w:t>
            </w:r>
          </w:p>
        </w:tc>
        <w:tc>
          <w:tcPr>
            <w:tcW w:w="1070" w:type="dxa"/>
            <w:tcBorders>
              <w:top w:val="nil"/>
              <w:left w:val="nil"/>
              <w:bottom w:val="nil"/>
              <w:right w:val="nil"/>
            </w:tcBorders>
            <w:tcMar>
              <w:top w:w="15" w:type="dxa"/>
              <w:left w:w="15" w:type="dxa"/>
              <w:right w:w="15" w:type="dxa"/>
            </w:tcMar>
            <w:vAlign w:val="center"/>
          </w:tcPr>
          <w:p w14:paraId="796C3366" w14:textId="2DE25189"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47098D3" w14:textId="48BC681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77F54BCF" w14:textId="1A17500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108</w:t>
            </w:r>
          </w:p>
        </w:tc>
        <w:tc>
          <w:tcPr>
            <w:tcW w:w="1071" w:type="dxa"/>
            <w:tcBorders>
              <w:top w:val="nil"/>
              <w:left w:val="nil"/>
              <w:bottom w:val="nil"/>
              <w:right w:val="nil"/>
            </w:tcBorders>
            <w:shd w:val="clear" w:color="auto" w:fill="DAE9F8"/>
            <w:tcMar>
              <w:top w:w="15" w:type="dxa"/>
              <w:left w:w="15" w:type="dxa"/>
              <w:right w:w="15" w:type="dxa"/>
            </w:tcMar>
            <w:vAlign w:val="center"/>
          </w:tcPr>
          <w:p w14:paraId="33A38D0D" w14:textId="3CCACA6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93</w:t>
            </w:r>
          </w:p>
        </w:tc>
      </w:tr>
      <w:tr w:rsidR="20DE3AC1" w14:paraId="4EA64D45"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EDDDD78" w14:textId="6F23C814"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28</w:t>
            </w:r>
          </w:p>
        </w:tc>
        <w:tc>
          <w:tcPr>
            <w:tcW w:w="1070" w:type="dxa"/>
            <w:tcBorders>
              <w:top w:val="nil"/>
              <w:left w:val="nil"/>
              <w:bottom w:val="nil"/>
              <w:right w:val="nil"/>
            </w:tcBorders>
            <w:tcMar>
              <w:top w:w="15" w:type="dxa"/>
              <w:left w:w="15" w:type="dxa"/>
              <w:right w:w="15" w:type="dxa"/>
            </w:tcMar>
            <w:vAlign w:val="center"/>
          </w:tcPr>
          <w:p w14:paraId="5806CAA9" w14:textId="678098D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6B4F8C2" w14:textId="5D28AAB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6E385CA" w14:textId="12DA175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4947C68" w14:textId="04AFC74C"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F481DDA" w14:textId="39BF402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c>
          <w:tcPr>
            <w:tcW w:w="1070" w:type="dxa"/>
            <w:tcBorders>
              <w:top w:val="nil"/>
              <w:left w:val="nil"/>
              <w:bottom w:val="nil"/>
              <w:right w:val="nil"/>
            </w:tcBorders>
            <w:tcMar>
              <w:top w:w="15" w:type="dxa"/>
              <w:left w:w="15" w:type="dxa"/>
              <w:right w:w="15" w:type="dxa"/>
            </w:tcMar>
            <w:vAlign w:val="center"/>
          </w:tcPr>
          <w:p w14:paraId="4606D5A6" w14:textId="4E39F15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17</w:t>
            </w:r>
          </w:p>
        </w:tc>
        <w:tc>
          <w:tcPr>
            <w:tcW w:w="1070" w:type="dxa"/>
            <w:tcBorders>
              <w:top w:val="nil"/>
              <w:left w:val="nil"/>
              <w:bottom w:val="nil"/>
              <w:right w:val="nil"/>
            </w:tcBorders>
            <w:shd w:val="clear" w:color="auto" w:fill="DAE9F8"/>
            <w:tcMar>
              <w:top w:w="15" w:type="dxa"/>
              <w:left w:w="15" w:type="dxa"/>
              <w:right w:w="15" w:type="dxa"/>
            </w:tcMar>
            <w:vAlign w:val="center"/>
          </w:tcPr>
          <w:p w14:paraId="2DA438C2" w14:textId="74E2823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28</w:t>
            </w:r>
          </w:p>
        </w:tc>
        <w:tc>
          <w:tcPr>
            <w:tcW w:w="1071" w:type="dxa"/>
            <w:tcBorders>
              <w:top w:val="nil"/>
              <w:left w:val="nil"/>
              <w:bottom w:val="nil"/>
              <w:right w:val="nil"/>
            </w:tcBorders>
            <w:shd w:val="clear" w:color="auto" w:fill="DAE9F8"/>
            <w:tcMar>
              <w:top w:w="15" w:type="dxa"/>
              <w:left w:w="15" w:type="dxa"/>
              <w:right w:w="15" w:type="dxa"/>
            </w:tcMar>
            <w:vAlign w:val="center"/>
          </w:tcPr>
          <w:p w14:paraId="26AB1DBC" w14:textId="0FE64DA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17</w:t>
            </w:r>
          </w:p>
        </w:tc>
      </w:tr>
      <w:tr w:rsidR="20DE3AC1" w14:paraId="78F7BCBF"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244AA55" w14:textId="742DE6AC"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31</w:t>
            </w:r>
          </w:p>
        </w:tc>
        <w:tc>
          <w:tcPr>
            <w:tcW w:w="1070" w:type="dxa"/>
            <w:tcBorders>
              <w:top w:val="nil"/>
              <w:left w:val="nil"/>
              <w:bottom w:val="nil"/>
              <w:right w:val="nil"/>
            </w:tcBorders>
            <w:tcMar>
              <w:top w:w="15" w:type="dxa"/>
              <w:left w:w="15" w:type="dxa"/>
              <w:right w:w="15" w:type="dxa"/>
            </w:tcMar>
            <w:vAlign w:val="center"/>
          </w:tcPr>
          <w:p w14:paraId="11F9075D" w14:textId="414B256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31</w:t>
            </w:r>
          </w:p>
        </w:tc>
        <w:tc>
          <w:tcPr>
            <w:tcW w:w="1070" w:type="dxa"/>
            <w:tcBorders>
              <w:top w:val="nil"/>
              <w:left w:val="nil"/>
              <w:bottom w:val="nil"/>
              <w:right w:val="nil"/>
            </w:tcBorders>
            <w:tcMar>
              <w:top w:w="15" w:type="dxa"/>
              <w:left w:w="15" w:type="dxa"/>
              <w:right w:w="15" w:type="dxa"/>
            </w:tcMar>
            <w:vAlign w:val="center"/>
          </w:tcPr>
          <w:p w14:paraId="0E5F6A1E" w14:textId="676B99C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21</w:t>
            </w:r>
          </w:p>
        </w:tc>
        <w:tc>
          <w:tcPr>
            <w:tcW w:w="1070" w:type="dxa"/>
            <w:tcBorders>
              <w:top w:val="nil"/>
              <w:left w:val="nil"/>
              <w:bottom w:val="nil"/>
              <w:right w:val="nil"/>
            </w:tcBorders>
            <w:tcMar>
              <w:top w:w="15" w:type="dxa"/>
              <w:left w:w="15" w:type="dxa"/>
              <w:right w:w="15" w:type="dxa"/>
            </w:tcMar>
            <w:vAlign w:val="center"/>
          </w:tcPr>
          <w:p w14:paraId="2F03EF44" w14:textId="133408A1"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C0FF313" w14:textId="7D9DC7C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445E11A" w14:textId="3A708F96"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FB9B46C" w14:textId="17528B3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E0016B0" w14:textId="30A25F1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31</w:t>
            </w:r>
          </w:p>
        </w:tc>
        <w:tc>
          <w:tcPr>
            <w:tcW w:w="1071" w:type="dxa"/>
            <w:tcBorders>
              <w:top w:val="nil"/>
              <w:left w:val="nil"/>
              <w:bottom w:val="nil"/>
              <w:right w:val="nil"/>
            </w:tcBorders>
            <w:shd w:val="clear" w:color="auto" w:fill="DAE9F8"/>
            <w:tcMar>
              <w:top w:w="15" w:type="dxa"/>
              <w:left w:w="15" w:type="dxa"/>
              <w:right w:w="15" w:type="dxa"/>
            </w:tcMar>
            <w:vAlign w:val="center"/>
          </w:tcPr>
          <w:p w14:paraId="40F5FC3C" w14:textId="658E0EF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21</w:t>
            </w:r>
          </w:p>
        </w:tc>
      </w:tr>
      <w:tr w:rsidR="20DE3AC1" w14:paraId="0D648B77"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6CA47DDD" w14:textId="44CFA240"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36</w:t>
            </w:r>
          </w:p>
        </w:tc>
        <w:tc>
          <w:tcPr>
            <w:tcW w:w="1070" w:type="dxa"/>
            <w:tcBorders>
              <w:top w:val="nil"/>
              <w:left w:val="nil"/>
              <w:bottom w:val="nil"/>
              <w:right w:val="nil"/>
            </w:tcBorders>
            <w:tcMar>
              <w:top w:w="15" w:type="dxa"/>
              <w:left w:w="15" w:type="dxa"/>
              <w:right w:w="15" w:type="dxa"/>
            </w:tcMar>
            <w:vAlign w:val="center"/>
          </w:tcPr>
          <w:p w14:paraId="41812512" w14:textId="3264830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36</w:t>
            </w:r>
          </w:p>
        </w:tc>
        <w:tc>
          <w:tcPr>
            <w:tcW w:w="1070" w:type="dxa"/>
            <w:tcBorders>
              <w:top w:val="nil"/>
              <w:left w:val="nil"/>
              <w:bottom w:val="nil"/>
              <w:right w:val="nil"/>
            </w:tcBorders>
            <w:tcMar>
              <w:top w:w="15" w:type="dxa"/>
              <w:left w:w="15" w:type="dxa"/>
              <w:right w:w="15" w:type="dxa"/>
            </w:tcMar>
            <w:vAlign w:val="center"/>
          </w:tcPr>
          <w:p w14:paraId="1E23DBD9" w14:textId="4758879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c>
          <w:tcPr>
            <w:tcW w:w="1070" w:type="dxa"/>
            <w:tcBorders>
              <w:top w:val="nil"/>
              <w:left w:val="nil"/>
              <w:bottom w:val="nil"/>
              <w:right w:val="nil"/>
            </w:tcBorders>
            <w:tcMar>
              <w:top w:w="15" w:type="dxa"/>
              <w:left w:w="15" w:type="dxa"/>
              <w:right w:w="15" w:type="dxa"/>
            </w:tcMar>
            <w:vAlign w:val="center"/>
          </w:tcPr>
          <w:p w14:paraId="6371A9C9" w14:textId="3BCB1C7D"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3DD356A" w14:textId="5BC518A9"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DA238D5" w14:textId="00C1966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B5B5FEC" w14:textId="79C80F1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858B75A" w14:textId="632D145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36</w:t>
            </w:r>
          </w:p>
        </w:tc>
        <w:tc>
          <w:tcPr>
            <w:tcW w:w="1071" w:type="dxa"/>
            <w:tcBorders>
              <w:top w:val="nil"/>
              <w:left w:val="nil"/>
              <w:bottom w:val="nil"/>
              <w:right w:val="nil"/>
            </w:tcBorders>
            <w:shd w:val="clear" w:color="auto" w:fill="DAE9F8"/>
            <w:tcMar>
              <w:top w:w="15" w:type="dxa"/>
              <w:left w:w="15" w:type="dxa"/>
              <w:right w:w="15" w:type="dxa"/>
            </w:tcMar>
            <w:vAlign w:val="center"/>
          </w:tcPr>
          <w:p w14:paraId="50321D20" w14:textId="3FDA902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10</w:t>
            </w:r>
          </w:p>
        </w:tc>
      </w:tr>
      <w:tr w:rsidR="20DE3AC1" w14:paraId="247D27A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67DC20F" w14:textId="2F87C96A"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38</w:t>
            </w:r>
          </w:p>
        </w:tc>
        <w:tc>
          <w:tcPr>
            <w:tcW w:w="1070" w:type="dxa"/>
            <w:tcBorders>
              <w:top w:val="nil"/>
              <w:left w:val="nil"/>
              <w:bottom w:val="nil"/>
              <w:right w:val="nil"/>
            </w:tcBorders>
            <w:tcMar>
              <w:top w:w="15" w:type="dxa"/>
              <w:left w:w="15" w:type="dxa"/>
              <w:right w:w="15" w:type="dxa"/>
            </w:tcMar>
            <w:vAlign w:val="center"/>
          </w:tcPr>
          <w:p w14:paraId="3877DE59" w14:textId="4548367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38</w:t>
            </w:r>
          </w:p>
        </w:tc>
        <w:tc>
          <w:tcPr>
            <w:tcW w:w="1070" w:type="dxa"/>
            <w:tcBorders>
              <w:top w:val="nil"/>
              <w:left w:val="nil"/>
              <w:bottom w:val="nil"/>
              <w:right w:val="nil"/>
            </w:tcBorders>
            <w:tcMar>
              <w:top w:w="15" w:type="dxa"/>
              <w:left w:w="15" w:type="dxa"/>
              <w:right w:w="15" w:type="dxa"/>
            </w:tcMar>
            <w:vAlign w:val="center"/>
          </w:tcPr>
          <w:p w14:paraId="10735221" w14:textId="6D44A37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c>
          <w:tcPr>
            <w:tcW w:w="1070" w:type="dxa"/>
            <w:tcBorders>
              <w:top w:val="nil"/>
              <w:left w:val="nil"/>
              <w:bottom w:val="nil"/>
              <w:right w:val="nil"/>
            </w:tcBorders>
            <w:tcMar>
              <w:top w:w="15" w:type="dxa"/>
              <w:left w:w="15" w:type="dxa"/>
              <w:right w:w="15" w:type="dxa"/>
            </w:tcMar>
            <w:vAlign w:val="center"/>
          </w:tcPr>
          <w:p w14:paraId="285A2320" w14:textId="09FBA6DB"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C74F077" w14:textId="6276C6A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2EF8A98" w14:textId="7B9038A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DE11625" w14:textId="5256057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A655CC1" w14:textId="7A5C2F6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38</w:t>
            </w:r>
          </w:p>
        </w:tc>
        <w:tc>
          <w:tcPr>
            <w:tcW w:w="1071" w:type="dxa"/>
            <w:tcBorders>
              <w:top w:val="nil"/>
              <w:left w:val="nil"/>
              <w:bottom w:val="nil"/>
              <w:right w:val="nil"/>
            </w:tcBorders>
            <w:shd w:val="clear" w:color="auto" w:fill="DAE9F8"/>
            <w:tcMar>
              <w:top w:w="15" w:type="dxa"/>
              <w:left w:w="15" w:type="dxa"/>
              <w:right w:w="15" w:type="dxa"/>
            </w:tcMar>
            <w:vAlign w:val="center"/>
          </w:tcPr>
          <w:p w14:paraId="3A4BBCB6" w14:textId="68E6404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34</w:t>
            </w:r>
          </w:p>
        </w:tc>
      </w:tr>
      <w:tr w:rsidR="20DE3AC1" w14:paraId="78DFC3A3"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1B1F4122" w14:textId="676B8C84"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41</w:t>
            </w:r>
          </w:p>
        </w:tc>
        <w:tc>
          <w:tcPr>
            <w:tcW w:w="1070" w:type="dxa"/>
            <w:tcBorders>
              <w:top w:val="nil"/>
              <w:left w:val="nil"/>
              <w:bottom w:val="nil"/>
              <w:right w:val="nil"/>
            </w:tcBorders>
            <w:tcMar>
              <w:top w:w="15" w:type="dxa"/>
              <w:left w:w="15" w:type="dxa"/>
              <w:right w:w="15" w:type="dxa"/>
            </w:tcMar>
            <w:vAlign w:val="center"/>
          </w:tcPr>
          <w:p w14:paraId="1FB4B17E" w14:textId="5D6395E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41</w:t>
            </w:r>
          </w:p>
        </w:tc>
        <w:tc>
          <w:tcPr>
            <w:tcW w:w="1070" w:type="dxa"/>
            <w:tcBorders>
              <w:top w:val="nil"/>
              <w:left w:val="nil"/>
              <w:bottom w:val="nil"/>
              <w:right w:val="nil"/>
            </w:tcBorders>
            <w:tcMar>
              <w:top w:w="15" w:type="dxa"/>
              <w:left w:w="15" w:type="dxa"/>
              <w:right w:w="15" w:type="dxa"/>
            </w:tcMar>
            <w:vAlign w:val="center"/>
          </w:tcPr>
          <w:p w14:paraId="76A7E66E" w14:textId="7A99360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35</w:t>
            </w:r>
          </w:p>
        </w:tc>
        <w:tc>
          <w:tcPr>
            <w:tcW w:w="1070" w:type="dxa"/>
            <w:tcBorders>
              <w:top w:val="nil"/>
              <w:left w:val="nil"/>
              <w:bottom w:val="nil"/>
              <w:right w:val="nil"/>
            </w:tcBorders>
            <w:tcMar>
              <w:top w:w="15" w:type="dxa"/>
              <w:left w:w="15" w:type="dxa"/>
              <w:right w:w="15" w:type="dxa"/>
            </w:tcMar>
            <w:vAlign w:val="center"/>
          </w:tcPr>
          <w:p w14:paraId="783F03B1" w14:textId="7F0B954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C6A6DE6" w14:textId="6AD2BBC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DA48D46" w14:textId="7C6D998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E8D25C4" w14:textId="3F277F43"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D815517" w14:textId="01FE68F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41</w:t>
            </w:r>
          </w:p>
        </w:tc>
        <w:tc>
          <w:tcPr>
            <w:tcW w:w="1071" w:type="dxa"/>
            <w:tcBorders>
              <w:top w:val="nil"/>
              <w:left w:val="nil"/>
              <w:bottom w:val="nil"/>
              <w:right w:val="nil"/>
            </w:tcBorders>
            <w:shd w:val="clear" w:color="auto" w:fill="DAE9F8"/>
            <w:tcMar>
              <w:top w:w="15" w:type="dxa"/>
              <w:left w:w="15" w:type="dxa"/>
              <w:right w:w="15" w:type="dxa"/>
            </w:tcMar>
            <w:vAlign w:val="center"/>
          </w:tcPr>
          <w:p w14:paraId="76DC6FC5" w14:textId="46E2DF4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35</w:t>
            </w:r>
          </w:p>
        </w:tc>
      </w:tr>
      <w:tr w:rsidR="20DE3AC1" w14:paraId="08AED0A9"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7298F09" w14:textId="49A38303"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51</w:t>
            </w:r>
          </w:p>
        </w:tc>
        <w:tc>
          <w:tcPr>
            <w:tcW w:w="1070" w:type="dxa"/>
            <w:tcBorders>
              <w:top w:val="nil"/>
              <w:left w:val="nil"/>
              <w:bottom w:val="nil"/>
              <w:right w:val="nil"/>
            </w:tcBorders>
            <w:tcMar>
              <w:top w:w="15" w:type="dxa"/>
              <w:left w:w="15" w:type="dxa"/>
              <w:right w:w="15" w:type="dxa"/>
            </w:tcMar>
            <w:vAlign w:val="center"/>
          </w:tcPr>
          <w:p w14:paraId="6A1F4B45" w14:textId="648C166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51</w:t>
            </w:r>
          </w:p>
        </w:tc>
        <w:tc>
          <w:tcPr>
            <w:tcW w:w="1070" w:type="dxa"/>
            <w:tcBorders>
              <w:top w:val="nil"/>
              <w:left w:val="nil"/>
              <w:bottom w:val="nil"/>
              <w:right w:val="nil"/>
            </w:tcBorders>
            <w:tcMar>
              <w:top w:w="15" w:type="dxa"/>
              <w:left w:w="15" w:type="dxa"/>
              <w:right w:w="15" w:type="dxa"/>
            </w:tcMar>
            <w:vAlign w:val="center"/>
          </w:tcPr>
          <w:p w14:paraId="25F30090" w14:textId="360AFED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w:t>
            </w:r>
          </w:p>
        </w:tc>
        <w:tc>
          <w:tcPr>
            <w:tcW w:w="1070" w:type="dxa"/>
            <w:tcBorders>
              <w:top w:val="nil"/>
              <w:left w:val="nil"/>
              <w:bottom w:val="nil"/>
              <w:right w:val="nil"/>
            </w:tcBorders>
            <w:tcMar>
              <w:top w:w="15" w:type="dxa"/>
              <w:left w:w="15" w:type="dxa"/>
              <w:right w:w="15" w:type="dxa"/>
            </w:tcMar>
            <w:vAlign w:val="center"/>
          </w:tcPr>
          <w:p w14:paraId="15E55F95" w14:textId="22E544B2"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F43BAE2" w14:textId="76EA894A"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3A7E227" w14:textId="6EE32A1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46EBDD1" w14:textId="7EC876F1"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5A93FC7" w14:textId="7D301EF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51</w:t>
            </w:r>
          </w:p>
        </w:tc>
        <w:tc>
          <w:tcPr>
            <w:tcW w:w="1071" w:type="dxa"/>
            <w:tcBorders>
              <w:top w:val="nil"/>
              <w:left w:val="nil"/>
              <w:bottom w:val="nil"/>
              <w:right w:val="nil"/>
            </w:tcBorders>
            <w:shd w:val="clear" w:color="auto" w:fill="DAE9F8"/>
            <w:tcMar>
              <w:top w:w="15" w:type="dxa"/>
              <w:left w:w="15" w:type="dxa"/>
              <w:right w:w="15" w:type="dxa"/>
            </w:tcMar>
            <w:vAlign w:val="center"/>
          </w:tcPr>
          <w:p w14:paraId="39E9FE62" w14:textId="423C8CF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w:t>
            </w:r>
          </w:p>
        </w:tc>
      </w:tr>
      <w:tr w:rsidR="20DE3AC1" w14:paraId="4D49BC7A"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7ED67F3A" w14:textId="42F68DCD"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57</w:t>
            </w:r>
          </w:p>
        </w:tc>
        <w:tc>
          <w:tcPr>
            <w:tcW w:w="1070" w:type="dxa"/>
            <w:tcBorders>
              <w:top w:val="nil"/>
              <w:left w:val="nil"/>
              <w:bottom w:val="nil"/>
              <w:right w:val="nil"/>
            </w:tcBorders>
            <w:tcMar>
              <w:top w:w="15" w:type="dxa"/>
              <w:left w:w="15" w:type="dxa"/>
              <w:right w:w="15" w:type="dxa"/>
            </w:tcMar>
            <w:vAlign w:val="center"/>
          </w:tcPr>
          <w:p w14:paraId="3B895261" w14:textId="71ABB8E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858ED65" w14:textId="6FF46E58"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AD9138D" w14:textId="0395B252"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114</w:t>
            </w:r>
          </w:p>
        </w:tc>
        <w:tc>
          <w:tcPr>
            <w:tcW w:w="1070" w:type="dxa"/>
            <w:tcBorders>
              <w:top w:val="nil"/>
              <w:left w:val="nil"/>
              <w:bottom w:val="nil"/>
              <w:right w:val="nil"/>
            </w:tcBorders>
            <w:tcMar>
              <w:top w:w="15" w:type="dxa"/>
              <w:left w:w="15" w:type="dxa"/>
              <w:right w:w="15" w:type="dxa"/>
            </w:tcMar>
            <w:vAlign w:val="center"/>
          </w:tcPr>
          <w:p w14:paraId="522FD439" w14:textId="1D461EF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94</w:t>
            </w:r>
          </w:p>
        </w:tc>
        <w:tc>
          <w:tcPr>
            <w:tcW w:w="1070" w:type="dxa"/>
            <w:tcBorders>
              <w:top w:val="nil"/>
              <w:left w:val="nil"/>
              <w:bottom w:val="nil"/>
              <w:right w:val="nil"/>
            </w:tcBorders>
            <w:tcMar>
              <w:top w:w="15" w:type="dxa"/>
              <w:left w:w="15" w:type="dxa"/>
              <w:right w:w="15" w:type="dxa"/>
            </w:tcMar>
            <w:vAlign w:val="center"/>
          </w:tcPr>
          <w:p w14:paraId="497C57BB" w14:textId="01000905"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C21BAFF" w14:textId="72AAEE19"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BB130A5" w14:textId="6AAD616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114</w:t>
            </w:r>
          </w:p>
        </w:tc>
        <w:tc>
          <w:tcPr>
            <w:tcW w:w="1071" w:type="dxa"/>
            <w:tcBorders>
              <w:top w:val="nil"/>
              <w:left w:val="nil"/>
              <w:bottom w:val="nil"/>
              <w:right w:val="nil"/>
            </w:tcBorders>
            <w:shd w:val="clear" w:color="auto" w:fill="DAE9F8"/>
            <w:tcMar>
              <w:top w:w="15" w:type="dxa"/>
              <w:left w:w="15" w:type="dxa"/>
              <w:right w:w="15" w:type="dxa"/>
            </w:tcMar>
            <w:vAlign w:val="center"/>
          </w:tcPr>
          <w:p w14:paraId="40714A83" w14:textId="469B410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94</w:t>
            </w:r>
          </w:p>
        </w:tc>
      </w:tr>
      <w:tr w:rsidR="20DE3AC1" w14:paraId="1EA318B7"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2DAA008A" w14:textId="5E89A0A3"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59</w:t>
            </w:r>
          </w:p>
        </w:tc>
        <w:tc>
          <w:tcPr>
            <w:tcW w:w="1070" w:type="dxa"/>
            <w:tcBorders>
              <w:top w:val="nil"/>
              <w:left w:val="nil"/>
              <w:bottom w:val="nil"/>
              <w:right w:val="nil"/>
            </w:tcBorders>
            <w:tcMar>
              <w:top w:w="15" w:type="dxa"/>
              <w:left w:w="15" w:type="dxa"/>
              <w:right w:w="15" w:type="dxa"/>
            </w:tcMar>
            <w:vAlign w:val="center"/>
          </w:tcPr>
          <w:p w14:paraId="79E29CF5" w14:textId="2208C3F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59</w:t>
            </w:r>
          </w:p>
        </w:tc>
        <w:tc>
          <w:tcPr>
            <w:tcW w:w="1070" w:type="dxa"/>
            <w:tcBorders>
              <w:top w:val="nil"/>
              <w:left w:val="nil"/>
              <w:bottom w:val="nil"/>
              <w:right w:val="nil"/>
            </w:tcBorders>
            <w:tcMar>
              <w:top w:w="15" w:type="dxa"/>
              <w:left w:w="15" w:type="dxa"/>
              <w:right w:w="15" w:type="dxa"/>
            </w:tcMar>
            <w:vAlign w:val="center"/>
          </w:tcPr>
          <w:p w14:paraId="3255CA7E" w14:textId="791020A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47</w:t>
            </w:r>
          </w:p>
        </w:tc>
        <w:tc>
          <w:tcPr>
            <w:tcW w:w="1070" w:type="dxa"/>
            <w:tcBorders>
              <w:top w:val="nil"/>
              <w:left w:val="nil"/>
              <w:bottom w:val="nil"/>
              <w:right w:val="nil"/>
            </w:tcBorders>
            <w:tcMar>
              <w:top w:w="15" w:type="dxa"/>
              <w:left w:w="15" w:type="dxa"/>
              <w:right w:w="15" w:type="dxa"/>
            </w:tcMar>
            <w:vAlign w:val="center"/>
          </w:tcPr>
          <w:p w14:paraId="649CBE37" w14:textId="40D8B28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B90AE17" w14:textId="5FAE8C29"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0C017804" w14:textId="5CA28106"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7072D643" w14:textId="4B4C3C6C"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0B1C4F07" w14:textId="1DE9E07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59</w:t>
            </w:r>
          </w:p>
        </w:tc>
        <w:tc>
          <w:tcPr>
            <w:tcW w:w="1071" w:type="dxa"/>
            <w:tcBorders>
              <w:top w:val="nil"/>
              <w:left w:val="nil"/>
              <w:bottom w:val="nil"/>
              <w:right w:val="nil"/>
            </w:tcBorders>
            <w:shd w:val="clear" w:color="auto" w:fill="DAE9F8"/>
            <w:tcMar>
              <w:top w:w="15" w:type="dxa"/>
              <w:left w:w="15" w:type="dxa"/>
              <w:right w:w="15" w:type="dxa"/>
            </w:tcMar>
            <w:vAlign w:val="center"/>
          </w:tcPr>
          <w:p w14:paraId="7885748D" w14:textId="10B5C4A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47</w:t>
            </w:r>
          </w:p>
        </w:tc>
      </w:tr>
      <w:tr w:rsidR="20DE3AC1" w14:paraId="62D52062"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3A5B911F" w14:textId="6A2C1AD0"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60</w:t>
            </w:r>
          </w:p>
        </w:tc>
        <w:tc>
          <w:tcPr>
            <w:tcW w:w="1070" w:type="dxa"/>
            <w:tcBorders>
              <w:top w:val="nil"/>
              <w:left w:val="nil"/>
              <w:bottom w:val="nil"/>
              <w:right w:val="nil"/>
            </w:tcBorders>
            <w:tcMar>
              <w:top w:w="15" w:type="dxa"/>
              <w:left w:w="15" w:type="dxa"/>
              <w:right w:w="15" w:type="dxa"/>
            </w:tcMar>
            <w:vAlign w:val="center"/>
          </w:tcPr>
          <w:p w14:paraId="4815B9F9" w14:textId="6390A50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60</w:t>
            </w:r>
          </w:p>
        </w:tc>
        <w:tc>
          <w:tcPr>
            <w:tcW w:w="1070" w:type="dxa"/>
            <w:tcBorders>
              <w:top w:val="nil"/>
              <w:left w:val="nil"/>
              <w:bottom w:val="nil"/>
              <w:right w:val="nil"/>
            </w:tcBorders>
            <w:tcMar>
              <w:top w:w="15" w:type="dxa"/>
              <w:left w:w="15" w:type="dxa"/>
              <w:right w:w="15" w:type="dxa"/>
            </w:tcMar>
            <w:vAlign w:val="center"/>
          </w:tcPr>
          <w:p w14:paraId="537B6545" w14:textId="18FB31B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c>
          <w:tcPr>
            <w:tcW w:w="1070" w:type="dxa"/>
            <w:tcBorders>
              <w:top w:val="nil"/>
              <w:left w:val="nil"/>
              <w:bottom w:val="nil"/>
              <w:right w:val="nil"/>
            </w:tcBorders>
            <w:tcMar>
              <w:top w:w="15" w:type="dxa"/>
              <w:left w:w="15" w:type="dxa"/>
              <w:right w:w="15" w:type="dxa"/>
            </w:tcMar>
            <w:vAlign w:val="center"/>
          </w:tcPr>
          <w:p w14:paraId="4DDB884F" w14:textId="125A725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B6C4290" w14:textId="1171FA9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A53B865" w14:textId="268BC60B"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C91083D" w14:textId="75003D9A"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5CAE7FF" w14:textId="74E0521F"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60</w:t>
            </w:r>
          </w:p>
        </w:tc>
        <w:tc>
          <w:tcPr>
            <w:tcW w:w="1071" w:type="dxa"/>
            <w:tcBorders>
              <w:top w:val="nil"/>
              <w:left w:val="nil"/>
              <w:bottom w:val="nil"/>
              <w:right w:val="nil"/>
            </w:tcBorders>
            <w:shd w:val="clear" w:color="auto" w:fill="DAE9F8"/>
            <w:tcMar>
              <w:top w:w="15" w:type="dxa"/>
              <w:left w:w="15" w:type="dxa"/>
              <w:right w:w="15" w:type="dxa"/>
            </w:tcMar>
            <w:vAlign w:val="center"/>
          </w:tcPr>
          <w:p w14:paraId="2348F274" w14:textId="58D3F170"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r>
      <w:tr w:rsidR="20DE3AC1" w14:paraId="0D6B1F09"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55166780" w14:textId="45465688"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lastRenderedPageBreak/>
              <w:t>61</w:t>
            </w:r>
          </w:p>
        </w:tc>
        <w:tc>
          <w:tcPr>
            <w:tcW w:w="1070" w:type="dxa"/>
            <w:tcBorders>
              <w:top w:val="nil"/>
              <w:left w:val="nil"/>
              <w:bottom w:val="nil"/>
              <w:right w:val="nil"/>
            </w:tcBorders>
            <w:tcMar>
              <w:top w:w="15" w:type="dxa"/>
              <w:left w:w="15" w:type="dxa"/>
              <w:right w:w="15" w:type="dxa"/>
            </w:tcMar>
            <w:vAlign w:val="center"/>
          </w:tcPr>
          <w:p w14:paraId="3B3F8794" w14:textId="7F4A5583"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61</w:t>
            </w:r>
          </w:p>
        </w:tc>
        <w:tc>
          <w:tcPr>
            <w:tcW w:w="1070" w:type="dxa"/>
            <w:tcBorders>
              <w:top w:val="nil"/>
              <w:left w:val="nil"/>
              <w:bottom w:val="nil"/>
              <w:right w:val="nil"/>
            </w:tcBorders>
            <w:tcMar>
              <w:top w:w="15" w:type="dxa"/>
              <w:left w:w="15" w:type="dxa"/>
              <w:right w:w="15" w:type="dxa"/>
            </w:tcMar>
            <w:vAlign w:val="center"/>
          </w:tcPr>
          <w:p w14:paraId="0AE4E6C8" w14:textId="1EEE3DA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37</w:t>
            </w:r>
          </w:p>
        </w:tc>
        <w:tc>
          <w:tcPr>
            <w:tcW w:w="1070" w:type="dxa"/>
            <w:tcBorders>
              <w:top w:val="nil"/>
              <w:left w:val="nil"/>
              <w:bottom w:val="nil"/>
              <w:right w:val="nil"/>
            </w:tcBorders>
            <w:tcMar>
              <w:top w:w="15" w:type="dxa"/>
              <w:left w:w="15" w:type="dxa"/>
              <w:right w:w="15" w:type="dxa"/>
            </w:tcMar>
            <w:vAlign w:val="center"/>
          </w:tcPr>
          <w:p w14:paraId="56D5D295" w14:textId="0C73801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B477FE3" w14:textId="3BAB128D"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9FE3C64" w14:textId="1E21453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36B3637" w14:textId="750808E0"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5EC4CC6" w14:textId="2A3EC72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61</w:t>
            </w:r>
          </w:p>
        </w:tc>
        <w:tc>
          <w:tcPr>
            <w:tcW w:w="1071" w:type="dxa"/>
            <w:tcBorders>
              <w:top w:val="nil"/>
              <w:left w:val="nil"/>
              <w:bottom w:val="nil"/>
              <w:right w:val="nil"/>
            </w:tcBorders>
            <w:shd w:val="clear" w:color="auto" w:fill="DAE9F8"/>
            <w:tcMar>
              <w:top w:w="15" w:type="dxa"/>
              <w:left w:w="15" w:type="dxa"/>
              <w:right w:w="15" w:type="dxa"/>
            </w:tcMar>
            <w:vAlign w:val="center"/>
          </w:tcPr>
          <w:p w14:paraId="1A930B95" w14:textId="631C7A2D"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37</w:t>
            </w:r>
          </w:p>
        </w:tc>
      </w:tr>
      <w:tr w:rsidR="20DE3AC1" w14:paraId="3BCB656C"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6E53F014" w14:textId="374F4A15"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62</w:t>
            </w:r>
          </w:p>
        </w:tc>
        <w:tc>
          <w:tcPr>
            <w:tcW w:w="1070" w:type="dxa"/>
            <w:tcBorders>
              <w:top w:val="nil"/>
              <w:left w:val="nil"/>
              <w:bottom w:val="nil"/>
              <w:right w:val="nil"/>
            </w:tcBorders>
            <w:tcMar>
              <w:top w:w="15" w:type="dxa"/>
              <w:left w:w="15" w:type="dxa"/>
              <w:right w:w="15" w:type="dxa"/>
            </w:tcMar>
            <w:vAlign w:val="center"/>
          </w:tcPr>
          <w:p w14:paraId="39D9C9C2" w14:textId="5C0D8C2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62</w:t>
            </w:r>
          </w:p>
        </w:tc>
        <w:tc>
          <w:tcPr>
            <w:tcW w:w="1070" w:type="dxa"/>
            <w:tcBorders>
              <w:top w:val="nil"/>
              <w:left w:val="nil"/>
              <w:bottom w:val="nil"/>
              <w:right w:val="nil"/>
            </w:tcBorders>
            <w:tcMar>
              <w:top w:w="15" w:type="dxa"/>
              <w:left w:w="15" w:type="dxa"/>
              <w:right w:w="15" w:type="dxa"/>
            </w:tcMar>
            <w:vAlign w:val="center"/>
          </w:tcPr>
          <w:p w14:paraId="61CF8E3F" w14:textId="76A98BF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w:t>
            </w:r>
          </w:p>
        </w:tc>
        <w:tc>
          <w:tcPr>
            <w:tcW w:w="1070" w:type="dxa"/>
            <w:tcBorders>
              <w:top w:val="nil"/>
              <w:left w:val="nil"/>
              <w:bottom w:val="nil"/>
              <w:right w:val="nil"/>
            </w:tcBorders>
            <w:tcMar>
              <w:top w:w="15" w:type="dxa"/>
              <w:left w:w="15" w:type="dxa"/>
              <w:right w:w="15" w:type="dxa"/>
            </w:tcMar>
            <w:vAlign w:val="center"/>
          </w:tcPr>
          <w:p w14:paraId="31D9FE52" w14:textId="7B8EE5A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227B836" w14:textId="792E673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C270E0E" w14:textId="028AFEFB"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9162484" w14:textId="01D8238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6A1E242D" w14:textId="0A2623C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62</w:t>
            </w:r>
          </w:p>
        </w:tc>
        <w:tc>
          <w:tcPr>
            <w:tcW w:w="1071" w:type="dxa"/>
            <w:tcBorders>
              <w:top w:val="nil"/>
              <w:left w:val="nil"/>
              <w:bottom w:val="nil"/>
              <w:right w:val="nil"/>
            </w:tcBorders>
            <w:shd w:val="clear" w:color="auto" w:fill="DAE9F8"/>
            <w:tcMar>
              <w:top w:w="15" w:type="dxa"/>
              <w:left w:w="15" w:type="dxa"/>
              <w:right w:w="15" w:type="dxa"/>
            </w:tcMar>
            <w:vAlign w:val="center"/>
          </w:tcPr>
          <w:p w14:paraId="4855AC3A" w14:textId="7920C24E"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19</w:t>
            </w:r>
          </w:p>
        </w:tc>
      </w:tr>
      <w:tr w:rsidR="20DE3AC1" w14:paraId="01738070"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4E6AC3B5" w14:textId="5F864B36"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63</w:t>
            </w:r>
          </w:p>
        </w:tc>
        <w:tc>
          <w:tcPr>
            <w:tcW w:w="1070" w:type="dxa"/>
            <w:tcBorders>
              <w:top w:val="nil"/>
              <w:left w:val="nil"/>
              <w:bottom w:val="nil"/>
              <w:right w:val="nil"/>
            </w:tcBorders>
            <w:tcMar>
              <w:top w:w="15" w:type="dxa"/>
              <w:left w:w="15" w:type="dxa"/>
              <w:right w:w="15" w:type="dxa"/>
            </w:tcMar>
            <w:vAlign w:val="center"/>
          </w:tcPr>
          <w:p w14:paraId="261A837D" w14:textId="0779576A"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63</w:t>
            </w:r>
          </w:p>
        </w:tc>
        <w:tc>
          <w:tcPr>
            <w:tcW w:w="1070" w:type="dxa"/>
            <w:tcBorders>
              <w:top w:val="nil"/>
              <w:left w:val="nil"/>
              <w:bottom w:val="nil"/>
              <w:right w:val="nil"/>
            </w:tcBorders>
            <w:tcMar>
              <w:top w:w="15" w:type="dxa"/>
              <w:left w:w="15" w:type="dxa"/>
              <w:right w:w="15" w:type="dxa"/>
            </w:tcMar>
            <w:vAlign w:val="center"/>
          </w:tcPr>
          <w:p w14:paraId="538994FC" w14:textId="7D906EB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60</w:t>
            </w:r>
          </w:p>
        </w:tc>
        <w:tc>
          <w:tcPr>
            <w:tcW w:w="1070" w:type="dxa"/>
            <w:tcBorders>
              <w:top w:val="nil"/>
              <w:left w:val="nil"/>
              <w:bottom w:val="nil"/>
              <w:right w:val="nil"/>
            </w:tcBorders>
            <w:tcMar>
              <w:top w:w="15" w:type="dxa"/>
              <w:left w:w="15" w:type="dxa"/>
              <w:right w:w="15" w:type="dxa"/>
            </w:tcMar>
            <w:vAlign w:val="center"/>
          </w:tcPr>
          <w:p w14:paraId="16D380DF" w14:textId="345D4BAA"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89406CD" w14:textId="0B4955B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391D0A80" w14:textId="426D6BE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D30CA5E" w14:textId="0EF8809B"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63DA580" w14:textId="354F6BE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63</w:t>
            </w:r>
          </w:p>
        </w:tc>
        <w:tc>
          <w:tcPr>
            <w:tcW w:w="1071" w:type="dxa"/>
            <w:tcBorders>
              <w:top w:val="nil"/>
              <w:left w:val="nil"/>
              <w:bottom w:val="nil"/>
              <w:right w:val="nil"/>
            </w:tcBorders>
            <w:shd w:val="clear" w:color="auto" w:fill="DAE9F8"/>
            <w:tcMar>
              <w:top w:w="15" w:type="dxa"/>
              <w:left w:w="15" w:type="dxa"/>
              <w:right w:w="15" w:type="dxa"/>
            </w:tcMar>
            <w:vAlign w:val="center"/>
          </w:tcPr>
          <w:p w14:paraId="37C58FDF" w14:textId="3AB4055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60</w:t>
            </w:r>
          </w:p>
        </w:tc>
      </w:tr>
      <w:tr w:rsidR="20DE3AC1" w14:paraId="536F73D4"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08CBEAAC" w14:textId="1DF50812"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64</w:t>
            </w:r>
          </w:p>
        </w:tc>
        <w:tc>
          <w:tcPr>
            <w:tcW w:w="1070" w:type="dxa"/>
            <w:tcBorders>
              <w:top w:val="nil"/>
              <w:left w:val="nil"/>
              <w:bottom w:val="nil"/>
              <w:right w:val="nil"/>
            </w:tcBorders>
            <w:tcMar>
              <w:top w:w="15" w:type="dxa"/>
              <w:left w:w="15" w:type="dxa"/>
              <w:right w:w="15" w:type="dxa"/>
            </w:tcMar>
            <w:vAlign w:val="center"/>
          </w:tcPr>
          <w:p w14:paraId="36302594" w14:textId="6A465E97"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c>
          <w:tcPr>
            <w:tcW w:w="1070" w:type="dxa"/>
            <w:tcBorders>
              <w:top w:val="nil"/>
              <w:left w:val="nil"/>
              <w:bottom w:val="nil"/>
              <w:right w:val="nil"/>
            </w:tcBorders>
            <w:tcMar>
              <w:top w:w="15" w:type="dxa"/>
              <w:left w:w="15" w:type="dxa"/>
              <w:right w:w="15" w:type="dxa"/>
            </w:tcMar>
            <w:vAlign w:val="center"/>
          </w:tcPr>
          <w:p w14:paraId="14A70612" w14:textId="516B268B"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18</w:t>
            </w:r>
          </w:p>
        </w:tc>
        <w:tc>
          <w:tcPr>
            <w:tcW w:w="1070" w:type="dxa"/>
            <w:tcBorders>
              <w:top w:val="nil"/>
              <w:left w:val="nil"/>
              <w:bottom w:val="nil"/>
              <w:right w:val="nil"/>
            </w:tcBorders>
            <w:tcMar>
              <w:top w:w="15" w:type="dxa"/>
              <w:left w:w="15" w:type="dxa"/>
              <w:right w:w="15" w:type="dxa"/>
            </w:tcMar>
            <w:vAlign w:val="center"/>
          </w:tcPr>
          <w:p w14:paraId="7796F604" w14:textId="48810C3E"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4D1E1A4" w14:textId="6AC78AE0"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E7AA80F" w14:textId="4FCEC745"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2C07F220" w14:textId="39B373F4"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3A89BE5D" w14:textId="5F8BDAC5"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64</w:t>
            </w:r>
          </w:p>
        </w:tc>
        <w:tc>
          <w:tcPr>
            <w:tcW w:w="1071" w:type="dxa"/>
            <w:tcBorders>
              <w:top w:val="nil"/>
              <w:left w:val="nil"/>
              <w:bottom w:val="nil"/>
              <w:right w:val="nil"/>
            </w:tcBorders>
            <w:shd w:val="clear" w:color="auto" w:fill="DAE9F8"/>
            <w:tcMar>
              <w:top w:w="15" w:type="dxa"/>
              <w:left w:w="15" w:type="dxa"/>
              <w:right w:w="15" w:type="dxa"/>
            </w:tcMar>
            <w:vAlign w:val="center"/>
          </w:tcPr>
          <w:p w14:paraId="32186A0E" w14:textId="5BB67BB8"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18</w:t>
            </w:r>
          </w:p>
        </w:tc>
      </w:tr>
      <w:tr w:rsidR="20DE3AC1" w14:paraId="070E77AB"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1B9A5DFB" w14:textId="582A5725"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70</w:t>
            </w:r>
          </w:p>
        </w:tc>
        <w:tc>
          <w:tcPr>
            <w:tcW w:w="1070" w:type="dxa"/>
            <w:tcBorders>
              <w:top w:val="nil"/>
              <w:left w:val="nil"/>
              <w:bottom w:val="nil"/>
              <w:right w:val="nil"/>
            </w:tcBorders>
            <w:tcMar>
              <w:top w:w="15" w:type="dxa"/>
              <w:left w:w="15" w:type="dxa"/>
              <w:right w:w="15" w:type="dxa"/>
            </w:tcMar>
            <w:vAlign w:val="center"/>
          </w:tcPr>
          <w:p w14:paraId="200184DF" w14:textId="5ABCB4F3"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A4C8F84" w14:textId="7EAA19CC"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480845BB" w14:textId="22A8CF5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70</w:t>
            </w:r>
          </w:p>
        </w:tc>
        <w:tc>
          <w:tcPr>
            <w:tcW w:w="1070" w:type="dxa"/>
            <w:tcBorders>
              <w:top w:val="nil"/>
              <w:left w:val="nil"/>
              <w:bottom w:val="nil"/>
              <w:right w:val="nil"/>
            </w:tcBorders>
            <w:tcMar>
              <w:top w:w="15" w:type="dxa"/>
              <w:left w:w="15" w:type="dxa"/>
              <w:right w:w="15" w:type="dxa"/>
            </w:tcMar>
            <w:vAlign w:val="center"/>
          </w:tcPr>
          <w:p w14:paraId="0D2E48A6" w14:textId="6424B214"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51</w:t>
            </w:r>
          </w:p>
        </w:tc>
        <w:tc>
          <w:tcPr>
            <w:tcW w:w="1070" w:type="dxa"/>
            <w:tcBorders>
              <w:top w:val="nil"/>
              <w:left w:val="nil"/>
              <w:bottom w:val="nil"/>
              <w:right w:val="nil"/>
            </w:tcBorders>
            <w:tcMar>
              <w:top w:w="15" w:type="dxa"/>
              <w:left w:w="15" w:type="dxa"/>
              <w:right w:w="15" w:type="dxa"/>
            </w:tcMar>
            <w:vAlign w:val="center"/>
          </w:tcPr>
          <w:p w14:paraId="78937089" w14:textId="637878CC"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F989175" w14:textId="5382B915"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5BDD5961" w14:textId="0BFD4879"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70</w:t>
            </w:r>
          </w:p>
        </w:tc>
        <w:tc>
          <w:tcPr>
            <w:tcW w:w="1071" w:type="dxa"/>
            <w:tcBorders>
              <w:top w:val="nil"/>
              <w:left w:val="nil"/>
              <w:bottom w:val="nil"/>
              <w:right w:val="nil"/>
            </w:tcBorders>
            <w:shd w:val="clear" w:color="auto" w:fill="DAE9F8"/>
            <w:tcMar>
              <w:top w:w="15" w:type="dxa"/>
              <w:left w:w="15" w:type="dxa"/>
              <w:right w:w="15" w:type="dxa"/>
            </w:tcMar>
            <w:vAlign w:val="center"/>
          </w:tcPr>
          <w:p w14:paraId="57155A82" w14:textId="353AE711"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51</w:t>
            </w:r>
          </w:p>
        </w:tc>
      </w:tr>
      <w:tr w:rsidR="20DE3AC1" w14:paraId="5111340B"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bottom"/>
          </w:tcPr>
          <w:p w14:paraId="76543F20" w14:textId="3CA7F090" w:rsidR="20DE3AC1" w:rsidRDefault="2C851D01" w:rsidP="3BCD5C0E">
            <w:pPr>
              <w:jc w:val="center"/>
              <w:rPr>
                <w:rFonts w:ascii="Verdana Pro" w:eastAsia="Verdana Pro" w:hAnsi="Verdana Pro" w:cs="Verdana Pro"/>
                <w:b/>
                <w:bCs/>
                <w:color w:val="000000" w:themeColor="text1"/>
                <w:sz w:val="20"/>
                <w:szCs w:val="20"/>
              </w:rPr>
            </w:pPr>
            <w:r w:rsidRPr="3BCD5C0E">
              <w:rPr>
                <w:rFonts w:ascii="Verdana Pro" w:eastAsia="Verdana Pro" w:hAnsi="Verdana Pro" w:cs="Verdana Pro"/>
                <w:b/>
                <w:bCs/>
                <w:color w:val="000000" w:themeColor="text1"/>
                <w:sz w:val="20"/>
                <w:szCs w:val="20"/>
              </w:rPr>
              <w:t>77</w:t>
            </w:r>
          </w:p>
        </w:tc>
        <w:tc>
          <w:tcPr>
            <w:tcW w:w="1070" w:type="dxa"/>
            <w:tcBorders>
              <w:top w:val="nil"/>
              <w:left w:val="nil"/>
              <w:bottom w:val="nil"/>
              <w:right w:val="nil"/>
            </w:tcBorders>
            <w:tcMar>
              <w:top w:w="15" w:type="dxa"/>
              <w:left w:w="15" w:type="dxa"/>
              <w:right w:w="15" w:type="dxa"/>
            </w:tcMar>
            <w:vAlign w:val="center"/>
          </w:tcPr>
          <w:p w14:paraId="2871DEFE" w14:textId="53079326"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58FD15E" w14:textId="784E8E08"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EE090E4" w14:textId="35EAC57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77</w:t>
            </w:r>
          </w:p>
        </w:tc>
        <w:tc>
          <w:tcPr>
            <w:tcW w:w="1070" w:type="dxa"/>
            <w:tcBorders>
              <w:top w:val="nil"/>
              <w:left w:val="nil"/>
              <w:bottom w:val="nil"/>
              <w:right w:val="nil"/>
            </w:tcBorders>
            <w:tcMar>
              <w:top w:w="15" w:type="dxa"/>
              <w:left w:w="15" w:type="dxa"/>
              <w:right w:w="15" w:type="dxa"/>
            </w:tcMar>
            <w:vAlign w:val="center"/>
          </w:tcPr>
          <w:p w14:paraId="60FCC1A6" w14:textId="7D8B0C0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61</w:t>
            </w:r>
          </w:p>
        </w:tc>
        <w:tc>
          <w:tcPr>
            <w:tcW w:w="1070" w:type="dxa"/>
            <w:tcBorders>
              <w:top w:val="nil"/>
              <w:left w:val="nil"/>
              <w:bottom w:val="nil"/>
              <w:right w:val="nil"/>
            </w:tcBorders>
            <w:tcMar>
              <w:top w:w="15" w:type="dxa"/>
              <w:left w:w="15" w:type="dxa"/>
              <w:right w:w="15" w:type="dxa"/>
            </w:tcMar>
            <w:vAlign w:val="center"/>
          </w:tcPr>
          <w:p w14:paraId="64398DAE" w14:textId="5DFEE45B"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58E51DC1" w14:textId="7608DC96" w:rsidR="20DE3AC1" w:rsidRDefault="20DE3AC1" w:rsidP="3BCD5C0E">
            <w:pPr>
              <w:rPr>
                <w:rFonts w:ascii="Verdana Pro" w:eastAsia="Verdana Pro" w:hAnsi="Verdana Pro" w:cs="Verdana Pro"/>
              </w:rPr>
            </w:pPr>
          </w:p>
        </w:tc>
        <w:tc>
          <w:tcPr>
            <w:tcW w:w="1070" w:type="dxa"/>
            <w:tcBorders>
              <w:top w:val="nil"/>
              <w:left w:val="nil"/>
              <w:bottom w:val="nil"/>
              <w:right w:val="nil"/>
            </w:tcBorders>
            <w:shd w:val="clear" w:color="auto" w:fill="DAE9F8"/>
            <w:tcMar>
              <w:top w:w="15" w:type="dxa"/>
              <w:left w:w="15" w:type="dxa"/>
              <w:right w:w="15" w:type="dxa"/>
            </w:tcMar>
            <w:vAlign w:val="center"/>
          </w:tcPr>
          <w:p w14:paraId="19A774B7" w14:textId="3B51885C"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77</w:t>
            </w:r>
          </w:p>
        </w:tc>
        <w:tc>
          <w:tcPr>
            <w:tcW w:w="1071" w:type="dxa"/>
            <w:tcBorders>
              <w:top w:val="nil"/>
              <w:left w:val="nil"/>
              <w:bottom w:val="nil"/>
              <w:right w:val="nil"/>
            </w:tcBorders>
            <w:shd w:val="clear" w:color="auto" w:fill="DAE9F8"/>
            <w:tcMar>
              <w:top w:w="15" w:type="dxa"/>
              <w:left w:w="15" w:type="dxa"/>
              <w:right w:w="15" w:type="dxa"/>
            </w:tcMar>
            <w:vAlign w:val="center"/>
          </w:tcPr>
          <w:p w14:paraId="58C1AB9F" w14:textId="7D811996" w:rsidR="20DE3AC1" w:rsidRDefault="2C851D01" w:rsidP="3BCD5C0E">
            <w:pPr>
              <w:jc w:val="cente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61</w:t>
            </w:r>
          </w:p>
        </w:tc>
      </w:tr>
      <w:tr w:rsidR="20DE3AC1" w14:paraId="0AD6F7BA" w14:textId="77777777" w:rsidTr="3BCD5C0E">
        <w:trPr>
          <w:trHeight w:val="300"/>
          <w:jc w:val="center"/>
        </w:trPr>
        <w:tc>
          <w:tcPr>
            <w:tcW w:w="1070" w:type="dxa"/>
            <w:tcBorders>
              <w:top w:val="nil"/>
              <w:left w:val="nil"/>
              <w:bottom w:val="nil"/>
              <w:right w:val="nil"/>
            </w:tcBorders>
            <w:shd w:val="clear" w:color="auto" w:fill="DAE9F8"/>
            <w:tcMar>
              <w:top w:w="15" w:type="dxa"/>
              <w:left w:w="15" w:type="dxa"/>
              <w:right w:w="15" w:type="dxa"/>
            </w:tcMar>
            <w:vAlign w:val="center"/>
          </w:tcPr>
          <w:p w14:paraId="20C7F519" w14:textId="5D0FD058" w:rsidR="20DE3AC1" w:rsidRDefault="2C851D01" w:rsidP="3BCD5C0E">
            <w:pPr>
              <w:jc w:val="center"/>
              <w:rPr>
                <w:rFonts w:ascii="Verdana Pro" w:eastAsia="Verdana Pro" w:hAnsi="Verdana Pro" w:cs="Verdana Pro"/>
                <w:b/>
                <w:bCs/>
                <w:color w:val="000000" w:themeColor="text1"/>
                <w:sz w:val="18"/>
                <w:szCs w:val="18"/>
              </w:rPr>
            </w:pPr>
            <w:proofErr w:type="gramStart"/>
            <w:r w:rsidRPr="3BCD5C0E">
              <w:rPr>
                <w:rFonts w:ascii="Verdana Pro" w:eastAsia="Verdana Pro" w:hAnsi="Verdana Pro" w:cs="Verdana Pro"/>
                <w:b/>
                <w:bCs/>
                <w:color w:val="000000" w:themeColor="text1"/>
                <w:sz w:val="18"/>
                <w:szCs w:val="18"/>
              </w:rPr>
              <w:t>Total</w:t>
            </w:r>
            <w:proofErr w:type="gramEnd"/>
            <w:r w:rsidRPr="3BCD5C0E">
              <w:rPr>
                <w:rFonts w:ascii="Verdana Pro" w:eastAsia="Verdana Pro" w:hAnsi="Verdana Pro" w:cs="Verdana Pro"/>
                <w:b/>
                <w:bCs/>
                <w:color w:val="000000" w:themeColor="text1"/>
                <w:sz w:val="18"/>
                <w:szCs w:val="18"/>
              </w:rPr>
              <w:t xml:space="preserve"> general</w:t>
            </w:r>
          </w:p>
        </w:tc>
        <w:tc>
          <w:tcPr>
            <w:tcW w:w="1070" w:type="dxa"/>
            <w:tcBorders>
              <w:top w:val="nil"/>
              <w:left w:val="nil"/>
              <w:bottom w:val="nil"/>
              <w:right w:val="nil"/>
            </w:tcBorders>
            <w:shd w:val="clear" w:color="auto" w:fill="DAE9F8"/>
            <w:tcMar>
              <w:top w:w="15" w:type="dxa"/>
              <w:left w:w="15" w:type="dxa"/>
              <w:right w:w="15" w:type="dxa"/>
            </w:tcMar>
            <w:vAlign w:val="center"/>
          </w:tcPr>
          <w:p w14:paraId="194B443C" w14:textId="581CECFE"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1956</w:t>
            </w:r>
          </w:p>
        </w:tc>
        <w:tc>
          <w:tcPr>
            <w:tcW w:w="1070" w:type="dxa"/>
            <w:tcBorders>
              <w:top w:val="nil"/>
              <w:left w:val="nil"/>
              <w:bottom w:val="nil"/>
              <w:right w:val="nil"/>
            </w:tcBorders>
            <w:shd w:val="clear" w:color="auto" w:fill="DAE9F8"/>
            <w:tcMar>
              <w:top w:w="15" w:type="dxa"/>
              <w:left w:w="15" w:type="dxa"/>
              <w:right w:w="15" w:type="dxa"/>
            </w:tcMar>
            <w:vAlign w:val="center"/>
          </w:tcPr>
          <w:p w14:paraId="193F4B75" w14:textId="691FE151"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1056</w:t>
            </w:r>
          </w:p>
        </w:tc>
        <w:tc>
          <w:tcPr>
            <w:tcW w:w="1070" w:type="dxa"/>
            <w:tcBorders>
              <w:top w:val="nil"/>
              <w:left w:val="nil"/>
              <w:bottom w:val="nil"/>
              <w:right w:val="nil"/>
            </w:tcBorders>
            <w:shd w:val="clear" w:color="auto" w:fill="DAE9F8"/>
            <w:tcMar>
              <w:top w:w="15" w:type="dxa"/>
              <w:left w:w="15" w:type="dxa"/>
              <w:right w:w="15" w:type="dxa"/>
            </w:tcMar>
            <w:vAlign w:val="center"/>
          </w:tcPr>
          <w:p w14:paraId="2D5C4BC5" w14:textId="5AC8F584"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825</w:t>
            </w:r>
          </w:p>
        </w:tc>
        <w:tc>
          <w:tcPr>
            <w:tcW w:w="1070" w:type="dxa"/>
            <w:tcBorders>
              <w:top w:val="nil"/>
              <w:left w:val="nil"/>
              <w:bottom w:val="nil"/>
              <w:right w:val="nil"/>
            </w:tcBorders>
            <w:shd w:val="clear" w:color="auto" w:fill="DAE9F8"/>
            <w:tcMar>
              <w:top w:w="15" w:type="dxa"/>
              <w:left w:w="15" w:type="dxa"/>
              <w:right w:w="15" w:type="dxa"/>
            </w:tcMar>
            <w:vAlign w:val="center"/>
          </w:tcPr>
          <w:p w14:paraId="7D531542" w14:textId="75F6BA4D"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571</w:t>
            </w:r>
          </w:p>
        </w:tc>
        <w:tc>
          <w:tcPr>
            <w:tcW w:w="1070" w:type="dxa"/>
            <w:tcBorders>
              <w:top w:val="nil"/>
              <w:left w:val="nil"/>
              <w:bottom w:val="nil"/>
              <w:right w:val="nil"/>
            </w:tcBorders>
            <w:shd w:val="clear" w:color="auto" w:fill="DAE9F8"/>
            <w:tcMar>
              <w:top w:w="15" w:type="dxa"/>
              <w:left w:w="15" w:type="dxa"/>
              <w:right w:w="15" w:type="dxa"/>
            </w:tcMar>
            <w:vAlign w:val="center"/>
          </w:tcPr>
          <w:p w14:paraId="57D72963" w14:textId="6DF3EB82"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73</w:t>
            </w:r>
          </w:p>
        </w:tc>
        <w:tc>
          <w:tcPr>
            <w:tcW w:w="1070" w:type="dxa"/>
            <w:tcBorders>
              <w:top w:val="nil"/>
              <w:left w:val="nil"/>
              <w:bottom w:val="nil"/>
              <w:right w:val="nil"/>
            </w:tcBorders>
            <w:shd w:val="clear" w:color="auto" w:fill="DAE9F8"/>
            <w:tcMar>
              <w:top w:w="15" w:type="dxa"/>
              <w:left w:w="15" w:type="dxa"/>
              <w:right w:w="15" w:type="dxa"/>
            </w:tcMar>
            <w:vAlign w:val="center"/>
          </w:tcPr>
          <w:p w14:paraId="6D3D34F2" w14:textId="7B27745E"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49</w:t>
            </w:r>
          </w:p>
        </w:tc>
        <w:tc>
          <w:tcPr>
            <w:tcW w:w="1070" w:type="dxa"/>
            <w:tcBorders>
              <w:top w:val="nil"/>
              <w:left w:val="nil"/>
              <w:bottom w:val="nil"/>
              <w:right w:val="nil"/>
            </w:tcBorders>
            <w:shd w:val="clear" w:color="auto" w:fill="DAE9F8"/>
            <w:tcMar>
              <w:top w:w="15" w:type="dxa"/>
              <w:left w:w="15" w:type="dxa"/>
              <w:right w:w="15" w:type="dxa"/>
            </w:tcMar>
            <w:vAlign w:val="center"/>
          </w:tcPr>
          <w:p w14:paraId="766DF157" w14:textId="60D87EAC"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2854</w:t>
            </w:r>
          </w:p>
        </w:tc>
        <w:tc>
          <w:tcPr>
            <w:tcW w:w="1071" w:type="dxa"/>
            <w:tcBorders>
              <w:top w:val="nil"/>
              <w:left w:val="nil"/>
              <w:bottom w:val="nil"/>
              <w:right w:val="nil"/>
            </w:tcBorders>
            <w:shd w:val="clear" w:color="auto" w:fill="DAE9F8"/>
            <w:tcMar>
              <w:top w:w="15" w:type="dxa"/>
              <w:left w:w="15" w:type="dxa"/>
              <w:right w:w="15" w:type="dxa"/>
            </w:tcMar>
            <w:vAlign w:val="center"/>
          </w:tcPr>
          <w:p w14:paraId="711331F9" w14:textId="39C6FE0D"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1676</w:t>
            </w:r>
          </w:p>
        </w:tc>
      </w:tr>
      <w:tr w:rsidR="20DE3AC1" w14:paraId="6F39816A" w14:textId="77777777" w:rsidTr="3BCD5C0E">
        <w:trPr>
          <w:trHeight w:val="300"/>
          <w:jc w:val="center"/>
        </w:trPr>
        <w:tc>
          <w:tcPr>
            <w:tcW w:w="1070" w:type="dxa"/>
            <w:tcBorders>
              <w:top w:val="nil"/>
              <w:left w:val="nil"/>
              <w:bottom w:val="nil"/>
              <w:right w:val="nil"/>
            </w:tcBorders>
            <w:tcMar>
              <w:top w:w="15" w:type="dxa"/>
              <w:left w:w="15" w:type="dxa"/>
              <w:right w:w="15" w:type="dxa"/>
            </w:tcMar>
            <w:vAlign w:val="bottom"/>
          </w:tcPr>
          <w:p w14:paraId="50ECAA5F" w14:textId="52153927"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bottom"/>
          </w:tcPr>
          <w:p w14:paraId="06FD9937" w14:textId="4E05AA0F"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B9567A1" w14:textId="19B6E777"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54%</w:t>
            </w:r>
          </w:p>
        </w:tc>
        <w:tc>
          <w:tcPr>
            <w:tcW w:w="1070" w:type="dxa"/>
            <w:tcBorders>
              <w:top w:val="nil"/>
              <w:left w:val="nil"/>
              <w:bottom w:val="nil"/>
              <w:right w:val="nil"/>
            </w:tcBorders>
            <w:tcMar>
              <w:top w:w="15" w:type="dxa"/>
              <w:left w:w="15" w:type="dxa"/>
              <w:right w:w="15" w:type="dxa"/>
            </w:tcMar>
            <w:vAlign w:val="bottom"/>
          </w:tcPr>
          <w:p w14:paraId="6CF46B8F" w14:textId="16988D4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1A45929D" w14:textId="23D3D39C"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69%</w:t>
            </w:r>
          </w:p>
        </w:tc>
        <w:tc>
          <w:tcPr>
            <w:tcW w:w="1070" w:type="dxa"/>
            <w:tcBorders>
              <w:top w:val="nil"/>
              <w:left w:val="nil"/>
              <w:bottom w:val="nil"/>
              <w:right w:val="nil"/>
            </w:tcBorders>
            <w:tcMar>
              <w:top w:w="15" w:type="dxa"/>
              <w:left w:w="15" w:type="dxa"/>
              <w:right w:w="15" w:type="dxa"/>
            </w:tcMar>
            <w:vAlign w:val="bottom"/>
          </w:tcPr>
          <w:p w14:paraId="7CDADE68" w14:textId="5BEC0CA4" w:rsidR="20DE3AC1" w:rsidRDefault="20DE3AC1" w:rsidP="3BCD5C0E">
            <w:pPr>
              <w:rPr>
                <w:rFonts w:ascii="Verdana Pro" w:eastAsia="Verdana Pro" w:hAnsi="Verdana Pro" w:cs="Verdana Pro"/>
              </w:rPr>
            </w:pPr>
          </w:p>
        </w:tc>
        <w:tc>
          <w:tcPr>
            <w:tcW w:w="1070" w:type="dxa"/>
            <w:tcBorders>
              <w:top w:val="nil"/>
              <w:left w:val="nil"/>
              <w:bottom w:val="nil"/>
              <w:right w:val="nil"/>
            </w:tcBorders>
            <w:tcMar>
              <w:top w:w="15" w:type="dxa"/>
              <w:left w:w="15" w:type="dxa"/>
              <w:right w:w="15" w:type="dxa"/>
            </w:tcMar>
            <w:vAlign w:val="center"/>
          </w:tcPr>
          <w:p w14:paraId="69ED15C9" w14:textId="018ED0F0"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67%</w:t>
            </w:r>
          </w:p>
        </w:tc>
        <w:tc>
          <w:tcPr>
            <w:tcW w:w="1070" w:type="dxa"/>
            <w:tcBorders>
              <w:top w:val="nil"/>
              <w:left w:val="nil"/>
              <w:bottom w:val="nil"/>
              <w:right w:val="nil"/>
            </w:tcBorders>
            <w:tcMar>
              <w:top w:w="15" w:type="dxa"/>
              <w:left w:w="15" w:type="dxa"/>
              <w:right w:w="15" w:type="dxa"/>
            </w:tcMar>
            <w:vAlign w:val="bottom"/>
          </w:tcPr>
          <w:p w14:paraId="2B9E8BC0" w14:textId="496A2D5A" w:rsidR="20DE3AC1" w:rsidRDefault="20DE3AC1" w:rsidP="3BCD5C0E">
            <w:pPr>
              <w:rPr>
                <w:rFonts w:ascii="Verdana Pro" w:eastAsia="Verdana Pro" w:hAnsi="Verdana Pro" w:cs="Verdana Pro"/>
              </w:rPr>
            </w:pPr>
          </w:p>
        </w:tc>
        <w:tc>
          <w:tcPr>
            <w:tcW w:w="1071" w:type="dxa"/>
            <w:tcBorders>
              <w:top w:val="nil"/>
              <w:left w:val="nil"/>
              <w:bottom w:val="nil"/>
              <w:right w:val="nil"/>
            </w:tcBorders>
            <w:tcMar>
              <w:top w:w="15" w:type="dxa"/>
              <w:left w:w="15" w:type="dxa"/>
              <w:right w:w="15" w:type="dxa"/>
            </w:tcMar>
            <w:vAlign w:val="center"/>
          </w:tcPr>
          <w:p w14:paraId="70670264" w14:textId="49D79D83" w:rsidR="20DE3AC1" w:rsidRDefault="2C851D01" w:rsidP="3BCD5C0E">
            <w:pPr>
              <w:jc w:val="cente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59%</w:t>
            </w:r>
          </w:p>
        </w:tc>
      </w:tr>
    </w:tbl>
    <w:p w14:paraId="46549B82" w14:textId="4DBBB8F6" w:rsidR="20DE3AC1" w:rsidRDefault="20DE3AC1" w:rsidP="3BCD5C0E">
      <w:pPr>
        <w:rPr>
          <w:rFonts w:ascii="Verdana Pro" w:eastAsia="Verdana Pro" w:hAnsi="Verdana Pro" w:cs="Verdana Pro"/>
        </w:rPr>
      </w:pPr>
    </w:p>
    <w:p w14:paraId="198072BB" w14:textId="6C8E4E83" w:rsidR="732D6683" w:rsidRDefault="732D6683" w:rsidP="3BCD5C0E">
      <w:pPr>
        <w:jc w:val="center"/>
        <w:rPr>
          <w:rFonts w:ascii="Verdana Pro" w:eastAsia="Verdana Pro" w:hAnsi="Verdana Pro" w:cs="Verdana Pro"/>
        </w:rPr>
      </w:pPr>
      <w:r>
        <w:rPr>
          <w:noProof/>
        </w:rPr>
        <w:drawing>
          <wp:inline distT="0" distB="0" distL="0" distR="0" wp14:anchorId="546345CA" wp14:editId="0FECD41B">
            <wp:extent cx="4584592" cy="2755631"/>
            <wp:effectExtent l="0" t="0" r="0" b="0"/>
            <wp:docPr id="726609121" name="Picture 72660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4584592" cy="2755631"/>
                    </a:xfrm>
                    <a:prstGeom prst="rect">
                      <a:avLst/>
                    </a:prstGeom>
                  </pic:spPr>
                </pic:pic>
              </a:graphicData>
            </a:graphic>
          </wp:inline>
        </w:drawing>
      </w:r>
    </w:p>
    <w:p w14:paraId="043BA8AA" w14:textId="7FDC09EA" w:rsidR="20DE3AC1" w:rsidRDefault="20DE3AC1" w:rsidP="3BCD5C0E">
      <w:pPr>
        <w:rPr>
          <w:rFonts w:ascii="Verdana Pro" w:eastAsia="Verdana Pro" w:hAnsi="Verdana Pro" w:cs="Verdana Pro"/>
        </w:rPr>
      </w:pPr>
    </w:p>
    <w:p w14:paraId="410B3C68" w14:textId="54E34548" w:rsidR="39FBF45D" w:rsidRDefault="39FBF45D" w:rsidP="3BCD5C0E">
      <w:pPr>
        <w:jc w:val="center"/>
        <w:rPr>
          <w:rFonts w:ascii="Verdana Pro" w:eastAsia="Verdana Pro" w:hAnsi="Verdana Pro" w:cs="Verdana Pro"/>
        </w:rPr>
      </w:pPr>
      <w:r>
        <w:rPr>
          <w:noProof/>
        </w:rPr>
        <w:lastRenderedPageBreak/>
        <w:drawing>
          <wp:inline distT="0" distB="0" distL="0" distR="0" wp14:anchorId="05368051" wp14:editId="6EF60879">
            <wp:extent cx="4907704" cy="3090940"/>
            <wp:effectExtent l="0" t="0" r="0" b="0"/>
            <wp:docPr id="1329241444" name="Picture 132924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4907704" cy="3090940"/>
                    </a:xfrm>
                    <a:prstGeom prst="rect">
                      <a:avLst/>
                    </a:prstGeom>
                  </pic:spPr>
                </pic:pic>
              </a:graphicData>
            </a:graphic>
          </wp:inline>
        </w:drawing>
      </w:r>
    </w:p>
    <w:p w14:paraId="1DB6B9FC" w14:textId="13C8C5DA" w:rsidR="20DE3AC1" w:rsidRDefault="20DE3AC1"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1673"/>
        <w:gridCol w:w="1674"/>
        <w:gridCol w:w="1550"/>
        <w:gridCol w:w="1737"/>
        <w:gridCol w:w="1295"/>
      </w:tblGrid>
      <w:tr w:rsidR="20DE3AC1" w14:paraId="4CA8E14A" w14:textId="77777777" w:rsidTr="3BCD5C0E">
        <w:trPr>
          <w:trHeight w:val="300"/>
          <w:jc w:val="center"/>
        </w:trPr>
        <w:tc>
          <w:tcPr>
            <w:tcW w:w="1673" w:type="dxa"/>
            <w:tcBorders>
              <w:top w:val="nil"/>
              <w:left w:val="nil"/>
              <w:bottom w:val="single" w:sz="4" w:space="0" w:color="44B3E1"/>
              <w:right w:val="nil"/>
            </w:tcBorders>
            <w:shd w:val="clear" w:color="auto" w:fill="C0E6F5"/>
            <w:tcMar>
              <w:top w:w="15" w:type="dxa"/>
              <w:left w:w="15" w:type="dxa"/>
              <w:right w:w="15" w:type="dxa"/>
            </w:tcMar>
            <w:vAlign w:val="bottom"/>
          </w:tcPr>
          <w:p w14:paraId="19134F0F" w14:textId="23203DB4"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Empresa Mipyme</w:t>
            </w:r>
          </w:p>
        </w:tc>
        <w:tc>
          <w:tcPr>
            <w:tcW w:w="1674" w:type="dxa"/>
            <w:tcBorders>
              <w:top w:val="nil"/>
              <w:left w:val="nil"/>
              <w:bottom w:val="single" w:sz="4" w:space="0" w:color="44B3E1"/>
              <w:right w:val="nil"/>
            </w:tcBorders>
            <w:shd w:val="clear" w:color="auto" w:fill="C0E6F5"/>
            <w:tcMar>
              <w:top w:w="15" w:type="dxa"/>
              <w:left w:w="15" w:type="dxa"/>
              <w:right w:w="15" w:type="dxa"/>
            </w:tcMar>
            <w:vAlign w:val="bottom"/>
          </w:tcPr>
          <w:p w14:paraId="5CF8C697" w14:textId="4D171645"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Seguridad Pública</w:t>
            </w:r>
          </w:p>
        </w:tc>
        <w:tc>
          <w:tcPr>
            <w:tcW w:w="1550" w:type="dxa"/>
            <w:tcBorders>
              <w:top w:val="nil"/>
              <w:left w:val="nil"/>
              <w:bottom w:val="single" w:sz="4" w:space="0" w:color="44B3E1"/>
              <w:right w:val="nil"/>
            </w:tcBorders>
            <w:shd w:val="clear" w:color="auto" w:fill="C0E6F5"/>
            <w:tcMar>
              <w:top w:w="15" w:type="dxa"/>
              <w:left w:w="15" w:type="dxa"/>
              <w:right w:w="15" w:type="dxa"/>
            </w:tcMar>
            <w:vAlign w:val="bottom"/>
          </w:tcPr>
          <w:p w14:paraId="3C60E765" w14:textId="70ED51B6"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Servicio Público</w:t>
            </w:r>
          </w:p>
        </w:tc>
        <w:tc>
          <w:tcPr>
            <w:tcW w:w="1737" w:type="dxa"/>
            <w:tcBorders>
              <w:top w:val="nil"/>
              <w:left w:val="nil"/>
              <w:bottom w:val="single" w:sz="4" w:space="0" w:color="44B3E1"/>
              <w:right w:val="nil"/>
            </w:tcBorders>
            <w:shd w:val="clear" w:color="auto" w:fill="C0E6F5"/>
            <w:tcMar>
              <w:top w:w="15" w:type="dxa"/>
              <w:left w:w="15" w:type="dxa"/>
              <w:right w:w="15" w:type="dxa"/>
            </w:tcMar>
            <w:vAlign w:val="bottom"/>
          </w:tcPr>
          <w:p w14:paraId="4060F6E9" w14:textId="476A9A0F"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Sitios de Reclusión</w:t>
            </w:r>
          </w:p>
        </w:tc>
        <w:tc>
          <w:tcPr>
            <w:tcW w:w="1295" w:type="dxa"/>
            <w:tcBorders>
              <w:top w:val="nil"/>
              <w:left w:val="nil"/>
              <w:bottom w:val="single" w:sz="4" w:space="0" w:color="44B3E1"/>
              <w:right w:val="nil"/>
            </w:tcBorders>
            <w:shd w:val="clear" w:color="auto" w:fill="C0E6F5"/>
            <w:tcMar>
              <w:top w:w="15" w:type="dxa"/>
              <w:left w:w="15" w:type="dxa"/>
              <w:right w:w="15" w:type="dxa"/>
            </w:tcMar>
            <w:vAlign w:val="bottom"/>
          </w:tcPr>
          <w:p w14:paraId="46BF2C1A" w14:textId="169865F2" w:rsidR="20DE3AC1" w:rsidRDefault="2C851D01" w:rsidP="3BCD5C0E">
            <w:pPr>
              <w:rPr>
                <w:rFonts w:ascii="Verdana Pro" w:eastAsia="Verdana Pro" w:hAnsi="Verdana Pro" w:cs="Verdana Pro"/>
                <w:b/>
                <w:bCs/>
                <w:color w:val="000000" w:themeColor="text1"/>
                <w:sz w:val="18"/>
                <w:szCs w:val="18"/>
              </w:rPr>
            </w:pPr>
            <w:proofErr w:type="gramStart"/>
            <w:r w:rsidRPr="3BCD5C0E">
              <w:rPr>
                <w:rFonts w:ascii="Verdana Pro" w:eastAsia="Verdana Pro" w:hAnsi="Verdana Pro" w:cs="Verdana Pro"/>
                <w:b/>
                <w:bCs/>
                <w:color w:val="000000" w:themeColor="text1"/>
                <w:sz w:val="18"/>
                <w:szCs w:val="18"/>
              </w:rPr>
              <w:t>Total</w:t>
            </w:r>
            <w:proofErr w:type="gramEnd"/>
            <w:r w:rsidRPr="3BCD5C0E">
              <w:rPr>
                <w:rFonts w:ascii="Verdana Pro" w:eastAsia="Verdana Pro" w:hAnsi="Verdana Pro" w:cs="Verdana Pro"/>
                <w:b/>
                <w:bCs/>
                <w:color w:val="000000" w:themeColor="text1"/>
                <w:sz w:val="18"/>
                <w:szCs w:val="18"/>
              </w:rPr>
              <w:t xml:space="preserve"> general</w:t>
            </w:r>
          </w:p>
        </w:tc>
      </w:tr>
      <w:tr w:rsidR="20DE3AC1" w14:paraId="737746A6" w14:textId="77777777" w:rsidTr="3BCD5C0E">
        <w:trPr>
          <w:trHeight w:val="300"/>
          <w:jc w:val="center"/>
        </w:trPr>
        <w:tc>
          <w:tcPr>
            <w:tcW w:w="1673" w:type="dxa"/>
            <w:tcBorders>
              <w:top w:val="single" w:sz="4" w:space="0" w:color="44B3E1"/>
              <w:left w:val="nil"/>
              <w:bottom w:val="nil"/>
              <w:right w:val="nil"/>
            </w:tcBorders>
            <w:tcMar>
              <w:top w:w="15" w:type="dxa"/>
              <w:left w:w="15" w:type="dxa"/>
              <w:right w:w="15" w:type="dxa"/>
            </w:tcMar>
            <w:vAlign w:val="bottom"/>
          </w:tcPr>
          <w:p w14:paraId="65427A91" w14:textId="44FEB6E4" w:rsidR="20DE3AC1" w:rsidRDefault="2C851D01" w:rsidP="3BCD5C0E">
            <w:pP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No</w:t>
            </w:r>
          </w:p>
        </w:tc>
        <w:tc>
          <w:tcPr>
            <w:tcW w:w="1674" w:type="dxa"/>
            <w:tcBorders>
              <w:top w:val="single" w:sz="4" w:space="0" w:color="44B3E1"/>
              <w:left w:val="nil"/>
              <w:bottom w:val="nil"/>
              <w:right w:val="nil"/>
            </w:tcBorders>
            <w:tcMar>
              <w:top w:w="15" w:type="dxa"/>
              <w:left w:w="15" w:type="dxa"/>
              <w:right w:w="15" w:type="dxa"/>
            </w:tcMar>
            <w:vAlign w:val="bottom"/>
          </w:tcPr>
          <w:p w14:paraId="2190874F" w14:textId="1BC8C102"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81</w:t>
            </w:r>
          </w:p>
        </w:tc>
        <w:tc>
          <w:tcPr>
            <w:tcW w:w="1550" w:type="dxa"/>
            <w:tcBorders>
              <w:top w:val="single" w:sz="4" w:space="0" w:color="44B3E1"/>
              <w:left w:val="nil"/>
              <w:bottom w:val="nil"/>
              <w:right w:val="nil"/>
            </w:tcBorders>
            <w:tcMar>
              <w:top w:w="15" w:type="dxa"/>
              <w:left w:w="15" w:type="dxa"/>
              <w:right w:w="15" w:type="dxa"/>
            </w:tcMar>
            <w:vAlign w:val="bottom"/>
          </w:tcPr>
          <w:p w14:paraId="5677AFB4" w14:textId="2B8E136E"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45</w:t>
            </w:r>
          </w:p>
        </w:tc>
        <w:tc>
          <w:tcPr>
            <w:tcW w:w="1737" w:type="dxa"/>
            <w:tcBorders>
              <w:top w:val="single" w:sz="4" w:space="0" w:color="44B3E1"/>
              <w:left w:val="nil"/>
              <w:bottom w:val="nil"/>
              <w:right w:val="nil"/>
            </w:tcBorders>
            <w:tcMar>
              <w:top w:w="15" w:type="dxa"/>
              <w:left w:w="15" w:type="dxa"/>
              <w:right w:w="15" w:type="dxa"/>
            </w:tcMar>
            <w:vAlign w:val="bottom"/>
          </w:tcPr>
          <w:p w14:paraId="2722EB07" w14:textId="22C7872E"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8</w:t>
            </w:r>
          </w:p>
        </w:tc>
        <w:tc>
          <w:tcPr>
            <w:tcW w:w="1295" w:type="dxa"/>
            <w:tcBorders>
              <w:top w:val="single" w:sz="4" w:space="0" w:color="44B3E1"/>
              <w:left w:val="nil"/>
              <w:bottom w:val="nil"/>
              <w:right w:val="nil"/>
            </w:tcBorders>
            <w:tcMar>
              <w:top w:w="15" w:type="dxa"/>
              <w:left w:w="15" w:type="dxa"/>
              <w:right w:w="15" w:type="dxa"/>
            </w:tcMar>
            <w:vAlign w:val="bottom"/>
          </w:tcPr>
          <w:p w14:paraId="0056456C" w14:textId="0E157A6F"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134</w:t>
            </w:r>
          </w:p>
        </w:tc>
      </w:tr>
      <w:tr w:rsidR="20DE3AC1" w14:paraId="4C129EE8" w14:textId="77777777" w:rsidTr="3BCD5C0E">
        <w:trPr>
          <w:trHeight w:val="300"/>
          <w:jc w:val="center"/>
        </w:trPr>
        <w:tc>
          <w:tcPr>
            <w:tcW w:w="1673" w:type="dxa"/>
            <w:tcBorders>
              <w:top w:val="nil"/>
              <w:left w:val="nil"/>
              <w:bottom w:val="nil"/>
              <w:right w:val="nil"/>
            </w:tcBorders>
            <w:tcMar>
              <w:top w:w="15" w:type="dxa"/>
              <w:left w:w="15" w:type="dxa"/>
              <w:right w:w="15" w:type="dxa"/>
            </w:tcMar>
            <w:vAlign w:val="bottom"/>
          </w:tcPr>
          <w:p w14:paraId="0E9253DC" w14:textId="20D06E90" w:rsidR="20DE3AC1" w:rsidRDefault="2C851D01" w:rsidP="3BCD5C0E">
            <w:pP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Si</w:t>
            </w:r>
          </w:p>
        </w:tc>
        <w:tc>
          <w:tcPr>
            <w:tcW w:w="1674" w:type="dxa"/>
            <w:tcBorders>
              <w:top w:val="nil"/>
              <w:left w:val="nil"/>
              <w:bottom w:val="nil"/>
              <w:right w:val="nil"/>
            </w:tcBorders>
            <w:tcMar>
              <w:top w:w="15" w:type="dxa"/>
              <w:left w:w="15" w:type="dxa"/>
              <w:right w:w="15" w:type="dxa"/>
            </w:tcMar>
            <w:vAlign w:val="bottom"/>
          </w:tcPr>
          <w:p w14:paraId="22DFD125" w14:textId="588F2CCB"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184</w:t>
            </w:r>
          </w:p>
        </w:tc>
        <w:tc>
          <w:tcPr>
            <w:tcW w:w="1550" w:type="dxa"/>
            <w:tcBorders>
              <w:top w:val="nil"/>
              <w:left w:val="nil"/>
              <w:bottom w:val="nil"/>
              <w:right w:val="nil"/>
            </w:tcBorders>
            <w:tcMar>
              <w:top w:w="15" w:type="dxa"/>
              <w:left w:w="15" w:type="dxa"/>
              <w:right w:w="15" w:type="dxa"/>
            </w:tcMar>
            <w:vAlign w:val="bottom"/>
          </w:tcPr>
          <w:p w14:paraId="4BA28AC4" w14:textId="60C5FE5A"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55</w:t>
            </w:r>
          </w:p>
        </w:tc>
        <w:tc>
          <w:tcPr>
            <w:tcW w:w="1737" w:type="dxa"/>
            <w:tcBorders>
              <w:top w:val="nil"/>
              <w:left w:val="nil"/>
              <w:bottom w:val="nil"/>
              <w:right w:val="nil"/>
            </w:tcBorders>
            <w:tcMar>
              <w:top w:w="15" w:type="dxa"/>
              <w:left w:w="15" w:type="dxa"/>
              <w:right w:w="15" w:type="dxa"/>
            </w:tcMar>
            <w:vAlign w:val="bottom"/>
          </w:tcPr>
          <w:p w14:paraId="357BDF09" w14:textId="4E503BBF"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7</w:t>
            </w:r>
          </w:p>
        </w:tc>
        <w:tc>
          <w:tcPr>
            <w:tcW w:w="1295" w:type="dxa"/>
            <w:tcBorders>
              <w:top w:val="nil"/>
              <w:left w:val="nil"/>
              <w:bottom w:val="nil"/>
              <w:right w:val="nil"/>
            </w:tcBorders>
            <w:tcMar>
              <w:top w:w="15" w:type="dxa"/>
              <w:left w:w="15" w:type="dxa"/>
              <w:right w:w="15" w:type="dxa"/>
            </w:tcMar>
            <w:vAlign w:val="bottom"/>
          </w:tcPr>
          <w:p w14:paraId="7F7E3BD9" w14:textId="30331AE2"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246</w:t>
            </w:r>
          </w:p>
        </w:tc>
      </w:tr>
      <w:tr w:rsidR="20DE3AC1" w14:paraId="199D814E" w14:textId="77777777" w:rsidTr="3BCD5C0E">
        <w:trPr>
          <w:trHeight w:val="300"/>
          <w:jc w:val="center"/>
        </w:trPr>
        <w:tc>
          <w:tcPr>
            <w:tcW w:w="1673" w:type="dxa"/>
            <w:tcBorders>
              <w:top w:val="single" w:sz="4" w:space="0" w:color="44B3E1"/>
              <w:left w:val="nil"/>
              <w:bottom w:val="nil"/>
              <w:right w:val="nil"/>
            </w:tcBorders>
            <w:shd w:val="clear" w:color="auto" w:fill="C0E6F5"/>
            <w:tcMar>
              <w:top w:w="15" w:type="dxa"/>
              <w:left w:w="15" w:type="dxa"/>
              <w:right w:w="15" w:type="dxa"/>
            </w:tcMar>
            <w:vAlign w:val="bottom"/>
          </w:tcPr>
          <w:p w14:paraId="12CD807E" w14:textId="6CEE3C52" w:rsidR="20DE3AC1" w:rsidRDefault="2C851D01" w:rsidP="3BCD5C0E">
            <w:pPr>
              <w:rPr>
                <w:rFonts w:ascii="Verdana Pro" w:eastAsia="Verdana Pro" w:hAnsi="Verdana Pro" w:cs="Verdana Pro"/>
                <w:b/>
                <w:bCs/>
                <w:color w:val="000000" w:themeColor="text1"/>
                <w:sz w:val="18"/>
                <w:szCs w:val="18"/>
              </w:rPr>
            </w:pPr>
            <w:proofErr w:type="gramStart"/>
            <w:r w:rsidRPr="3BCD5C0E">
              <w:rPr>
                <w:rFonts w:ascii="Verdana Pro" w:eastAsia="Verdana Pro" w:hAnsi="Verdana Pro" w:cs="Verdana Pro"/>
                <w:b/>
                <w:bCs/>
                <w:color w:val="000000" w:themeColor="text1"/>
                <w:sz w:val="18"/>
                <w:szCs w:val="18"/>
              </w:rPr>
              <w:t>Total</w:t>
            </w:r>
            <w:proofErr w:type="gramEnd"/>
            <w:r w:rsidRPr="3BCD5C0E">
              <w:rPr>
                <w:rFonts w:ascii="Verdana Pro" w:eastAsia="Verdana Pro" w:hAnsi="Verdana Pro" w:cs="Verdana Pro"/>
                <w:b/>
                <w:bCs/>
                <w:color w:val="000000" w:themeColor="text1"/>
                <w:sz w:val="18"/>
                <w:szCs w:val="18"/>
              </w:rPr>
              <w:t xml:space="preserve"> general</w:t>
            </w:r>
          </w:p>
        </w:tc>
        <w:tc>
          <w:tcPr>
            <w:tcW w:w="1674" w:type="dxa"/>
            <w:tcBorders>
              <w:top w:val="single" w:sz="4" w:space="0" w:color="44B3E1"/>
              <w:left w:val="nil"/>
              <w:bottom w:val="nil"/>
              <w:right w:val="nil"/>
            </w:tcBorders>
            <w:shd w:val="clear" w:color="auto" w:fill="C0E6F5"/>
            <w:tcMar>
              <w:top w:w="15" w:type="dxa"/>
              <w:left w:w="15" w:type="dxa"/>
              <w:right w:w="15" w:type="dxa"/>
            </w:tcMar>
            <w:vAlign w:val="bottom"/>
          </w:tcPr>
          <w:p w14:paraId="0A653FE3" w14:textId="38EF9B95"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265</w:t>
            </w:r>
          </w:p>
        </w:tc>
        <w:tc>
          <w:tcPr>
            <w:tcW w:w="1550" w:type="dxa"/>
            <w:tcBorders>
              <w:top w:val="single" w:sz="4" w:space="0" w:color="44B3E1"/>
              <w:left w:val="nil"/>
              <w:bottom w:val="nil"/>
              <w:right w:val="nil"/>
            </w:tcBorders>
            <w:shd w:val="clear" w:color="auto" w:fill="C0E6F5"/>
            <w:tcMar>
              <w:top w:w="15" w:type="dxa"/>
              <w:left w:w="15" w:type="dxa"/>
              <w:right w:w="15" w:type="dxa"/>
            </w:tcMar>
            <w:vAlign w:val="bottom"/>
          </w:tcPr>
          <w:p w14:paraId="6501AF25" w14:textId="6DC6F260"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100</w:t>
            </w:r>
          </w:p>
        </w:tc>
        <w:tc>
          <w:tcPr>
            <w:tcW w:w="1737" w:type="dxa"/>
            <w:tcBorders>
              <w:top w:val="single" w:sz="4" w:space="0" w:color="44B3E1"/>
              <w:left w:val="nil"/>
              <w:bottom w:val="nil"/>
              <w:right w:val="nil"/>
            </w:tcBorders>
            <w:shd w:val="clear" w:color="auto" w:fill="C0E6F5"/>
            <w:tcMar>
              <w:top w:w="15" w:type="dxa"/>
              <w:left w:w="15" w:type="dxa"/>
              <w:right w:w="15" w:type="dxa"/>
            </w:tcMar>
            <w:vAlign w:val="bottom"/>
          </w:tcPr>
          <w:p w14:paraId="0BABBBB1" w14:textId="3DE1CFAA"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15</w:t>
            </w:r>
          </w:p>
        </w:tc>
        <w:tc>
          <w:tcPr>
            <w:tcW w:w="1295" w:type="dxa"/>
            <w:tcBorders>
              <w:top w:val="single" w:sz="4" w:space="0" w:color="44B3E1"/>
              <w:left w:val="nil"/>
              <w:bottom w:val="nil"/>
              <w:right w:val="nil"/>
            </w:tcBorders>
            <w:shd w:val="clear" w:color="auto" w:fill="C0E6F5"/>
            <w:tcMar>
              <w:top w:w="15" w:type="dxa"/>
              <w:left w:w="15" w:type="dxa"/>
              <w:right w:w="15" w:type="dxa"/>
            </w:tcMar>
            <w:vAlign w:val="bottom"/>
          </w:tcPr>
          <w:p w14:paraId="3028626F" w14:textId="43A6D70F"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380</w:t>
            </w:r>
          </w:p>
        </w:tc>
      </w:tr>
    </w:tbl>
    <w:p w14:paraId="2E82A52C" w14:textId="4FDE2981" w:rsidR="20DE3AC1" w:rsidRDefault="20DE3AC1" w:rsidP="3BCD5C0E">
      <w:pPr>
        <w:rPr>
          <w:rFonts w:ascii="Verdana Pro" w:eastAsia="Verdana Pro" w:hAnsi="Verdana Pro" w:cs="Verdana Pro"/>
        </w:rPr>
      </w:pPr>
    </w:p>
    <w:tbl>
      <w:tblPr>
        <w:tblW w:w="0" w:type="auto"/>
        <w:jc w:val="center"/>
        <w:tblLayout w:type="fixed"/>
        <w:tblLook w:val="06A0" w:firstRow="1" w:lastRow="0" w:firstColumn="1" w:lastColumn="0" w:noHBand="1" w:noVBand="1"/>
      </w:tblPr>
      <w:tblGrid>
        <w:gridCol w:w="2064"/>
        <w:gridCol w:w="1682"/>
        <w:gridCol w:w="1558"/>
        <w:gridCol w:w="1744"/>
        <w:gridCol w:w="1302"/>
      </w:tblGrid>
      <w:tr w:rsidR="20DE3AC1" w14:paraId="36CB786D" w14:textId="77777777" w:rsidTr="449377F1">
        <w:trPr>
          <w:trHeight w:val="300"/>
          <w:jc w:val="center"/>
        </w:trPr>
        <w:tc>
          <w:tcPr>
            <w:tcW w:w="2064" w:type="dxa"/>
            <w:tcBorders>
              <w:top w:val="nil"/>
              <w:left w:val="nil"/>
              <w:bottom w:val="single" w:sz="4" w:space="0" w:color="44B3E1"/>
              <w:right w:val="nil"/>
            </w:tcBorders>
            <w:shd w:val="clear" w:color="auto" w:fill="C0E6F5"/>
            <w:tcMar>
              <w:top w:w="15" w:type="dxa"/>
              <w:left w:w="15" w:type="dxa"/>
              <w:right w:w="15" w:type="dxa"/>
            </w:tcMar>
            <w:vAlign w:val="bottom"/>
          </w:tcPr>
          <w:p w14:paraId="74AFB996" w14:textId="7F0BA786"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Tipo de proponente</w:t>
            </w:r>
          </w:p>
        </w:tc>
        <w:tc>
          <w:tcPr>
            <w:tcW w:w="1682" w:type="dxa"/>
            <w:tcBorders>
              <w:top w:val="nil"/>
              <w:left w:val="nil"/>
              <w:bottom w:val="single" w:sz="4" w:space="0" w:color="44B3E1"/>
              <w:right w:val="nil"/>
            </w:tcBorders>
            <w:shd w:val="clear" w:color="auto" w:fill="C0E6F5"/>
            <w:tcMar>
              <w:top w:w="15" w:type="dxa"/>
              <w:left w:w="15" w:type="dxa"/>
              <w:right w:w="15" w:type="dxa"/>
            </w:tcMar>
            <w:vAlign w:val="bottom"/>
          </w:tcPr>
          <w:p w14:paraId="0B84B037" w14:textId="0B35A075"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Seguridad Pública</w:t>
            </w:r>
          </w:p>
        </w:tc>
        <w:tc>
          <w:tcPr>
            <w:tcW w:w="1558" w:type="dxa"/>
            <w:tcBorders>
              <w:top w:val="nil"/>
              <w:left w:val="nil"/>
              <w:bottom w:val="single" w:sz="4" w:space="0" w:color="44B3E1"/>
              <w:right w:val="nil"/>
            </w:tcBorders>
            <w:shd w:val="clear" w:color="auto" w:fill="C0E6F5"/>
            <w:tcMar>
              <w:top w:w="15" w:type="dxa"/>
              <w:left w:w="15" w:type="dxa"/>
              <w:right w:w="15" w:type="dxa"/>
            </w:tcMar>
            <w:vAlign w:val="bottom"/>
          </w:tcPr>
          <w:p w14:paraId="0C7116E8" w14:textId="1C652DF1"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Servicio Público</w:t>
            </w:r>
          </w:p>
        </w:tc>
        <w:tc>
          <w:tcPr>
            <w:tcW w:w="1744" w:type="dxa"/>
            <w:tcBorders>
              <w:top w:val="nil"/>
              <w:left w:val="nil"/>
              <w:bottom w:val="single" w:sz="4" w:space="0" w:color="44B3E1"/>
              <w:right w:val="nil"/>
            </w:tcBorders>
            <w:shd w:val="clear" w:color="auto" w:fill="C0E6F5"/>
            <w:tcMar>
              <w:top w:w="15" w:type="dxa"/>
              <w:left w:w="15" w:type="dxa"/>
              <w:right w:w="15" w:type="dxa"/>
            </w:tcMar>
            <w:vAlign w:val="bottom"/>
          </w:tcPr>
          <w:p w14:paraId="456CE4F4" w14:textId="2DCCCECF" w:rsidR="20DE3AC1" w:rsidRDefault="2C851D01" w:rsidP="3BCD5C0E">
            <w:pPr>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Sitios de Reclusión</w:t>
            </w:r>
          </w:p>
        </w:tc>
        <w:tc>
          <w:tcPr>
            <w:tcW w:w="1302" w:type="dxa"/>
            <w:tcBorders>
              <w:top w:val="nil"/>
              <w:left w:val="nil"/>
              <w:bottom w:val="single" w:sz="4" w:space="0" w:color="44B3E1"/>
              <w:right w:val="nil"/>
            </w:tcBorders>
            <w:shd w:val="clear" w:color="auto" w:fill="C0E6F5"/>
            <w:tcMar>
              <w:top w:w="15" w:type="dxa"/>
              <w:left w:w="15" w:type="dxa"/>
              <w:right w:w="15" w:type="dxa"/>
            </w:tcMar>
            <w:vAlign w:val="bottom"/>
          </w:tcPr>
          <w:p w14:paraId="0191F7B4" w14:textId="2F7D6370" w:rsidR="20DE3AC1" w:rsidRDefault="2C851D01" w:rsidP="3BCD5C0E">
            <w:pPr>
              <w:rPr>
                <w:rFonts w:ascii="Verdana Pro" w:eastAsia="Verdana Pro" w:hAnsi="Verdana Pro" w:cs="Verdana Pro"/>
                <w:b/>
                <w:bCs/>
                <w:color w:val="000000" w:themeColor="text1"/>
                <w:sz w:val="18"/>
                <w:szCs w:val="18"/>
              </w:rPr>
            </w:pPr>
            <w:proofErr w:type="gramStart"/>
            <w:r w:rsidRPr="3BCD5C0E">
              <w:rPr>
                <w:rFonts w:ascii="Verdana Pro" w:eastAsia="Verdana Pro" w:hAnsi="Verdana Pro" w:cs="Verdana Pro"/>
                <w:b/>
                <w:bCs/>
                <w:color w:val="000000" w:themeColor="text1"/>
                <w:sz w:val="18"/>
                <w:szCs w:val="18"/>
              </w:rPr>
              <w:t>Total</w:t>
            </w:r>
            <w:proofErr w:type="gramEnd"/>
            <w:r w:rsidRPr="3BCD5C0E">
              <w:rPr>
                <w:rFonts w:ascii="Verdana Pro" w:eastAsia="Verdana Pro" w:hAnsi="Verdana Pro" w:cs="Verdana Pro"/>
                <w:b/>
                <w:bCs/>
                <w:color w:val="000000" w:themeColor="text1"/>
                <w:sz w:val="18"/>
                <w:szCs w:val="18"/>
              </w:rPr>
              <w:t xml:space="preserve"> general</w:t>
            </w:r>
          </w:p>
        </w:tc>
      </w:tr>
      <w:tr w:rsidR="20DE3AC1" w14:paraId="2860E39F" w14:textId="77777777" w:rsidTr="449377F1">
        <w:trPr>
          <w:trHeight w:val="300"/>
          <w:jc w:val="center"/>
        </w:trPr>
        <w:tc>
          <w:tcPr>
            <w:tcW w:w="2064" w:type="dxa"/>
            <w:tcBorders>
              <w:top w:val="single" w:sz="4" w:space="0" w:color="44B3E1"/>
              <w:left w:val="nil"/>
              <w:bottom w:val="nil"/>
              <w:right w:val="nil"/>
            </w:tcBorders>
            <w:tcMar>
              <w:top w:w="15" w:type="dxa"/>
              <w:left w:w="15" w:type="dxa"/>
              <w:right w:w="15" w:type="dxa"/>
            </w:tcMar>
            <w:vAlign w:val="bottom"/>
          </w:tcPr>
          <w:p w14:paraId="588D3D0E" w14:textId="4C610338" w:rsidR="20DE3AC1" w:rsidRDefault="2C851D01" w:rsidP="3BCD5C0E">
            <w:pP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Persona Jurídica</w:t>
            </w:r>
          </w:p>
        </w:tc>
        <w:tc>
          <w:tcPr>
            <w:tcW w:w="1682" w:type="dxa"/>
            <w:tcBorders>
              <w:top w:val="single" w:sz="4" w:space="0" w:color="44B3E1"/>
              <w:left w:val="nil"/>
              <w:bottom w:val="nil"/>
              <w:right w:val="nil"/>
            </w:tcBorders>
            <w:tcMar>
              <w:top w:w="15" w:type="dxa"/>
              <w:left w:w="15" w:type="dxa"/>
              <w:right w:w="15" w:type="dxa"/>
            </w:tcMar>
            <w:vAlign w:val="bottom"/>
          </w:tcPr>
          <w:p w14:paraId="5BC732A0" w14:textId="562B2F2D"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20</w:t>
            </w:r>
          </w:p>
        </w:tc>
        <w:tc>
          <w:tcPr>
            <w:tcW w:w="1558" w:type="dxa"/>
            <w:tcBorders>
              <w:top w:val="single" w:sz="4" w:space="0" w:color="44B3E1"/>
              <w:left w:val="nil"/>
              <w:bottom w:val="nil"/>
              <w:right w:val="nil"/>
            </w:tcBorders>
            <w:tcMar>
              <w:top w:w="15" w:type="dxa"/>
              <w:left w:w="15" w:type="dxa"/>
              <w:right w:w="15" w:type="dxa"/>
            </w:tcMar>
            <w:vAlign w:val="bottom"/>
          </w:tcPr>
          <w:p w14:paraId="76B3DB2C" w14:textId="7984EFA0"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3</w:t>
            </w:r>
          </w:p>
        </w:tc>
        <w:tc>
          <w:tcPr>
            <w:tcW w:w="1744" w:type="dxa"/>
            <w:tcBorders>
              <w:top w:val="single" w:sz="4" w:space="0" w:color="44B3E1"/>
              <w:left w:val="nil"/>
              <w:bottom w:val="nil"/>
              <w:right w:val="nil"/>
            </w:tcBorders>
            <w:tcMar>
              <w:top w:w="15" w:type="dxa"/>
              <w:left w:w="15" w:type="dxa"/>
              <w:right w:w="15" w:type="dxa"/>
            </w:tcMar>
            <w:vAlign w:val="bottom"/>
          </w:tcPr>
          <w:p w14:paraId="105796B7" w14:textId="1BD1B5A5" w:rsidR="20DE3AC1" w:rsidRDefault="20DE3AC1" w:rsidP="3BCD5C0E">
            <w:pPr>
              <w:rPr>
                <w:rFonts w:ascii="Verdana Pro" w:eastAsia="Verdana Pro" w:hAnsi="Verdana Pro" w:cs="Verdana Pro"/>
              </w:rPr>
            </w:pPr>
          </w:p>
        </w:tc>
        <w:tc>
          <w:tcPr>
            <w:tcW w:w="1302" w:type="dxa"/>
            <w:tcBorders>
              <w:top w:val="single" w:sz="4" w:space="0" w:color="44B3E1"/>
              <w:left w:val="nil"/>
              <w:bottom w:val="nil"/>
              <w:right w:val="nil"/>
            </w:tcBorders>
            <w:tcMar>
              <w:top w:w="15" w:type="dxa"/>
              <w:left w:w="15" w:type="dxa"/>
              <w:right w:w="15" w:type="dxa"/>
            </w:tcMar>
            <w:vAlign w:val="bottom"/>
          </w:tcPr>
          <w:p w14:paraId="7F8049E7" w14:textId="5FC8169D"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23</w:t>
            </w:r>
          </w:p>
        </w:tc>
      </w:tr>
      <w:tr w:rsidR="20DE3AC1" w14:paraId="47A44AB2" w14:textId="77777777" w:rsidTr="449377F1">
        <w:trPr>
          <w:trHeight w:val="300"/>
          <w:jc w:val="center"/>
        </w:trPr>
        <w:tc>
          <w:tcPr>
            <w:tcW w:w="2064" w:type="dxa"/>
            <w:tcBorders>
              <w:top w:val="nil"/>
              <w:left w:val="nil"/>
              <w:bottom w:val="nil"/>
              <w:right w:val="nil"/>
            </w:tcBorders>
            <w:tcMar>
              <w:top w:w="15" w:type="dxa"/>
              <w:left w:w="15" w:type="dxa"/>
              <w:right w:w="15" w:type="dxa"/>
            </w:tcMar>
            <w:vAlign w:val="bottom"/>
          </w:tcPr>
          <w:p w14:paraId="08BE8796" w14:textId="4EB67A8F" w:rsidR="20DE3AC1" w:rsidRDefault="2C851D01" w:rsidP="3BCD5C0E">
            <w:pP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Persona Natural</w:t>
            </w:r>
          </w:p>
        </w:tc>
        <w:tc>
          <w:tcPr>
            <w:tcW w:w="1682" w:type="dxa"/>
            <w:tcBorders>
              <w:top w:val="nil"/>
              <w:left w:val="nil"/>
              <w:bottom w:val="nil"/>
              <w:right w:val="nil"/>
            </w:tcBorders>
            <w:tcMar>
              <w:top w:w="15" w:type="dxa"/>
              <w:left w:w="15" w:type="dxa"/>
              <w:right w:w="15" w:type="dxa"/>
            </w:tcMar>
            <w:vAlign w:val="bottom"/>
          </w:tcPr>
          <w:p w14:paraId="349DC47D" w14:textId="56664F0D"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133</w:t>
            </w:r>
          </w:p>
        </w:tc>
        <w:tc>
          <w:tcPr>
            <w:tcW w:w="1558" w:type="dxa"/>
            <w:tcBorders>
              <w:top w:val="nil"/>
              <w:left w:val="nil"/>
              <w:bottom w:val="nil"/>
              <w:right w:val="nil"/>
            </w:tcBorders>
            <w:tcMar>
              <w:top w:w="15" w:type="dxa"/>
              <w:left w:w="15" w:type="dxa"/>
              <w:right w:w="15" w:type="dxa"/>
            </w:tcMar>
            <w:vAlign w:val="bottom"/>
          </w:tcPr>
          <w:p w14:paraId="429A657F" w14:textId="26E4437E"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48</w:t>
            </w:r>
          </w:p>
        </w:tc>
        <w:tc>
          <w:tcPr>
            <w:tcW w:w="1744" w:type="dxa"/>
            <w:tcBorders>
              <w:top w:val="nil"/>
              <w:left w:val="nil"/>
              <w:bottom w:val="nil"/>
              <w:right w:val="nil"/>
            </w:tcBorders>
            <w:tcMar>
              <w:top w:w="15" w:type="dxa"/>
              <w:left w:w="15" w:type="dxa"/>
              <w:right w:w="15" w:type="dxa"/>
            </w:tcMar>
            <w:vAlign w:val="bottom"/>
          </w:tcPr>
          <w:p w14:paraId="4061C7D7" w14:textId="27F1EE4B"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6</w:t>
            </w:r>
          </w:p>
        </w:tc>
        <w:tc>
          <w:tcPr>
            <w:tcW w:w="1302" w:type="dxa"/>
            <w:tcBorders>
              <w:top w:val="nil"/>
              <w:left w:val="nil"/>
              <w:bottom w:val="nil"/>
              <w:right w:val="nil"/>
            </w:tcBorders>
            <w:tcMar>
              <w:top w:w="15" w:type="dxa"/>
              <w:left w:w="15" w:type="dxa"/>
              <w:right w:w="15" w:type="dxa"/>
            </w:tcMar>
            <w:vAlign w:val="bottom"/>
          </w:tcPr>
          <w:p w14:paraId="5A8C501D" w14:textId="65B2477F"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187</w:t>
            </w:r>
          </w:p>
        </w:tc>
      </w:tr>
      <w:tr w:rsidR="20DE3AC1" w14:paraId="17F2FCF1" w14:textId="77777777" w:rsidTr="449377F1">
        <w:trPr>
          <w:trHeight w:val="300"/>
          <w:jc w:val="center"/>
        </w:trPr>
        <w:tc>
          <w:tcPr>
            <w:tcW w:w="2064" w:type="dxa"/>
            <w:tcBorders>
              <w:top w:val="nil"/>
              <w:left w:val="nil"/>
              <w:bottom w:val="nil"/>
              <w:right w:val="nil"/>
            </w:tcBorders>
            <w:tcMar>
              <w:top w:w="15" w:type="dxa"/>
              <w:left w:w="15" w:type="dxa"/>
              <w:right w:w="15" w:type="dxa"/>
            </w:tcMar>
            <w:vAlign w:val="bottom"/>
          </w:tcPr>
          <w:p w14:paraId="77624E16" w14:textId="6EB7723B" w:rsidR="20DE3AC1" w:rsidRDefault="2C851D01" w:rsidP="3BCD5C0E">
            <w:pPr>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Proponente Plural</w:t>
            </w:r>
          </w:p>
        </w:tc>
        <w:tc>
          <w:tcPr>
            <w:tcW w:w="1682" w:type="dxa"/>
            <w:tcBorders>
              <w:top w:val="nil"/>
              <w:left w:val="nil"/>
              <w:bottom w:val="nil"/>
              <w:right w:val="nil"/>
            </w:tcBorders>
            <w:tcMar>
              <w:top w:w="15" w:type="dxa"/>
              <w:left w:w="15" w:type="dxa"/>
              <w:right w:w="15" w:type="dxa"/>
            </w:tcMar>
            <w:vAlign w:val="bottom"/>
          </w:tcPr>
          <w:p w14:paraId="13E15C8E" w14:textId="7D2A61FB"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112</w:t>
            </w:r>
          </w:p>
        </w:tc>
        <w:tc>
          <w:tcPr>
            <w:tcW w:w="1558" w:type="dxa"/>
            <w:tcBorders>
              <w:top w:val="nil"/>
              <w:left w:val="nil"/>
              <w:bottom w:val="nil"/>
              <w:right w:val="nil"/>
            </w:tcBorders>
            <w:tcMar>
              <w:top w:w="15" w:type="dxa"/>
              <w:left w:w="15" w:type="dxa"/>
              <w:right w:w="15" w:type="dxa"/>
            </w:tcMar>
            <w:vAlign w:val="bottom"/>
          </w:tcPr>
          <w:p w14:paraId="78A1DA03" w14:textId="476697D7"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49</w:t>
            </w:r>
          </w:p>
        </w:tc>
        <w:tc>
          <w:tcPr>
            <w:tcW w:w="1744" w:type="dxa"/>
            <w:tcBorders>
              <w:top w:val="nil"/>
              <w:left w:val="nil"/>
              <w:bottom w:val="nil"/>
              <w:right w:val="nil"/>
            </w:tcBorders>
            <w:tcMar>
              <w:top w:w="15" w:type="dxa"/>
              <w:left w:w="15" w:type="dxa"/>
              <w:right w:w="15" w:type="dxa"/>
            </w:tcMar>
            <w:vAlign w:val="bottom"/>
          </w:tcPr>
          <w:p w14:paraId="7412A580" w14:textId="2F3C1767"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9</w:t>
            </w:r>
          </w:p>
        </w:tc>
        <w:tc>
          <w:tcPr>
            <w:tcW w:w="1302" w:type="dxa"/>
            <w:tcBorders>
              <w:top w:val="nil"/>
              <w:left w:val="nil"/>
              <w:bottom w:val="nil"/>
              <w:right w:val="nil"/>
            </w:tcBorders>
            <w:tcMar>
              <w:top w:w="15" w:type="dxa"/>
              <w:left w:w="15" w:type="dxa"/>
              <w:right w:w="15" w:type="dxa"/>
            </w:tcMar>
            <w:vAlign w:val="bottom"/>
          </w:tcPr>
          <w:p w14:paraId="2E78665C" w14:textId="12DA24B6" w:rsidR="20DE3AC1" w:rsidRDefault="2C851D01" w:rsidP="3BCD5C0E">
            <w:pPr>
              <w:jc w:val="right"/>
              <w:rPr>
                <w:rFonts w:ascii="Verdana Pro" w:eastAsia="Verdana Pro" w:hAnsi="Verdana Pro" w:cs="Verdana Pro"/>
                <w:color w:val="000000" w:themeColor="text1"/>
                <w:sz w:val="18"/>
                <w:szCs w:val="18"/>
              </w:rPr>
            </w:pPr>
            <w:r w:rsidRPr="3BCD5C0E">
              <w:rPr>
                <w:rFonts w:ascii="Verdana Pro" w:eastAsia="Verdana Pro" w:hAnsi="Verdana Pro" w:cs="Verdana Pro"/>
                <w:color w:val="000000" w:themeColor="text1"/>
                <w:sz w:val="18"/>
                <w:szCs w:val="18"/>
              </w:rPr>
              <w:t>170</w:t>
            </w:r>
          </w:p>
        </w:tc>
      </w:tr>
      <w:tr w:rsidR="20DE3AC1" w14:paraId="29ACA6F4" w14:textId="77777777" w:rsidTr="449377F1">
        <w:trPr>
          <w:trHeight w:val="300"/>
          <w:jc w:val="center"/>
        </w:trPr>
        <w:tc>
          <w:tcPr>
            <w:tcW w:w="2064" w:type="dxa"/>
            <w:tcBorders>
              <w:top w:val="single" w:sz="4" w:space="0" w:color="44B3E1"/>
              <w:left w:val="nil"/>
              <w:bottom w:val="nil"/>
              <w:right w:val="nil"/>
            </w:tcBorders>
            <w:shd w:val="clear" w:color="auto" w:fill="C0E6F5"/>
            <w:tcMar>
              <w:top w:w="15" w:type="dxa"/>
              <w:left w:w="15" w:type="dxa"/>
              <w:right w:w="15" w:type="dxa"/>
            </w:tcMar>
            <w:vAlign w:val="bottom"/>
          </w:tcPr>
          <w:p w14:paraId="59CCBCCD" w14:textId="03E065AF" w:rsidR="20DE3AC1" w:rsidRDefault="2C851D01" w:rsidP="3BCD5C0E">
            <w:pPr>
              <w:rPr>
                <w:rFonts w:ascii="Verdana Pro" w:eastAsia="Verdana Pro" w:hAnsi="Verdana Pro" w:cs="Verdana Pro"/>
                <w:b/>
                <w:bCs/>
                <w:color w:val="000000" w:themeColor="text1"/>
                <w:sz w:val="18"/>
                <w:szCs w:val="18"/>
              </w:rPr>
            </w:pPr>
            <w:proofErr w:type="gramStart"/>
            <w:r w:rsidRPr="3BCD5C0E">
              <w:rPr>
                <w:rFonts w:ascii="Verdana Pro" w:eastAsia="Verdana Pro" w:hAnsi="Verdana Pro" w:cs="Verdana Pro"/>
                <w:b/>
                <w:bCs/>
                <w:color w:val="000000" w:themeColor="text1"/>
                <w:sz w:val="18"/>
                <w:szCs w:val="18"/>
              </w:rPr>
              <w:t>Total</w:t>
            </w:r>
            <w:proofErr w:type="gramEnd"/>
            <w:r w:rsidRPr="3BCD5C0E">
              <w:rPr>
                <w:rFonts w:ascii="Verdana Pro" w:eastAsia="Verdana Pro" w:hAnsi="Verdana Pro" w:cs="Verdana Pro"/>
                <w:b/>
                <w:bCs/>
                <w:color w:val="000000" w:themeColor="text1"/>
                <w:sz w:val="18"/>
                <w:szCs w:val="18"/>
              </w:rPr>
              <w:t xml:space="preserve"> general</w:t>
            </w:r>
          </w:p>
        </w:tc>
        <w:tc>
          <w:tcPr>
            <w:tcW w:w="1682" w:type="dxa"/>
            <w:tcBorders>
              <w:top w:val="single" w:sz="4" w:space="0" w:color="44B3E1"/>
              <w:left w:val="nil"/>
              <w:bottom w:val="nil"/>
              <w:right w:val="nil"/>
            </w:tcBorders>
            <w:shd w:val="clear" w:color="auto" w:fill="C0E6F5"/>
            <w:tcMar>
              <w:top w:w="15" w:type="dxa"/>
              <w:left w:w="15" w:type="dxa"/>
              <w:right w:w="15" w:type="dxa"/>
            </w:tcMar>
            <w:vAlign w:val="bottom"/>
          </w:tcPr>
          <w:p w14:paraId="0A657EC4" w14:textId="435645CC"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265</w:t>
            </w:r>
          </w:p>
        </w:tc>
        <w:tc>
          <w:tcPr>
            <w:tcW w:w="1558" w:type="dxa"/>
            <w:tcBorders>
              <w:top w:val="single" w:sz="4" w:space="0" w:color="44B3E1"/>
              <w:left w:val="nil"/>
              <w:bottom w:val="nil"/>
              <w:right w:val="nil"/>
            </w:tcBorders>
            <w:shd w:val="clear" w:color="auto" w:fill="C0E6F5"/>
            <w:tcMar>
              <w:top w:w="15" w:type="dxa"/>
              <w:left w:w="15" w:type="dxa"/>
              <w:right w:w="15" w:type="dxa"/>
            </w:tcMar>
            <w:vAlign w:val="bottom"/>
          </w:tcPr>
          <w:p w14:paraId="6FE19351" w14:textId="2BC431FD"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100</w:t>
            </w:r>
          </w:p>
        </w:tc>
        <w:tc>
          <w:tcPr>
            <w:tcW w:w="1744" w:type="dxa"/>
            <w:tcBorders>
              <w:top w:val="single" w:sz="4" w:space="0" w:color="44B3E1"/>
              <w:left w:val="nil"/>
              <w:bottom w:val="nil"/>
              <w:right w:val="nil"/>
            </w:tcBorders>
            <w:shd w:val="clear" w:color="auto" w:fill="C0E6F5"/>
            <w:tcMar>
              <w:top w:w="15" w:type="dxa"/>
              <w:left w:w="15" w:type="dxa"/>
              <w:right w:w="15" w:type="dxa"/>
            </w:tcMar>
            <w:vAlign w:val="bottom"/>
          </w:tcPr>
          <w:p w14:paraId="1E97A264" w14:textId="3C9CC74F"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15</w:t>
            </w:r>
          </w:p>
        </w:tc>
        <w:tc>
          <w:tcPr>
            <w:tcW w:w="1302" w:type="dxa"/>
            <w:tcBorders>
              <w:top w:val="single" w:sz="4" w:space="0" w:color="44B3E1"/>
              <w:left w:val="nil"/>
              <w:bottom w:val="nil"/>
              <w:right w:val="nil"/>
            </w:tcBorders>
            <w:shd w:val="clear" w:color="auto" w:fill="C0E6F5"/>
            <w:tcMar>
              <w:top w:w="15" w:type="dxa"/>
              <w:left w:w="15" w:type="dxa"/>
              <w:right w:w="15" w:type="dxa"/>
            </w:tcMar>
            <w:vAlign w:val="bottom"/>
          </w:tcPr>
          <w:p w14:paraId="3D911280" w14:textId="49F360B1" w:rsidR="20DE3AC1" w:rsidRDefault="2C851D01" w:rsidP="3BCD5C0E">
            <w:pPr>
              <w:jc w:val="right"/>
              <w:rPr>
                <w:rFonts w:ascii="Verdana Pro" w:eastAsia="Verdana Pro" w:hAnsi="Verdana Pro" w:cs="Verdana Pro"/>
                <w:b/>
                <w:bCs/>
                <w:color w:val="000000" w:themeColor="text1"/>
                <w:sz w:val="18"/>
                <w:szCs w:val="18"/>
              </w:rPr>
            </w:pPr>
            <w:r w:rsidRPr="3BCD5C0E">
              <w:rPr>
                <w:rFonts w:ascii="Verdana Pro" w:eastAsia="Verdana Pro" w:hAnsi="Verdana Pro" w:cs="Verdana Pro"/>
                <w:b/>
                <w:bCs/>
                <w:color w:val="000000" w:themeColor="text1"/>
                <w:sz w:val="18"/>
                <w:szCs w:val="18"/>
              </w:rPr>
              <w:t>380</w:t>
            </w:r>
          </w:p>
        </w:tc>
      </w:tr>
    </w:tbl>
    <w:p w14:paraId="65938215" w14:textId="3B1D61F7" w:rsidR="4797A74E" w:rsidRDefault="4797A74E" w:rsidP="449377F1">
      <w:pPr>
        <w:pStyle w:val="Ttulo1"/>
        <w:ind w:left="1080"/>
        <w:jc w:val="both"/>
        <w:rPr>
          <w:rFonts w:ascii="Verdana" w:hAnsi="Verdana" w:cs="Arial"/>
          <w:color w:val="auto"/>
        </w:rPr>
      </w:pPr>
      <w:bookmarkStart w:id="25" w:name="_Toc196716366"/>
      <w:r w:rsidRPr="5DB985D8">
        <w:rPr>
          <w:rFonts w:ascii="Verdana" w:hAnsi="Verdana" w:cs="Arial"/>
          <w:color w:val="auto"/>
        </w:rPr>
        <w:t>Análisis</w:t>
      </w:r>
      <w:r w:rsidR="48931CE5" w:rsidRPr="5DB985D8">
        <w:rPr>
          <w:rFonts w:ascii="Verdana" w:hAnsi="Verdana" w:cs="Arial"/>
          <w:color w:val="auto"/>
        </w:rPr>
        <w:t xml:space="preserve"> de </w:t>
      </w:r>
      <w:r w:rsidR="5E2E352F" w:rsidRPr="5DB985D8">
        <w:rPr>
          <w:rFonts w:ascii="Verdana" w:hAnsi="Verdana" w:cs="Arial"/>
          <w:color w:val="auto"/>
        </w:rPr>
        <w:t xml:space="preserve">los 870 </w:t>
      </w:r>
      <w:r w:rsidR="48931CE5" w:rsidRPr="5DB985D8">
        <w:rPr>
          <w:rFonts w:ascii="Verdana" w:hAnsi="Verdana" w:cs="Arial"/>
          <w:color w:val="auto"/>
        </w:rPr>
        <w:t xml:space="preserve">procesos </w:t>
      </w:r>
      <w:r w:rsidR="0433A8F6" w:rsidRPr="5DB985D8">
        <w:rPr>
          <w:rFonts w:ascii="Verdana" w:hAnsi="Verdana" w:cs="Arial"/>
          <w:color w:val="auto"/>
        </w:rPr>
        <w:t xml:space="preserve">del sector </w:t>
      </w:r>
      <w:r w:rsidR="3CE4C505" w:rsidRPr="5DB985D8">
        <w:rPr>
          <w:rFonts w:ascii="Verdana" w:hAnsi="Verdana" w:cs="Arial"/>
          <w:color w:val="auto"/>
        </w:rPr>
        <w:t>Institucional</w:t>
      </w:r>
      <w:r w:rsidR="0433A8F6" w:rsidRPr="5DB985D8">
        <w:rPr>
          <w:rFonts w:ascii="Verdana" w:hAnsi="Verdana" w:cs="Arial"/>
          <w:color w:val="auto"/>
        </w:rPr>
        <w:t xml:space="preserve"> </w:t>
      </w:r>
      <w:r w:rsidR="48931CE5" w:rsidRPr="5DB985D8">
        <w:rPr>
          <w:rFonts w:ascii="Verdana" w:hAnsi="Verdana" w:cs="Arial"/>
          <w:color w:val="auto"/>
        </w:rPr>
        <w:t xml:space="preserve">por montos </w:t>
      </w:r>
      <w:r w:rsidR="60860205" w:rsidRPr="5DB985D8">
        <w:rPr>
          <w:rFonts w:ascii="Verdana" w:hAnsi="Verdana" w:cs="Arial"/>
          <w:color w:val="auto"/>
        </w:rPr>
        <w:t>en millones de pesos</w:t>
      </w:r>
      <w:bookmarkEnd w:id="25"/>
    </w:p>
    <w:p w14:paraId="2398ECB8" w14:textId="21E3B5CE" w:rsidR="449377F1" w:rsidRPr="00B00FCB" w:rsidRDefault="50FE7E9C" w:rsidP="00B00FCB">
      <w:pPr>
        <w:jc w:val="both"/>
        <w:rPr>
          <w:rFonts w:ascii="Verdana" w:eastAsia="Verdana" w:hAnsi="Verdana" w:cs="Verdana"/>
          <w:sz w:val="22"/>
          <w:szCs w:val="22"/>
        </w:rPr>
      </w:pPr>
      <w:r w:rsidRPr="00B00FCB">
        <w:rPr>
          <w:rFonts w:ascii="Verdana" w:eastAsia="Verdana" w:hAnsi="Verdana" w:cs="Verdana"/>
          <w:sz w:val="22"/>
          <w:szCs w:val="22"/>
        </w:rPr>
        <w:t xml:space="preserve">De conformidad con las bases de datos emitidas por parte de la Subdirección Emae, </w:t>
      </w:r>
      <w:r w:rsidR="009D6A67" w:rsidRPr="009D6A67">
        <w:rPr>
          <w:rFonts w:ascii="Verdana" w:eastAsia="Verdana" w:hAnsi="Verdana" w:cs="Verdana"/>
          <w:sz w:val="22"/>
          <w:szCs w:val="22"/>
        </w:rPr>
        <w:t>específicamente</w:t>
      </w:r>
      <w:r w:rsidRPr="00B00FCB">
        <w:rPr>
          <w:rFonts w:ascii="Verdana" w:eastAsia="Verdana" w:hAnsi="Verdana" w:cs="Verdana"/>
          <w:sz w:val="22"/>
          <w:szCs w:val="22"/>
        </w:rPr>
        <w:t xml:space="preserve"> para el sector </w:t>
      </w:r>
      <w:r w:rsidR="009D6A67" w:rsidRPr="009D6A67">
        <w:rPr>
          <w:rFonts w:ascii="Verdana" w:eastAsia="Verdana" w:hAnsi="Verdana" w:cs="Verdana"/>
          <w:sz w:val="22"/>
          <w:szCs w:val="22"/>
        </w:rPr>
        <w:t>Institucional</w:t>
      </w:r>
      <w:r w:rsidRPr="00B00FCB">
        <w:rPr>
          <w:rFonts w:ascii="Verdana" w:eastAsia="Verdana" w:hAnsi="Verdana" w:cs="Verdana"/>
          <w:sz w:val="22"/>
          <w:szCs w:val="22"/>
        </w:rPr>
        <w:t>, se pueden observar los siguientes datos relevantes:</w:t>
      </w:r>
    </w:p>
    <w:p w14:paraId="0D2D5B2B" w14:textId="501E28A0" w:rsidR="47E44940" w:rsidRPr="00B00FCB" w:rsidRDefault="47E44940" w:rsidP="47E44940">
      <w:pPr>
        <w:rPr>
          <w:rFonts w:ascii="Verdana" w:eastAsia="Verdana" w:hAnsi="Verdana" w:cs="Verdana"/>
          <w:sz w:val="22"/>
          <w:szCs w:val="22"/>
        </w:rPr>
      </w:pPr>
    </w:p>
    <w:tbl>
      <w:tblPr>
        <w:tblW w:w="0" w:type="auto"/>
        <w:tblLayout w:type="fixed"/>
        <w:tblLook w:val="06A0" w:firstRow="1" w:lastRow="0" w:firstColumn="1" w:lastColumn="0" w:noHBand="1" w:noVBand="1"/>
      </w:tblPr>
      <w:tblGrid>
        <w:gridCol w:w="887"/>
        <w:gridCol w:w="881"/>
        <w:gridCol w:w="865"/>
        <w:gridCol w:w="861"/>
        <w:gridCol w:w="863"/>
        <w:gridCol w:w="870"/>
        <w:gridCol w:w="872"/>
        <w:gridCol w:w="874"/>
        <w:gridCol w:w="887"/>
        <w:gridCol w:w="884"/>
        <w:gridCol w:w="886"/>
      </w:tblGrid>
      <w:tr w:rsidR="449377F1" w14:paraId="57E7B653" w14:textId="77777777" w:rsidTr="47E44940">
        <w:trPr>
          <w:trHeight w:val="615"/>
        </w:trPr>
        <w:tc>
          <w:tcPr>
            <w:tcW w:w="1768" w:type="dxa"/>
            <w:gridSpan w:val="2"/>
            <w:vMerge w:val="restart"/>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0AACBFBC" w14:textId="5FBC5E4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millones</w:t>
            </w:r>
          </w:p>
        </w:tc>
        <w:tc>
          <w:tcPr>
            <w:tcW w:w="258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22683F81" w14:textId="6910925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seguridad</w:t>
            </w:r>
          </w:p>
        </w:tc>
        <w:tc>
          <w:tcPr>
            <w:tcW w:w="261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15F42867" w14:textId="584F587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servicio publico</w:t>
            </w:r>
          </w:p>
        </w:tc>
        <w:tc>
          <w:tcPr>
            <w:tcW w:w="265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5E014B42" w14:textId="76EBD49C" w:rsidR="014360B5" w:rsidRPr="00B00FCB" w:rsidRDefault="014360B5"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reclusión</w:t>
            </w:r>
          </w:p>
        </w:tc>
      </w:tr>
      <w:tr w:rsidR="449377F1" w14:paraId="008D3A57" w14:textId="77777777" w:rsidTr="47E44940">
        <w:trPr>
          <w:trHeight w:val="315"/>
        </w:trPr>
        <w:tc>
          <w:tcPr>
            <w:tcW w:w="1768" w:type="dxa"/>
            <w:gridSpan w:val="2"/>
            <w:vMerge/>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459E297E" w14:textId="77777777" w:rsidR="00FF6CE9" w:rsidRDefault="00FF6CE9"/>
        </w:tc>
        <w:tc>
          <w:tcPr>
            <w:tcW w:w="86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7CB4491D" w14:textId="70FEF260" w:rsidR="014360B5" w:rsidRPr="00B00FCB" w:rsidRDefault="014360B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licitación</w:t>
            </w:r>
          </w:p>
        </w:tc>
        <w:tc>
          <w:tcPr>
            <w:tcW w:w="86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334C2CE2" w14:textId="1A52E4A0" w:rsidR="449377F1" w:rsidRPr="00B00FCB" w:rsidRDefault="449377F1"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menor</w:t>
            </w:r>
          </w:p>
        </w:tc>
        <w:tc>
          <w:tcPr>
            <w:tcW w:w="86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6E176794" w14:textId="2D71381A" w:rsidR="41F47BFB" w:rsidRPr="00B00FCB" w:rsidRDefault="41F47BFB"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mínima</w:t>
            </w:r>
          </w:p>
        </w:tc>
        <w:tc>
          <w:tcPr>
            <w:tcW w:w="87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347D200A" w14:textId="223E8392" w:rsidR="41F47BFB" w:rsidRPr="00B00FCB" w:rsidRDefault="41F47BFB"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licitación</w:t>
            </w:r>
          </w:p>
        </w:tc>
        <w:tc>
          <w:tcPr>
            <w:tcW w:w="87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4DFA51F8" w14:textId="09897F17" w:rsidR="449377F1" w:rsidRPr="00B00FCB" w:rsidRDefault="449377F1"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menor</w:t>
            </w:r>
          </w:p>
        </w:tc>
        <w:tc>
          <w:tcPr>
            <w:tcW w:w="87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43245B0F" w14:textId="7BB16E01" w:rsidR="1D3CFC54" w:rsidRPr="00B00FCB" w:rsidRDefault="1D3CFC54"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mínima</w:t>
            </w:r>
          </w:p>
        </w:tc>
        <w:tc>
          <w:tcPr>
            <w:tcW w:w="88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1587E59E" w14:textId="432D636E" w:rsidR="1D3CFC54" w:rsidRPr="00B00FCB" w:rsidRDefault="1D3CFC54"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licitación</w:t>
            </w:r>
          </w:p>
        </w:tc>
        <w:tc>
          <w:tcPr>
            <w:tcW w:w="88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7BD961B7" w14:textId="76C4F209" w:rsidR="449377F1" w:rsidRPr="00B00FCB" w:rsidRDefault="449377F1"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menor</w:t>
            </w:r>
          </w:p>
        </w:tc>
        <w:tc>
          <w:tcPr>
            <w:tcW w:w="88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2311C087" w14:textId="497F53BE" w:rsidR="626DB056" w:rsidRPr="00B00FCB" w:rsidRDefault="626DB056"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8"/>
                <w:szCs w:val="18"/>
              </w:rPr>
              <w:t>mínima</w:t>
            </w:r>
          </w:p>
        </w:tc>
      </w:tr>
      <w:tr w:rsidR="449377F1" w14:paraId="49E4593D" w14:textId="77777777" w:rsidTr="47E44940">
        <w:trPr>
          <w:trHeight w:val="300"/>
        </w:trPr>
        <w:tc>
          <w:tcPr>
            <w:tcW w:w="887" w:type="dxa"/>
            <w:tcBorders>
              <w:top w:val="single" w:sz="12" w:space="0" w:color="000000" w:themeColor="text1"/>
              <w:left w:val="single" w:sz="8" w:space="0" w:color="auto"/>
              <w:bottom w:val="single" w:sz="4" w:space="0" w:color="auto"/>
              <w:right w:val="single" w:sz="4" w:space="0" w:color="000000" w:themeColor="text1"/>
            </w:tcBorders>
            <w:tcMar>
              <w:top w:w="15" w:type="dxa"/>
              <w:left w:w="15" w:type="dxa"/>
              <w:right w:w="15" w:type="dxa"/>
            </w:tcMar>
            <w:vAlign w:val="center"/>
          </w:tcPr>
          <w:p w14:paraId="3A7EAE1D" w14:textId="791EEC04"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0</w:t>
            </w:r>
          </w:p>
        </w:tc>
        <w:tc>
          <w:tcPr>
            <w:tcW w:w="881" w:type="dxa"/>
            <w:tcBorders>
              <w:top w:val="single" w:sz="12" w:space="0" w:color="000000" w:themeColor="text1"/>
              <w:left w:val="single" w:sz="4" w:space="0" w:color="auto"/>
              <w:bottom w:val="single" w:sz="4" w:space="0" w:color="auto"/>
              <w:right w:val="single" w:sz="8" w:space="0" w:color="000000" w:themeColor="text1"/>
            </w:tcBorders>
            <w:tcMar>
              <w:top w:w="15" w:type="dxa"/>
              <w:left w:w="15" w:type="dxa"/>
              <w:right w:w="15" w:type="dxa"/>
            </w:tcMar>
            <w:vAlign w:val="center"/>
          </w:tcPr>
          <w:p w14:paraId="3C593E53" w14:textId="5B0E61A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300</w:t>
            </w:r>
          </w:p>
        </w:tc>
        <w:tc>
          <w:tcPr>
            <w:tcW w:w="865" w:type="dxa"/>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0B22C8F3" w14:textId="0F027BF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861" w:type="dxa"/>
            <w:tcBorders>
              <w:top w:val="single" w:sz="12"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0C41C10D" w14:textId="3AAC38B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119</w:t>
            </w:r>
          </w:p>
        </w:tc>
        <w:tc>
          <w:tcPr>
            <w:tcW w:w="863" w:type="dxa"/>
            <w:tcBorders>
              <w:top w:val="single" w:sz="12" w:space="0" w:color="000000" w:themeColor="text1"/>
              <w:left w:val="single" w:sz="4" w:space="0" w:color="auto"/>
              <w:bottom w:val="single" w:sz="4" w:space="0" w:color="auto"/>
              <w:right w:val="single" w:sz="8" w:space="0" w:color="auto"/>
            </w:tcBorders>
            <w:tcMar>
              <w:top w:w="15" w:type="dxa"/>
              <w:left w:w="15" w:type="dxa"/>
              <w:right w:w="15" w:type="dxa"/>
            </w:tcMar>
            <w:vAlign w:val="center"/>
          </w:tcPr>
          <w:p w14:paraId="2A6150C9" w14:textId="645DC44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0" w:type="dxa"/>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060B96F6" w14:textId="549177B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2" w:type="dxa"/>
            <w:tcBorders>
              <w:top w:val="single" w:sz="12"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364674AB" w14:textId="2C229E0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24</w:t>
            </w:r>
          </w:p>
        </w:tc>
        <w:tc>
          <w:tcPr>
            <w:tcW w:w="874" w:type="dxa"/>
            <w:tcBorders>
              <w:top w:val="single" w:sz="12" w:space="0" w:color="000000" w:themeColor="text1"/>
              <w:left w:val="single" w:sz="4" w:space="0" w:color="auto"/>
              <w:bottom w:val="single" w:sz="4" w:space="0" w:color="auto"/>
              <w:right w:val="single" w:sz="8" w:space="0" w:color="auto"/>
            </w:tcBorders>
            <w:tcMar>
              <w:top w:w="15" w:type="dxa"/>
              <w:left w:w="15" w:type="dxa"/>
              <w:right w:w="15" w:type="dxa"/>
            </w:tcMar>
            <w:vAlign w:val="center"/>
          </w:tcPr>
          <w:p w14:paraId="0C17DDD6" w14:textId="13569B5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7" w:type="dxa"/>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44AFC2C8" w14:textId="469A36E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4" w:type="dxa"/>
            <w:tcBorders>
              <w:top w:val="single" w:sz="12"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00DDC45E" w14:textId="1923896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w:t>
            </w:r>
          </w:p>
        </w:tc>
        <w:tc>
          <w:tcPr>
            <w:tcW w:w="886" w:type="dxa"/>
            <w:tcBorders>
              <w:top w:val="single" w:sz="12" w:space="0" w:color="000000" w:themeColor="text1"/>
              <w:left w:val="single" w:sz="4" w:space="0" w:color="auto"/>
              <w:bottom w:val="single" w:sz="4" w:space="0" w:color="auto"/>
              <w:right w:val="single" w:sz="8" w:space="0" w:color="auto"/>
            </w:tcBorders>
            <w:tcMar>
              <w:top w:w="15" w:type="dxa"/>
              <w:left w:w="15" w:type="dxa"/>
              <w:right w:w="15" w:type="dxa"/>
            </w:tcMar>
            <w:vAlign w:val="center"/>
          </w:tcPr>
          <w:p w14:paraId="37BCE403" w14:textId="6F0E33C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r>
      <w:tr w:rsidR="449377F1" w14:paraId="2B6D65C4" w14:textId="77777777" w:rsidTr="47E44940">
        <w:trPr>
          <w:trHeight w:val="300"/>
        </w:trPr>
        <w:tc>
          <w:tcPr>
            <w:tcW w:w="887" w:type="dxa"/>
            <w:tcBorders>
              <w:top w:val="single" w:sz="4" w:space="0" w:color="auto"/>
              <w:left w:val="single" w:sz="8" w:space="0" w:color="auto"/>
              <w:bottom w:val="single" w:sz="4" w:space="0" w:color="000000" w:themeColor="text1"/>
              <w:right w:val="single" w:sz="4" w:space="0" w:color="000000" w:themeColor="text1"/>
            </w:tcBorders>
            <w:tcMar>
              <w:top w:w="15" w:type="dxa"/>
              <w:left w:w="15" w:type="dxa"/>
              <w:right w:w="15" w:type="dxa"/>
            </w:tcMar>
            <w:vAlign w:val="center"/>
          </w:tcPr>
          <w:p w14:paraId="4BBBA8FF" w14:textId="140300A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301</w:t>
            </w:r>
          </w:p>
        </w:tc>
        <w:tc>
          <w:tcPr>
            <w:tcW w:w="881" w:type="dxa"/>
            <w:tcBorders>
              <w:top w:val="single" w:sz="4" w:space="0" w:color="auto"/>
              <w:left w:val="single" w:sz="4" w:space="0" w:color="auto"/>
              <w:bottom w:val="single" w:sz="4" w:space="0" w:color="000000" w:themeColor="text1"/>
              <w:right w:val="single" w:sz="8" w:space="0" w:color="000000" w:themeColor="text1"/>
            </w:tcBorders>
            <w:tcMar>
              <w:top w:w="15" w:type="dxa"/>
              <w:left w:w="15" w:type="dxa"/>
              <w:right w:w="15" w:type="dxa"/>
            </w:tcMar>
            <w:vAlign w:val="center"/>
          </w:tcPr>
          <w:p w14:paraId="2C9A6D8E" w14:textId="544DCBDE"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800</w:t>
            </w:r>
          </w:p>
        </w:tc>
        <w:tc>
          <w:tcPr>
            <w:tcW w:w="865"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640CE5A" w14:textId="3D26E9A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17</w:t>
            </w:r>
          </w:p>
        </w:tc>
        <w:tc>
          <w:tcPr>
            <w:tcW w:w="86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81D0D" w14:textId="53A941A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120</w:t>
            </w:r>
          </w:p>
        </w:tc>
        <w:tc>
          <w:tcPr>
            <w:tcW w:w="86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67D769B" w14:textId="4023137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0"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B12D028" w14:textId="10F7651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8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213F8D" w14:textId="5EFDC88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26</w:t>
            </w:r>
          </w:p>
        </w:tc>
        <w:tc>
          <w:tcPr>
            <w:tcW w:w="874"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5CA7A4D" w14:textId="64EA7C8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7"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402A3EB" w14:textId="3190592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879FC5" w14:textId="1E79822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9</w:t>
            </w:r>
          </w:p>
        </w:tc>
        <w:tc>
          <w:tcPr>
            <w:tcW w:w="886"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47B81C8" w14:textId="3453473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4ED0D059" w14:textId="77777777" w:rsidTr="47E44940">
        <w:trPr>
          <w:trHeight w:val="300"/>
        </w:trPr>
        <w:tc>
          <w:tcPr>
            <w:tcW w:w="887"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A5967F4" w14:textId="76356964"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801</w:t>
            </w:r>
          </w:p>
        </w:tc>
        <w:tc>
          <w:tcPr>
            <w:tcW w:w="881"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D27E193" w14:textId="1BAAFD8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1500</w:t>
            </w:r>
          </w:p>
        </w:tc>
        <w:tc>
          <w:tcPr>
            <w:tcW w:w="865"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503732E" w14:textId="79319B2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20</w:t>
            </w:r>
          </w:p>
        </w:tc>
        <w:tc>
          <w:tcPr>
            <w:tcW w:w="86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8F816E" w14:textId="0C85336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81</w:t>
            </w:r>
          </w:p>
        </w:tc>
        <w:tc>
          <w:tcPr>
            <w:tcW w:w="86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9F8DEC9" w14:textId="4152F54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0"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27822D8" w14:textId="6061200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6</w:t>
            </w:r>
          </w:p>
        </w:tc>
        <w:tc>
          <w:tcPr>
            <w:tcW w:w="8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318731" w14:textId="1583699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15</w:t>
            </w:r>
          </w:p>
        </w:tc>
        <w:tc>
          <w:tcPr>
            <w:tcW w:w="874"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3D5A371" w14:textId="17EDC8E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7"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F376F70" w14:textId="2527520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7</w:t>
            </w:r>
          </w:p>
        </w:tc>
        <w:tc>
          <w:tcPr>
            <w:tcW w:w="88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F0BDC" w14:textId="3F476FA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10</w:t>
            </w:r>
          </w:p>
        </w:tc>
        <w:tc>
          <w:tcPr>
            <w:tcW w:w="886"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B229FBC" w14:textId="33D654A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023A36D0" w14:textId="77777777" w:rsidTr="47E44940">
        <w:trPr>
          <w:trHeight w:val="300"/>
        </w:trPr>
        <w:tc>
          <w:tcPr>
            <w:tcW w:w="887"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5EBCE17" w14:textId="70ED4C6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1501</w:t>
            </w:r>
          </w:p>
        </w:tc>
        <w:tc>
          <w:tcPr>
            <w:tcW w:w="881"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CB51B2A" w14:textId="6B1B4F12"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4000</w:t>
            </w:r>
          </w:p>
        </w:tc>
        <w:tc>
          <w:tcPr>
            <w:tcW w:w="865"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99E0223" w14:textId="0E04B2E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59</w:t>
            </w:r>
          </w:p>
        </w:tc>
        <w:tc>
          <w:tcPr>
            <w:tcW w:w="86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DC1974" w14:textId="79E46D6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40</w:t>
            </w:r>
          </w:p>
        </w:tc>
        <w:tc>
          <w:tcPr>
            <w:tcW w:w="863"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67C67F3" w14:textId="2B57D7D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0"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F2B2A7E" w14:textId="28E8CA3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21</w:t>
            </w:r>
          </w:p>
        </w:tc>
        <w:tc>
          <w:tcPr>
            <w:tcW w:w="8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1250C8" w14:textId="7163551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874"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C239B87" w14:textId="5B4817B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7" w:type="dxa"/>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358B952" w14:textId="2A5C377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w:t>
            </w:r>
          </w:p>
        </w:tc>
        <w:tc>
          <w:tcPr>
            <w:tcW w:w="88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A0715B" w14:textId="4DA9514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6"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BB16765" w14:textId="0128795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23EBF2DE" w14:textId="77777777" w:rsidTr="47E44940">
        <w:trPr>
          <w:trHeight w:val="315"/>
        </w:trPr>
        <w:tc>
          <w:tcPr>
            <w:tcW w:w="887" w:type="dxa"/>
            <w:tcBorders>
              <w:top w:val="single" w:sz="4" w:space="0" w:color="auto"/>
              <w:left w:val="single" w:sz="8" w:space="0" w:color="auto"/>
              <w:bottom w:val="single" w:sz="8" w:space="0" w:color="auto"/>
              <w:right w:val="single" w:sz="4" w:space="0" w:color="auto"/>
            </w:tcBorders>
            <w:tcMar>
              <w:top w:w="15" w:type="dxa"/>
              <w:left w:w="15" w:type="dxa"/>
              <w:right w:w="15" w:type="dxa"/>
            </w:tcMar>
            <w:vAlign w:val="center"/>
          </w:tcPr>
          <w:p w14:paraId="1F57AE8E" w14:textId="2A6B939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4000</w:t>
            </w:r>
          </w:p>
        </w:tc>
        <w:tc>
          <w:tcPr>
            <w:tcW w:w="881"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71465F19" w14:textId="32B28A3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 xml:space="preserve"> </w:t>
            </w:r>
          </w:p>
        </w:tc>
        <w:tc>
          <w:tcPr>
            <w:tcW w:w="865" w:type="dxa"/>
            <w:tcBorders>
              <w:top w:val="single" w:sz="4" w:space="0" w:color="auto"/>
              <w:left w:val="single" w:sz="8" w:space="0" w:color="auto"/>
              <w:bottom w:val="nil"/>
              <w:right w:val="single" w:sz="4" w:space="0" w:color="auto"/>
            </w:tcBorders>
            <w:tcMar>
              <w:top w:w="15" w:type="dxa"/>
              <w:left w:w="15" w:type="dxa"/>
              <w:right w:w="15" w:type="dxa"/>
            </w:tcMar>
            <w:vAlign w:val="center"/>
          </w:tcPr>
          <w:p w14:paraId="7C2C26F2" w14:textId="331D976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33</w:t>
            </w:r>
          </w:p>
        </w:tc>
        <w:tc>
          <w:tcPr>
            <w:tcW w:w="861" w:type="dxa"/>
            <w:tcBorders>
              <w:top w:val="single" w:sz="4" w:space="0" w:color="auto"/>
              <w:left w:val="single" w:sz="4" w:space="0" w:color="auto"/>
              <w:bottom w:val="nil"/>
              <w:right w:val="single" w:sz="4" w:space="0" w:color="auto"/>
            </w:tcBorders>
            <w:tcMar>
              <w:top w:w="15" w:type="dxa"/>
              <w:left w:w="15" w:type="dxa"/>
              <w:right w:w="15" w:type="dxa"/>
            </w:tcMar>
            <w:vAlign w:val="center"/>
          </w:tcPr>
          <w:p w14:paraId="46EBB314" w14:textId="649730C1"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21</w:t>
            </w:r>
          </w:p>
        </w:tc>
        <w:tc>
          <w:tcPr>
            <w:tcW w:w="863" w:type="dxa"/>
            <w:tcBorders>
              <w:top w:val="single" w:sz="4" w:space="0" w:color="auto"/>
              <w:left w:val="single" w:sz="4" w:space="0" w:color="auto"/>
              <w:bottom w:val="nil"/>
              <w:right w:val="single" w:sz="8" w:space="0" w:color="auto"/>
            </w:tcBorders>
            <w:tcMar>
              <w:top w:w="15" w:type="dxa"/>
              <w:left w:w="15" w:type="dxa"/>
              <w:right w:w="15" w:type="dxa"/>
            </w:tcMar>
            <w:vAlign w:val="center"/>
          </w:tcPr>
          <w:p w14:paraId="05C7B8F0" w14:textId="562E22D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70" w:type="dxa"/>
            <w:tcBorders>
              <w:top w:val="single" w:sz="4" w:space="0" w:color="auto"/>
              <w:left w:val="single" w:sz="8" w:space="0" w:color="auto"/>
              <w:bottom w:val="nil"/>
              <w:right w:val="single" w:sz="4" w:space="0" w:color="auto"/>
            </w:tcBorders>
            <w:tcMar>
              <w:top w:w="15" w:type="dxa"/>
              <w:left w:w="15" w:type="dxa"/>
              <w:right w:w="15" w:type="dxa"/>
            </w:tcMar>
            <w:vAlign w:val="center"/>
          </w:tcPr>
          <w:p w14:paraId="6CE2D682" w14:textId="02416FA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31</w:t>
            </w:r>
          </w:p>
        </w:tc>
        <w:tc>
          <w:tcPr>
            <w:tcW w:w="872" w:type="dxa"/>
            <w:tcBorders>
              <w:top w:val="single" w:sz="4" w:space="0" w:color="auto"/>
              <w:left w:val="single" w:sz="4" w:space="0" w:color="auto"/>
              <w:bottom w:val="nil"/>
              <w:right w:val="single" w:sz="4" w:space="0" w:color="auto"/>
            </w:tcBorders>
            <w:tcMar>
              <w:top w:w="15" w:type="dxa"/>
              <w:left w:w="15" w:type="dxa"/>
              <w:right w:w="15" w:type="dxa"/>
            </w:tcMar>
            <w:vAlign w:val="center"/>
          </w:tcPr>
          <w:p w14:paraId="75FD7A31" w14:textId="62B981E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874" w:type="dxa"/>
            <w:tcBorders>
              <w:top w:val="single" w:sz="4" w:space="0" w:color="auto"/>
              <w:left w:val="single" w:sz="4" w:space="0" w:color="auto"/>
              <w:bottom w:val="nil"/>
              <w:right w:val="single" w:sz="8" w:space="0" w:color="auto"/>
            </w:tcBorders>
            <w:tcMar>
              <w:top w:w="15" w:type="dxa"/>
              <w:left w:w="15" w:type="dxa"/>
              <w:right w:w="15" w:type="dxa"/>
            </w:tcMar>
            <w:vAlign w:val="center"/>
          </w:tcPr>
          <w:p w14:paraId="3AF2034C" w14:textId="5313FE51"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7" w:type="dxa"/>
            <w:tcBorders>
              <w:top w:val="single" w:sz="4" w:space="0" w:color="auto"/>
              <w:left w:val="single" w:sz="8" w:space="0" w:color="auto"/>
              <w:bottom w:val="nil"/>
              <w:right w:val="single" w:sz="4" w:space="0" w:color="auto"/>
            </w:tcBorders>
            <w:tcMar>
              <w:top w:w="15" w:type="dxa"/>
              <w:left w:w="15" w:type="dxa"/>
              <w:right w:w="15" w:type="dxa"/>
            </w:tcMar>
            <w:vAlign w:val="center"/>
          </w:tcPr>
          <w:p w14:paraId="668AA740" w14:textId="065DC15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17</w:t>
            </w:r>
          </w:p>
        </w:tc>
        <w:tc>
          <w:tcPr>
            <w:tcW w:w="884" w:type="dxa"/>
            <w:tcBorders>
              <w:top w:val="single" w:sz="4" w:space="0" w:color="auto"/>
              <w:left w:val="single" w:sz="4" w:space="0" w:color="auto"/>
              <w:bottom w:val="nil"/>
              <w:right w:val="single" w:sz="4" w:space="0" w:color="auto"/>
            </w:tcBorders>
            <w:tcMar>
              <w:top w:w="15" w:type="dxa"/>
              <w:left w:w="15" w:type="dxa"/>
              <w:right w:w="15" w:type="dxa"/>
            </w:tcMar>
            <w:vAlign w:val="center"/>
          </w:tcPr>
          <w:p w14:paraId="4389BB2B" w14:textId="0F45862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886" w:type="dxa"/>
            <w:tcBorders>
              <w:top w:val="single" w:sz="4" w:space="0" w:color="auto"/>
              <w:left w:val="single" w:sz="4" w:space="0" w:color="auto"/>
              <w:bottom w:val="nil"/>
              <w:right w:val="single" w:sz="8" w:space="0" w:color="auto"/>
            </w:tcBorders>
            <w:tcMar>
              <w:top w:w="15" w:type="dxa"/>
              <w:left w:w="15" w:type="dxa"/>
              <w:right w:w="15" w:type="dxa"/>
            </w:tcMar>
            <w:vAlign w:val="center"/>
          </w:tcPr>
          <w:p w14:paraId="1D5F8B8C" w14:textId="3077BF7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0646F550" w14:textId="77777777" w:rsidTr="47E44940">
        <w:trPr>
          <w:trHeight w:val="315"/>
        </w:trPr>
        <w:tc>
          <w:tcPr>
            <w:tcW w:w="887" w:type="dxa"/>
            <w:tcBorders>
              <w:top w:val="single" w:sz="8" w:space="0" w:color="auto"/>
              <w:left w:val="nil"/>
              <w:bottom w:val="nil"/>
              <w:right w:val="nil"/>
            </w:tcBorders>
            <w:tcMar>
              <w:top w:w="15" w:type="dxa"/>
              <w:left w:w="15" w:type="dxa"/>
              <w:right w:w="15" w:type="dxa"/>
            </w:tcMar>
            <w:vAlign w:val="bottom"/>
          </w:tcPr>
          <w:p w14:paraId="76C16ED9" w14:textId="419EC7A8" w:rsidR="449377F1" w:rsidRPr="00B00FCB" w:rsidRDefault="449377F1" w:rsidP="47E44940">
            <w:pPr>
              <w:rPr>
                <w:rFonts w:ascii="Verdana" w:eastAsia="Verdana" w:hAnsi="Verdana" w:cs="Verdana"/>
                <w:sz w:val="22"/>
                <w:szCs w:val="22"/>
              </w:rPr>
            </w:pPr>
          </w:p>
        </w:tc>
        <w:tc>
          <w:tcPr>
            <w:tcW w:w="881" w:type="dxa"/>
            <w:tcBorders>
              <w:top w:val="single" w:sz="8" w:space="0" w:color="auto"/>
              <w:left w:val="nil"/>
              <w:bottom w:val="nil"/>
              <w:right w:val="nil"/>
            </w:tcBorders>
            <w:tcMar>
              <w:top w:w="15" w:type="dxa"/>
              <w:left w:w="15" w:type="dxa"/>
              <w:right w:w="15" w:type="dxa"/>
            </w:tcMar>
            <w:vAlign w:val="bottom"/>
          </w:tcPr>
          <w:p w14:paraId="74DEB49B" w14:textId="7AB37BED" w:rsidR="449377F1" w:rsidRPr="00B00FCB" w:rsidRDefault="449377F1" w:rsidP="47E44940">
            <w:pPr>
              <w:rPr>
                <w:rFonts w:ascii="Verdana" w:eastAsia="Verdana" w:hAnsi="Verdana" w:cs="Verdana"/>
                <w:sz w:val="22"/>
                <w:szCs w:val="22"/>
              </w:rPr>
            </w:pPr>
          </w:p>
        </w:tc>
        <w:tc>
          <w:tcPr>
            <w:tcW w:w="865" w:type="dxa"/>
            <w:tcBorders>
              <w:top w:val="single" w:sz="8" w:space="0" w:color="auto"/>
              <w:left w:val="single" w:sz="8"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208F09D6" w14:textId="5E76735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132</w:t>
            </w:r>
          </w:p>
        </w:tc>
        <w:tc>
          <w:tcPr>
            <w:tcW w:w="861"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7C2030BD" w14:textId="05D772F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381</w:t>
            </w:r>
          </w:p>
        </w:tc>
        <w:tc>
          <w:tcPr>
            <w:tcW w:w="863"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31D4F89F" w14:textId="25A9E4A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0</w:t>
            </w:r>
          </w:p>
        </w:tc>
        <w:tc>
          <w:tcPr>
            <w:tcW w:w="870"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758420F3" w14:textId="2DE48C8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60</w:t>
            </w:r>
          </w:p>
        </w:tc>
        <w:tc>
          <w:tcPr>
            <w:tcW w:w="872"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3A033CC9" w14:textId="482B2399"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70</w:t>
            </w:r>
          </w:p>
        </w:tc>
        <w:tc>
          <w:tcPr>
            <w:tcW w:w="874"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0FA22364" w14:textId="0CDB4FEF"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0</w:t>
            </w:r>
          </w:p>
        </w:tc>
        <w:tc>
          <w:tcPr>
            <w:tcW w:w="887"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5BBDCA3B" w14:textId="5F469D8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29</w:t>
            </w:r>
          </w:p>
        </w:tc>
        <w:tc>
          <w:tcPr>
            <w:tcW w:w="884" w:type="dxa"/>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28A99A55" w14:textId="2B9727FE"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24</w:t>
            </w:r>
          </w:p>
        </w:tc>
        <w:tc>
          <w:tcPr>
            <w:tcW w:w="886" w:type="dxa"/>
            <w:tcBorders>
              <w:top w:val="single" w:sz="8" w:space="0" w:color="auto"/>
              <w:left w:val="single" w:sz="4"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106050B8" w14:textId="67A88D91"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w:t>
            </w:r>
          </w:p>
        </w:tc>
      </w:tr>
      <w:tr w:rsidR="449377F1" w14:paraId="559289E0" w14:textId="77777777" w:rsidTr="47E44940">
        <w:trPr>
          <w:trHeight w:val="315"/>
        </w:trPr>
        <w:tc>
          <w:tcPr>
            <w:tcW w:w="887" w:type="dxa"/>
            <w:tcBorders>
              <w:top w:val="nil"/>
              <w:left w:val="nil"/>
              <w:bottom w:val="nil"/>
              <w:right w:val="nil"/>
            </w:tcBorders>
            <w:tcMar>
              <w:top w:w="15" w:type="dxa"/>
              <w:left w:w="15" w:type="dxa"/>
              <w:right w:w="15" w:type="dxa"/>
            </w:tcMar>
            <w:vAlign w:val="bottom"/>
          </w:tcPr>
          <w:p w14:paraId="0DA4CE07" w14:textId="4C08B3F9" w:rsidR="449377F1" w:rsidRPr="00B00FCB" w:rsidRDefault="449377F1" w:rsidP="47E44940">
            <w:pPr>
              <w:rPr>
                <w:rFonts w:ascii="Verdana" w:eastAsia="Verdana" w:hAnsi="Verdana" w:cs="Verdana"/>
                <w:sz w:val="22"/>
                <w:szCs w:val="22"/>
              </w:rPr>
            </w:pPr>
          </w:p>
        </w:tc>
        <w:tc>
          <w:tcPr>
            <w:tcW w:w="881" w:type="dxa"/>
            <w:tcBorders>
              <w:top w:val="nil"/>
              <w:left w:val="nil"/>
              <w:bottom w:val="nil"/>
              <w:right w:val="nil"/>
            </w:tcBorders>
            <w:tcMar>
              <w:top w:w="15" w:type="dxa"/>
              <w:left w:w="15" w:type="dxa"/>
              <w:right w:w="15" w:type="dxa"/>
            </w:tcMar>
            <w:vAlign w:val="bottom"/>
          </w:tcPr>
          <w:p w14:paraId="5BAFF457" w14:textId="1E7862F4" w:rsidR="449377F1" w:rsidRPr="00B00FCB" w:rsidRDefault="449377F1" w:rsidP="47E44940">
            <w:pPr>
              <w:rPr>
                <w:rFonts w:ascii="Verdana" w:eastAsia="Verdana" w:hAnsi="Verdana" w:cs="Verdana"/>
                <w:sz w:val="22"/>
                <w:szCs w:val="22"/>
              </w:rPr>
            </w:pPr>
          </w:p>
        </w:tc>
        <w:tc>
          <w:tcPr>
            <w:tcW w:w="2589" w:type="dxa"/>
            <w:gridSpan w:val="3"/>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43F444F2" w14:textId="093902DC"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513</w:t>
            </w:r>
          </w:p>
        </w:tc>
        <w:tc>
          <w:tcPr>
            <w:tcW w:w="2616" w:type="dxa"/>
            <w:gridSpan w:val="3"/>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58CD2804" w14:textId="77F07F1D"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130</w:t>
            </w:r>
          </w:p>
        </w:tc>
        <w:tc>
          <w:tcPr>
            <w:tcW w:w="2657" w:type="dxa"/>
            <w:gridSpan w:val="3"/>
            <w:tcBorders>
              <w:top w:val="single" w:sz="8" w:space="0" w:color="auto"/>
              <w:left w:val="single" w:sz="8" w:space="0" w:color="auto"/>
              <w:bottom w:val="single" w:sz="8" w:space="0" w:color="auto"/>
              <w:right w:val="single" w:sz="8" w:space="0" w:color="000000" w:themeColor="text1"/>
            </w:tcBorders>
            <w:shd w:val="clear" w:color="auto" w:fill="F2F2F2" w:themeFill="background1" w:themeFillShade="F2"/>
            <w:tcMar>
              <w:top w:w="15" w:type="dxa"/>
              <w:left w:w="15" w:type="dxa"/>
              <w:right w:w="15" w:type="dxa"/>
            </w:tcMar>
            <w:vAlign w:val="center"/>
          </w:tcPr>
          <w:p w14:paraId="5CE1B2F7" w14:textId="3B02C9DF"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57</w:t>
            </w:r>
          </w:p>
        </w:tc>
      </w:tr>
      <w:tr w:rsidR="449377F1" w14:paraId="6A0FED73" w14:textId="77777777" w:rsidTr="47E44940">
        <w:trPr>
          <w:trHeight w:val="315"/>
        </w:trPr>
        <w:tc>
          <w:tcPr>
            <w:tcW w:w="887" w:type="dxa"/>
            <w:tcBorders>
              <w:top w:val="nil"/>
              <w:left w:val="nil"/>
              <w:bottom w:val="nil"/>
              <w:right w:val="nil"/>
            </w:tcBorders>
            <w:tcMar>
              <w:top w:w="15" w:type="dxa"/>
              <w:left w:w="15" w:type="dxa"/>
              <w:right w:w="15" w:type="dxa"/>
            </w:tcMar>
            <w:vAlign w:val="bottom"/>
          </w:tcPr>
          <w:p w14:paraId="6BFC052A" w14:textId="5580040B" w:rsidR="449377F1" w:rsidRPr="00B00FCB" w:rsidRDefault="449377F1" w:rsidP="47E44940">
            <w:pPr>
              <w:rPr>
                <w:rFonts w:ascii="Verdana" w:eastAsia="Verdana" w:hAnsi="Verdana" w:cs="Verdana"/>
                <w:sz w:val="22"/>
                <w:szCs w:val="22"/>
              </w:rPr>
            </w:pPr>
          </w:p>
        </w:tc>
        <w:tc>
          <w:tcPr>
            <w:tcW w:w="881" w:type="dxa"/>
            <w:tcBorders>
              <w:top w:val="nil"/>
              <w:left w:val="nil"/>
              <w:bottom w:val="nil"/>
              <w:right w:val="nil"/>
            </w:tcBorders>
            <w:tcMar>
              <w:top w:w="15" w:type="dxa"/>
              <w:left w:w="15" w:type="dxa"/>
              <w:right w:w="15" w:type="dxa"/>
            </w:tcMar>
            <w:vAlign w:val="bottom"/>
          </w:tcPr>
          <w:p w14:paraId="3DF8D38F" w14:textId="62152DE2" w:rsidR="449377F1" w:rsidRPr="00B00FCB" w:rsidRDefault="449377F1" w:rsidP="47E44940">
            <w:pPr>
              <w:rPr>
                <w:rFonts w:ascii="Verdana" w:eastAsia="Verdana" w:hAnsi="Verdana" w:cs="Verdana"/>
                <w:sz w:val="22"/>
                <w:szCs w:val="22"/>
              </w:rPr>
            </w:pPr>
          </w:p>
        </w:tc>
        <w:tc>
          <w:tcPr>
            <w:tcW w:w="865" w:type="dxa"/>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4DFB8C4B" w14:textId="46DF0485"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221</w:t>
            </w:r>
          </w:p>
        </w:tc>
        <w:tc>
          <w:tcPr>
            <w:tcW w:w="861" w:type="dxa"/>
            <w:tcBorders>
              <w:top w:val="nil"/>
              <w:left w:val="single" w:sz="8"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2B93AFC9" w14:textId="4F0FB2C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475</w:t>
            </w:r>
          </w:p>
        </w:tc>
        <w:tc>
          <w:tcPr>
            <w:tcW w:w="863" w:type="dxa"/>
            <w:tcBorders>
              <w:top w:val="nil"/>
              <w:left w:val="single" w:sz="8"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5BAEA513" w14:textId="30275C2D"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w:t>
            </w:r>
          </w:p>
        </w:tc>
        <w:tc>
          <w:tcPr>
            <w:tcW w:w="870" w:type="dxa"/>
            <w:tcBorders>
              <w:top w:val="single" w:sz="8" w:space="0" w:color="auto"/>
              <w:left w:val="single" w:sz="8" w:space="0" w:color="auto"/>
              <w:bottom w:val="nil"/>
              <w:right w:val="nil"/>
            </w:tcBorders>
            <w:tcMar>
              <w:top w:w="15" w:type="dxa"/>
              <w:left w:w="15" w:type="dxa"/>
              <w:right w:w="15" w:type="dxa"/>
            </w:tcMar>
            <w:vAlign w:val="center"/>
          </w:tcPr>
          <w:p w14:paraId="158843AA" w14:textId="72F19D6F" w:rsidR="449377F1" w:rsidRPr="00B00FCB" w:rsidRDefault="449377F1" w:rsidP="47E44940">
            <w:pPr>
              <w:rPr>
                <w:rFonts w:ascii="Verdana" w:eastAsia="Verdana" w:hAnsi="Verdana" w:cs="Verdana"/>
                <w:sz w:val="22"/>
                <w:szCs w:val="22"/>
              </w:rPr>
            </w:pPr>
          </w:p>
        </w:tc>
        <w:tc>
          <w:tcPr>
            <w:tcW w:w="872" w:type="dxa"/>
            <w:tcBorders>
              <w:top w:val="nil"/>
              <w:left w:val="nil"/>
              <w:bottom w:val="nil"/>
              <w:right w:val="nil"/>
            </w:tcBorders>
            <w:tcMar>
              <w:top w:w="15" w:type="dxa"/>
              <w:left w:w="15" w:type="dxa"/>
              <w:right w:w="15" w:type="dxa"/>
            </w:tcMar>
            <w:vAlign w:val="center"/>
          </w:tcPr>
          <w:p w14:paraId="0B9AF9B1" w14:textId="233FC114" w:rsidR="449377F1" w:rsidRPr="00B00FCB" w:rsidRDefault="449377F1" w:rsidP="47E44940">
            <w:pPr>
              <w:rPr>
                <w:rFonts w:ascii="Verdana" w:eastAsia="Verdana" w:hAnsi="Verdana" w:cs="Verdana"/>
                <w:sz w:val="22"/>
                <w:szCs w:val="22"/>
              </w:rPr>
            </w:pPr>
          </w:p>
        </w:tc>
        <w:tc>
          <w:tcPr>
            <w:tcW w:w="874" w:type="dxa"/>
            <w:tcBorders>
              <w:top w:val="nil"/>
              <w:left w:val="nil"/>
              <w:bottom w:val="nil"/>
              <w:right w:val="nil"/>
            </w:tcBorders>
            <w:tcMar>
              <w:top w:w="15" w:type="dxa"/>
              <w:left w:w="15" w:type="dxa"/>
              <w:right w:w="15" w:type="dxa"/>
            </w:tcMar>
            <w:vAlign w:val="center"/>
          </w:tcPr>
          <w:p w14:paraId="74049C96" w14:textId="16DB21FE" w:rsidR="449377F1" w:rsidRPr="00B00FCB" w:rsidRDefault="449377F1" w:rsidP="47E44940">
            <w:pPr>
              <w:rPr>
                <w:rFonts w:ascii="Verdana" w:eastAsia="Verdana" w:hAnsi="Verdana" w:cs="Verdana"/>
                <w:sz w:val="22"/>
                <w:szCs w:val="22"/>
              </w:rPr>
            </w:pPr>
          </w:p>
        </w:tc>
        <w:tc>
          <w:tcPr>
            <w:tcW w:w="887" w:type="dxa"/>
            <w:tcBorders>
              <w:top w:val="single" w:sz="8" w:space="0" w:color="auto"/>
              <w:left w:val="nil"/>
              <w:bottom w:val="nil"/>
              <w:right w:val="nil"/>
            </w:tcBorders>
            <w:tcMar>
              <w:top w:w="15" w:type="dxa"/>
              <w:left w:w="15" w:type="dxa"/>
              <w:right w:w="15" w:type="dxa"/>
            </w:tcMar>
            <w:vAlign w:val="center"/>
          </w:tcPr>
          <w:p w14:paraId="5A31ED65" w14:textId="67ABEF88" w:rsidR="449377F1" w:rsidRPr="00B00FCB" w:rsidRDefault="449377F1" w:rsidP="47E44940">
            <w:pPr>
              <w:rPr>
                <w:rFonts w:ascii="Verdana" w:eastAsia="Verdana" w:hAnsi="Verdana" w:cs="Verdana"/>
                <w:sz w:val="22"/>
                <w:szCs w:val="22"/>
              </w:rPr>
            </w:pPr>
          </w:p>
        </w:tc>
        <w:tc>
          <w:tcPr>
            <w:tcW w:w="884" w:type="dxa"/>
            <w:tcBorders>
              <w:top w:val="nil"/>
              <w:left w:val="nil"/>
              <w:bottom w:val="nil"/>
              <w:right w:val="nil"/>
            </w:tcBorders>
            <w:tcMar>
              <w:top w:w="15" w:type="dxa"/>
              <w:left w:w="15" w:type="dxa"/>
              <w:right w:w="15" w:type="dxa"/>
            </w:tcMar>
            <w:vAlign w:val="center"/>
          </w:tcPr>
          <w:p w14:paraId="4D432A6F" w14:textId="46326E2C" w:rsidR="449377F1" w:rsidRPr="00B00FCB" w:rsidRDefault="449377F1" w:rsidP="47E44940">
            <w:pPr>
              <w:rPr>
                <w:rFonts w:ascii="Verdana" w:eastAsia="Verdana" w:hAnsi="Verdana" w:cs="Verdana"/>
                <w:sz w:val="22"/>
                <w:szCs w:val="22"/>
              </w:rPr>
            </w:pPr>
          </w:p>
        </w:tc>
        <w:tc>
          <w:tcPr>
            <w:tcW w:w="886" w:type="dxa"/>
            <w:tcBorders>
              <w:top w:val="nil"/>
              <w:left w:val="nil"/>
              <w:bottom w:val="nil"/>
              <w:right w:val="nil"/>
            </w:tcBorders>
            <w:tcMar>
              <w:top w:w="15" w:type="dxa"/>
              <w:left w:w="15" w:type="dxa"/>
              <w:right w:w="15" w:type="dxa"/>
            </w:tcMar>
            <w:vAlign w:val="center"/>
          </w:tcPr>
          <w:p w14:paraId="1F3D36C7" w14:textId="6C59F994" w:rsidR="449377F1" w:rsidRPr="00B00FCB" w:rsidRDefault="449377F1" w:rsidP="47E44940">
            <w:pPr>
              <w:rPr>
                <w:rFonts w:ascii="Verdana" w:eastAsia="Verdana" w:hAnsi="Verdana" w:cs="Verdana"/>
                <w:sz w:val="22"/>
                <w:szCs w:val="22"/>
              </w:rPr>
            </w:pPr>
          </w:p>
        </w:tc>
      </w:tr>
    </w:tbl>
    <w:p w14:paraId="20872A80" w14:textId="7CA32ADF" w:rsidR="449377F1" w:rsidRPr="00B00FCB" w:rsidRDefault="449377F1" w:rsidP="47E44940">
      <w:pPr>
        <w:rPr>
          <w:rFonts w:ascii="Verdana" w:eastAsia="Verdana" w:hAnsi="Verdana" w:cs="Verdana"/>
          <w:sz w:val="22"/>
          <w:szCs w:val="22"/>
        </w:rPr>
      </w:pPr>
    </w:p>
    <w:p w14:paraId="57161A24" w14:textId="7409950C" w:rsidR="416F0340" w:rsidRPr="00B00FCB" w:rsidRDefault="416F0340" w:rsidP="00B00FCB">
      <w:pPr>
        <w:jc w:val="both"/>
        <w:rPr>
          <w:rFonts w:ascii="Verdana" w:eastAsia="Verdana" w:hAnsi="Verdana" w:cs="Verdana"/>
          <w:sz w:val="22"/>
          <w:szCs w:val="22"/>
        </w:rPr>
      </w:pPr>
      <w:r w:rsidRPr="00B00FCB">
        <w:rPr>
          <w:rFonts w:ascii="Verdana" w:eastAsia="Verdana" w:hAnsi="Verdana" w:cs="Verdana"/>
          <w:sz w:val="22"/>
          <w:szCs w:val="22"/>
        </w:rPr>
        <w:t xml:space="preserve">En relación con el </w:t>
      </w:r>
      <w:r w:rsidR="4B929AA1" w:rsidRPr="47E44940">
        <w:rPr>
          <w:rFonts w:ascii="Verdana" w:eastAsia="Verdana" w:hAnsi="Verdana" w:cs="Verdana"/>
          <w:sz w:val="22"/>
          <w:szCs w:val="22"/>
        </w:rPr>
        <w:t>número</w:t>
      </w:r>
      <w:r w:rsidRPr="00B00FCB">
        <w:rPr>
          <w:rFonts w:ascii="Verdana" w:eastAsia="Verdana" w:hAnsi="Verdana" w:cs="Verdana"/>
          <w:sz w:val="22"/>
          <w:szCs w:val="22"/>
        </w:rPr>
        <w:t xml:space="preserve"> de procesos evidenciados y la modalidad de contratación, se hizo una clasificación por montos en SMMLV, a fin de ajustar los valores de los rangos de </w:t>
      </w:r>
      <w:r w:rsidR="4BC9A4C4" w:rsidRPr="47E44940">
        <w:rPr>
          <w:rFonts w:ascii="Verdana" w:eastAsia="Verdana" w:hAnsi="Verdana" w:cs="Verdana"/>
          <w:sz w:val="22"/>
          <w:szCs w:val="22"/>
        </w:rPr>
        <w:t>cuantías</w:t>
      </w:r>
      <w:r w:rsidRPr="00B00FCB">
        <w:rPr>
          <w:rFonts w:ascii="Verdana" w:eastAsia="Verdana" w:hAnsi="Verdana" w:cs="Verdana"/>
          <w:sz w:val="22"/>
          <w:szCs w:val="22"/>
        </w:rPr>
        <w:t xml:space="preserve"> dentro de las matrice</w:t>
      </w:r>
      <w:r w:rsidR="68BAD009" w:rsidRPr="00B00FCB">
        <w:rPr>
          <w:rFonts w:ascii="Verdana" w:eastAsia="Verdana" w:hAnsi="Verdana" w:cs="Verdana"/>
          <w:sz w:val="22"/>
          <w:szCs w:val="22"/>
        </w:rPr>
        <w:t>s de experiencia del sector social.</w:t>
      </w:r>
    </w:p>
    <w:p w14:paraId="70DC91AE" w14:textId="294AF4D4" w:rsidR="47E44940" w:rsidRPr="00B00FCB" w:rsidRDefault="47E44940" w:rsidP="47E44940">
      <w:pPr>
        <w:rPr>
          <w:rFonts w:ascii="Verdana" w:eastAsia="Verdana" w:hAnsi="Verdana" w:cs="Verdana"/>
          <w:sz w:val="22"/>
          <w:szCs w:val="22"/>
        </w:rPr>
      </w:pPr>
    </w:p>
    <w:tbl>
      <w:tblPr>
        <w:tblW w:w="9830" w:type="dxa"/>
        <w:tblLayout w:type="fixed"/>
        <w:tblLook w:val="06A0" w:firstRow="1" w:lastRow="0" w:firstColumn="1" w:lastColumn="0" w:noHBand="1" w:noVBand="1"/>
      </w:tblPr>
      <w:tblGrid>
        <w:gridCol w:w="960"/>
        <w:gridCol w:w="363"/>
        <w:gridCol w:w="711"/>
        <w:gridCol w:w="215"/>
        <w:gridCol w:w="286"/>
        <w:gridCol w:w="836"/>
        <w:gridCol w:w="51"/>
        <w:gridCol w:w="570"/>
        <w:gridCol w:w="589"/>
        <w:gridCol w:w="360"/>
        <w:gridCol w:w="420"/>
        <w:gridCol w:w="350"/>
        <w:gridCol w:w="675"/>
        <w:gridCol w:w="434"/>
        <w:gridCol w:w="116"/>
        <w:gridCol w:w="771"/>
        <w:gridCol w:w="366"/>
        <w:gridCol w:w="147"/>
        <w:gridCol w:w="915"/>
        <w:gridCol w:w="164"/>
        <w:gridCol w:w="531"/>
      </w:tblGrid>
      <w:tr w:rsidR="449377F1" w14:paraId="341BADE2" w14:textId="77777777" w:rsidTr="00B00FCB">
        <w:trPr>
          <w:trHeight w:val="315"/>
        </w:trPr>
        <w:tc>
          <w:tcPr>
            <w:tcW w:w="960" w:type="dxa"/>
            <w:tcBorders>
              <w:top w:val="nil"/>
              <w:left w:val="nil"/>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770C688C" w14:textId="15301ECF" w:rsidR="449377F1" w:rsidRPr="00B00FCB" w:rsidRDefault="449377F1" w:rsidP="47E44940">
            <w:pPr>
              <w:rPr>
                <w:rFonts w:ascii="Verdana" w:eastAsia="Verdana" w:hAnsi="Verdana" w:cs="Verdana"/>
                <w:color w:val="000000" w:themeColor="text1"/>
                <w:sz w:val="18"/>
                <w:szCs w:val="18"/>
              </w:rPr>
            </w:pPr>
          </w:p>
        </w:tc>
        <w:tc>
          <w:tcPr>
            <w:tcW w:w="4401" w:type="dxa"/>
            <w:gridSpan w:val="10"/>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5E57D5DA" w14:textId="4F91E320" w:rsidR="50EEBF7B" w:rsidRPr="00B00FCB" w:rsidRDefault="5072A1C2"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licitación</w:t>
            </w:r>
          </w:p>
        </w:tc>
        <w:tc>
          <w:tcPr>
            <w:tcW w:w="4469" w:type="dxa"/>
            <w:gridSpan w:val="10"/>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10CABE06" w14:textId="11DD488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menor cuantía</w:t>
            </w:r>
          </w:p>
        </w:tc>
      </w:tr>
      <w:tr w:rsidR="449377F1" w14:paraId="6B868F14" w14:textId="77777777" w:rsidTr="00B00FCB">
        <w:trPr>
          <w:trHeight w:val="615"/>
        </w:trPr>
        <w:tc>
          <w:tcPr>
            <w:tcW w:w="96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0F4A6FC9" w14:textId="3DAFD57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millones</w:t>
            </w:r>
          </w:p>
        </w:tc>
        <w:tc>
          <w:tcPr>
            <w:tcW w:w="1074"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650D938A" w14:textId="18CE3EA6"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seguridad</w:t>
            </w:r>
          </w:p>
        </w:tc>
        <w:tc>
          <w:tcPr>
            <w:tcW w:w="501"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54FBE9BD" w14:textId="29626EC2"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c>
          <w:tcPr>
            <w:tcW w:w="887"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1C5B7A16" w14:textId="269FC886"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servicio publico</w:t>
            </w:r>
          </w:p>
        </w:tc>
        <w:tc>
          <w:tcPr>
            <w:tcW w:w="57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4A7ADC69" w14:textId="66F3128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c>
          <w:tcPr>
            <w:tcW w:w="949"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1A92DC7D" w14:textId="4E3B5CD8" w:rsidR="4C07FBC8" w:rsidRPr="00B00FCB" w:rsidRDefault="07453E94"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reclusión</w:t>
            </w:r>
          </w:p>
        </w:tc>
        <w:tc>
          <w:tcPr>
            <w:tcW w:w="42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579F8552" w14:textId="22E0C0C3"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c>
          <w:tcPr>
            <w:tcW w:w="102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417204DC" w14:textId="0BF4648A"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seguridad</w:t>
            </w:r>
          </w:p>
        </w:tc>
        <w:tc>
          <w:tcPr>
            <w:tcW w:w="43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54B36E42" w14:textId="36F71F6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c>
          <w:tcPr>
            <w:tcW w:w="887"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50E39337" w14:textId="3E6C504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servicio publico</w:t>
            </w:r>
          </w:p>
        </w:tc>
        <w:tc>
          <w:tcPr>
            <w:tcW w:w="513"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5F5C3A52" w14:textId="0CE6820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c>
          <w:tcPr>
            <w:tcW w:w="915"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7C885446" w14:textId="01479AC7" w:rsidR="54C0015F" w:rsidRPr="00B00FCB" w:rsidRDefault="0DB7F216"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reclusión</w:t>
            </w:r>
          </w:p>
        </w:tc>
        <w:tc>
          <w:tcPr>
            <w:tcW w:w="69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center"/>
          </w:tcPr>
          <w:p w14:paraId="08FD9822" w14:textId="2815CE0F"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w:t>
            </w:r>
          </w:p>
        </w:tc>
      </w:tr>
      <w:tr w:rsidR="00B00FCB" w14:paraId="65828374" w14:textId="77777777" w:rsidTr="00B00FCB">
        <w:trPr>
          <w:trHeight w:val="300"/>
        </w:trPr>
        <w:tc>
          <w:tcPr>
            <w:tcW w:w="960" w:type="dxa"/>
            <w:tcBorders>
              <w:top w:val="single" w:sz="12" w:space="0" w:color="000000" w:themeColor="text1"/>
              <w:left w:val="single" w:sz="4" w:space="0" w:color="auto"/>
              <w:bottom w:val="single" w:sz="4" w:space="0" w:color="auto"/>
              <w:right w:val="single" w:sz="8" w:space="0" w:color="000000" w:themeColor="text1"/>
            </w:tcBorders>
            <w:tcMar>
              <w:top w:w="15" w:type="dxa"/>
              <w:left w:w="15" w:type="dxa"/>
              <w:right w:w="15" w:type="dxa"/>
            </w:tcMar>
            <w:vAlign w:val="center"/>
          </w:tcPr>
          <w:p w14:paraId="1A43C6ED" w14:textId="20FCA7D9" w:rsidR="449377F1" w:rsidRPr="00B00FCB" w:rsidRDefault="449377F1" w:rsidP="47E44940">
            <w:pPr>
              <w:jc w:val="center"/>
              <w:rPr>
                <w:rFonts w:ascii="Verdana" w:eastAsia="Verdana" w:hAnsi="Verdana" w:cs="Verdana"/>
                <w:b/>
                <w:bCs/>
                <w:color w:val="000000" w:themeColor="text1"/>
                <w:sz w:val="18"/>
                <w:szCs w:val="18"/>
              </w:rPr>
            </w:pPr>
            <w:r w:rsidRPr="00B00FCB">
              <w:rPr>
                <w:rFonts w:ascii="Verdana" w:eastAsia="Verdana" w:hAnsi="Verdana" w:cs="Verdana"/>
                <w:b/>
                <w:bCs/>
                <w:color w:val="000000" w:themeColor="text1"/>
                <w:sz w:val="18"/>
                <w:szCs w:val="18"/>
              </w:rPr>
              <w:t>0 a 300</w:t>
            </w:r>
          </w:p>
        </w:tc>
        <w:tc>
          <w:tcPr>
            <w:tcW w:w="1074" w:type="dxa"/>
            <w:gridSpan w:val="2"/>
            <w:tcBorders>
              <w:top w:val="single" w:sz="12" w:space="0" w:color="000000" w:themeColor="text1"/>
              <w:left w:val="single" w:sz="8"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4B9638D" w14:textId="71CAEE6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w:t>
            </w:r>
          </w:p>
        </w:tc>
        <w:tc>
          <w:tcPr>
            <w:tcW w:w="501" w:type="dxa"/>
            <w:gridSpan w:val="2"/>
            <w:tcBorders>
              <w:top w:val="single" w:sz="12" w:space="0" w:color="000000" w:themeColor="text1"/>
              <w:left w:val="single" w:sz="4" w:space="0" w:color="000000" w:themeColor="text1"/>
              <w:bottom w:val="single" w:sz="4" w:space="0" w:color="000000" w:themeColor="text1"/>
              <w:right w:val="single" w:sz="8" w:space="0" w:color="000000" w:themeColor="text1"/>
            </w:tcBorders>
            <w:tcMar>
              <w:top w:w="15" w:type="dxa"/>
              <w:left w:w="15" w:type="dxa"/>
              <w:right w:w="15" w:type="dxa"/>
            </w:tcMar>
            <w:vAlign w:val="center"/>
          </w:tcPr>
          <w:p w14:paraId="6AED4289" w14:textId="4F8FA6FD"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w:t>
            </w:r>
          </w:p>
        </w:tc>
        <w:tc>
          <w:tcPr>
            <w:tcW w:w="887" w:type="dxa"/>
            <w:gridSpan w:val="2"/>
            <w:tcBorders>
              <w:top w:val="single" w:sz="12" w:space="0" w:color="000000" w:themeColor="text1"/>
              <w:left w:val="single" w:sz="8" w:space="0" w:color="000000" w:themeColor="text1"/>
              <w:bottom w:val="dotted" w:sz="4" w:space="0" w:color="auto"/>
              <w:right w:val="dotted" w:sz="4" w:space="0" w:color="auto"/>
            </w:tcBorders>
            <w:tcMar>
              <w:top w:w="15" w:type="dxa"/>
              <w:left w:w="15" w:type="dxa"/>
              <w:right w:w="15" w:type="dxa"/>
            </w:tcMar>
            <w:vAlign w:val="center"/>
          </w:tcPr>
          <w:p w14:paraId="6282C061" w14:textId="3190B911"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570" w:type="dxa"/>
            <w:tcBorders>
              <w:top w:val="single" w:sz="12" w:space="0" w:color="000000" w:themeColor="text1"/>
              <w:left w:val="dotted" w:sz="4" w:space="0" w:color="auto"/>
              <w:bottom w:val="dotted" w:sz="4" w:space="0" w:color="auto"/>
              <w:right w:val="single" w:sz="8" w:space="0" w:color="auto"/>
            </w:tcBorders>
            <w:tcMar>
              <w:top w:w="15" w:type="dxa"/>
              <w:left w:w="15" w:type="dxa"/>
              <w:right w:w="15" w:type="dxa"/>
            </w:tcMar>
            <w:vAlign w:val="center"/>
          </w:tcPr>
          <w:p w14:paraId="3E0B1922" w14:textId="49DD58F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949" w:type="dxa"/>
            <w:gridSpan w:val="2"/>
            <w:tcBorders>
              <w:top w:val="single" w:sz="12" w:space="0" w:color="000000" w:themeColor="text1"/>
              <w:left w:val="single" w:sz="8" w:space="0" w:color="auto"/>
              <w:bottom w:val="dotted" w:sz="4" w:space="0" w:color="auto"/>
              <w:right w:val="dotted" w:sz="4" w:space="0" w:color="auto"/>
            </w:tcBorders>
            <w:tcMar>
              <w:top w:w="15" w:type="dxa"/>
              <w:left w:w="15" w:type="dxa"/>
              <w:right w:w="15" w:type="dxa"/>
            </w:tcMar>
            <w:vAlign w:val="center"/>
          </w:tcPr>
          <w:p w14:paraId="062DE155" w14:textId="6A7E279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420" w:type="dxa"/>
            <w:tcBorders>
              <w:top w:val="single" w:sz="12" w:space="0" w:color="000000" w:themeColor="text1"/>
              <w:left w:val="dotted" w:sz="4" w:space="0" w:color="auto"/>
              <w:bottom w:val="dotted" w:sz="4" w:space="0" w:color="auto"/>
              <w:right w:val="single" w:sz="8" w:space="0" w:color="auto"/>
            </w:tcBorders>
            <w:tcMar>
              <w:top w:w="15" w:type="dxa"/>
              <w:left w:w="15" w:type="dxa"/>
              <w:right w:w="15" w:type="dxa"/>
            </w:tcMar>
            <w:vAlign w:val="center"/>
          </w:tcPr>
          <w:p w14:paraId="7E34AEEB" w14:textId="3602B729"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1025" w:type="dxa"/>
            <w:gridSpan w:val="2"/>
            <w:tcBorders>
              <w:top w:val="single" w:sz="12" w:space="0" w:color="000000" w:themeColor="text1"/>
              <w:left w:val="single" w:sz="8" w:space="0" w:color="auto"/>
              <w:bottom w:val="dotted" w:sz="4" w:space="0" w:color="auto"/>
              <w:right w:val="dotted" w:sz="4" w:space="0" w:color="auto"/>
            </w:tcBorders>
            <w:tcMar>
              <w:top w:w="15" w:type="dxa"/>
              <w:left w:w="15" w:type="dxa"/>
              <w:right w:w="15" w:type="dxa"/>
            </w:tcMar>
            <w:vAlign w:val="center"/>
          </w:tcPr>
          <w:p w14:paraId="092557E9" w14:textId="5329E276"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119</w:t>
            </w:r>
          </w:p>
        </w:tc>
        <w:tc>
          <w:tcPr>
            <w:tcW w:w="434" w:type="dxa"/>
            <w:tcBorders>
              <w:top w:val="single" w:sz="12" w:space="0" w:color="000000" w:themeColor="text1"/>
              <w:left w:val="dotted" w:sz="4" w:space="0" w:color="auto"/>
              <w:bottom w:val="dotted" w:sz="4" w:space="0" w:color="auto"/>
              <w:right w:val="single" w:sz="8" w:space="0" w:color="auto"/>
            </w:tcBorders>
            <w:tcMar>
              <w:top w:w="15" w:type="dxa"/>
              <w:left w:w="15" w:type="dxa"/>
              <w:right w:w="15" w:type="dxa"/>
            </w:tcMar>
            <w:vAlign w:val="center"/>
          </w:tcPr>
          <w:p w14:paraId="07B51959" w14:textId="3F4A564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31%</w:t>
            </w:r>
          </w:p>
        </w:tc>
        <w:tc>
          <w:tcPr>
            <w:tcW w:w="887" w:type="dxa"/>
            <w:gridSpan w:val="2"/>
            <w:tcBorders>
              <w:top w:val="single" w:sz="12" w:space="0" w:color="000000" w:themeColor="text1"/>
              <w:left w:val="single" w:sz="8" w:space="0" w:color="auto"/>
              <w:bottom w:val="dotted" w:sz="4" w:space="0" w:color="auto"/>
              <w:right w:val="dotted" w:sz="4" w:space="0" w:color="auto"/>
            </w:tcBorders>
            <w:tcMar>
              <w:top w:w="15" w:type="dxa"/>
              <w:left w:w="15" w:type="dxa"/>
              <w:right w:w="15" w:type="dxa"/>
            </w:tcMar>
            <w:vAlign w:val="center"/>
          </w:tcPr>
          <w:p w14:paraId="647E58CB" w14:textId="0CF5F9F2"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24</w:t>
            </w:r>
          </w:p>
        </w:tc>
        <w:tc>
          <w:tcPr>
            <w:tcW w:w="513" w:type="dxa"/>
            <w:gridSpan w:val="2"/>
            <w:tcBorders>
              <w:top w:val="single" w:sz="12" w:space="0" w:color="000000" w:themeColor="text1"/>
              <w:left w:val="dotted" w:sz="4" w:space="0" w:color="auto"/>
              <w:bottom w:val="dotted" w:sz="4" w:space="0" w:color="auto"/>
              <w:right w:val="single" w:sz="8" w:space="0" w:color="auto"/>
            </w:tcBorders>
            <w:tcMar>
              <w:top w:w="15" w:type="dxa"/>
              <w:left w:w="15" w:type="dxa"/>
              <w:right w:w="15" w:type="dxa"/>
            </w:tcMar>
            <w:vAlign w:val="center"/>
          </w:tcPr>
          <w:p w14:paraId="7DCE73D5" w14:textId="3A37AA4A"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34%</w:t>
            </w:r>
          </w:p>
        </w:tc>
        <w:tc>
          <w:tcPr>
            <w:tcW w:w="915" w:type="dxa"/>
            <w:tcBorders>
              <w:top w:val="single" w:sz="12" w:space="0" w:color="000000" w:themeColor="text1"/>
              <w:left w:val="single" w:sz="8" w:space="0" w:color="auto"/>
              <w:bottom w:val="dotted" w:sz="4" w:space="0" w:color="auto"/>
              <w:right w:val="dotted" w:sz="4" w:space="0" w:color="auto"/>
            </w:tcBorders>
            <w:tcMar>
              <w:top w:w="15" w:type="dxa"/>
              <w:left w:w="15" w:type="dxa"/>
              <w:right w:w="15" w:type="dxa"/>
            </w:tcMar>
            <w:vAlign w:val="center"/>
          </w:tcPr>
          <w:p w14:paraId="3172F49B" w14:textId="3A5FB34C"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5</w:t>
            </w:r>
          </w:p>
        </w:tc>
        <w:tc>
          <w:tcPr>
            <w:tcW w:w="695" w:type="dxa"/>
            <w:gridSpan w:val="2"/>
            <w:tcBorders>
              <w:top w:val="single" w:sz="12" w:space="0" w:color="000000" w:themeColor="text1"/>
              <w:left w:val="dotted" w:sz="4" w:space="0" w:color="auto"/>
              <w:bottom w:val="dotted" w:sz="4" w:space="0" w:color="auto"/>
              <w:right w:val="single" w:sz="8" w:space="0" w:color="auto"/>
            </w:tcBorders>
            <w:tcMar>
              <w:top w:w="15" w:type="dxa"/>
              <w:left w:w="15" w:type="dxa"/>
              <w:right w:w="15" w:type="dxa"/>
            </w:tcMar>
            <w:vAlign w:val="center"/>
          </w:tcPr>
          <w:p w14:paraId="393F230F" w14:textId="0046E0DC"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21%</w:t>
            </w:r>
          </w:p>
        </w:tc>
      </w:tr>
      <w:tr w:rsidR="449377F1" w14:paraId="71C597FF" w14:textId="77777777" w:rsidTr="00B00FCB">
        <w:trPr>
          <w:trHeight w:val="300"/>
        </w:trPr>
        <w:tc>
          <w:tcPr>
            <w:tcW w:w="960"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4A45B392" w14:textId="67517994" w:rsidR="449377F1" w:rsidRPr="00B00FCB" w:rsidRDefault="449377F1" w:rsidP="47E44940">
            <w:pPr>
              <w:jc w:val="center"/>
              <w:rPr>
                <w:rFonts w:ascii="Verdana" w:eastAsia="Verdana" w:hAnsi="Verdana" w:cs="Verdana"/>
                <w:b/>
                <w:bCs/>
                <w:color w:val="000000" w:themeColor="text1"/>
                <w:sz w:val="18"/>
                <w:szCs w:val="18"/>
              </w:rPr>
            </w:pPr>
            <w:r w:rsidRPr="00B00FCB">
              <w:rPr>
                <w:rFonts w:ascii="Verdana" w:eastAsia="Verdana" w:hAnsi="Verdana" w:cs="Verdana"/>
                <w:b/>
                <w:bCs/>
                <w:color w:val="000000" w:themeColor="text1"/>
                <w:sz w:val="18"/>
                <w:szCs w:val="18"/>
              </w:rPr>
              <w:t>301 a 800</w:t>
            </w:r>
          </w:p>
        </w:tc>
        <w:tc>
          <w:tcPr>
            <w:tcW w:w="1074" w:type="dxa"/>
            <w:gridSpan w:val="2"/>
            <w:tcBorders>
              <w:top w:val="single" w:sz="4" w:space="0" w:color="000000" w:themeColor="text1"/>
              <w:left w:val="single" w:sz="8"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95CA04" w14:textId="05F51D2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17</w:t>
            </w:r>
          </w:p>
        </w:tc>
        <w:tc>
          <w:tcPr>
            <w:tcW w:w="501" w:type="dxa"/>
            <w:gridSpan w:val="2"/>
            <w:tcBorders>
              <w:top w:val="single" w:sz="4" w:space="0" w:color="000000" w:themeColor="text1"/>
              <w:left w:val="single" w:sz="4" w:space="0" w:color="000000" w:themeColor="text1"/>
              <w:bottom w:val="single" w:sz="4" w:space="0" w:color="000000" w:themeColor="text1"/>
              <w:right w:val="single" w:sz="8" w:space="0" w:color="000000" w:themeColor="text1"/>
            </w:tcBorders>
            <w:tcMar>
              <w:top w:w="15" w:type="dxa"/>
              <w:left w:w="15" w:type="dxa"/>
              <w:right w:w="15" w:type="dxa"/>
            </w:tcMar>
            <w:vAlign w:val="center"/>
          </w:tcPr>
          <w:p w14:paraId="35D60629" w14:textId="617B4F85"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13%</w:t>
            </w:r>
          </w:p>
        </w:tc>
        <w:tc>
          <w:tcPr>
            <w:tcW w:w="887" w:type="dxa"/>
            <w:gridSpan w:val="2"/>
            <w:tcBorders>
              <w:top w:val="dotted" w:sz="4" w:space="0" w:color="auto"/>
              <w:left w:val="single" w:sz="8" w:space="0" w:color="000000" w:themeColor="text1"/>
              <w:bottom w:val="dotted" w:sz="4" w:space="0" w:color="auto"/>
              <w:right w:val="dotted" w:sz="4" w:space="0" w:color="auto"/>
            </w:tcBorders>
            <w:tcMar>
              <w:top w:w="15" w:type="dxa"/>
              <w:left w:w="15" w:type="dxa"/>
              <w:right w:w="15" w:type="dxa"/>
            </w:tcMar>
            <w:vAlign w:val="center"/>
          </w:tcPr>
          <w:p w14:paraId="7EA87A94" w14:textId="72201B1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w:t>
            </w:r>
          </w:p>
        </w:tc>
        <w:tc>
          <w:tcPr>
            <w:tcW w:w="57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6716752B" w14:textId="4B648CA9"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w:t>
            </w:r>
          </w:p>
        </w:tc>
        <w:tc>
          <w:tcPr>
            <w:tcW w:w="949"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03ED8C44" w14:textId="7438A59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42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754BFE1B" w14:textId="3877A3CF"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1025"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2DFB1709" w14:textId="59DBD78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120</w:t>
            </w:r>
          </w:p>
        </w:tc>
        <w:tc>
          <w:tcPr>
            <w:tcW w:w="434"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2594F61D" w14:textId="152794E5"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31%</w:t>
            </w:r>
          </w:p>
        </w:tc>
        <w:tc>
          <w:tcPr>
            <w:tcW w:w="887"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6EE7FEC7" w14:textId="0C763616"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26</w:t>
            </w:r>
          </w:p>
        </w:tc>
        <w:tc>
          <w:tcPr>
            <w:tcW w:w="513"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61EB1AE8" w14:textId="3F8520DC"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37%</w:t>
            </w:r>
          </w:p>
        </w:tc>
        <w:tc>
          <w:tcPr>
            <w:tcW w:w="915" w:type="dxa"/>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715539CC" w14:textId="3ABAB9FA"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9</w:t>
            </w:r>
          </w:p>
        </w:tc>
        <w:tc>
          <w:tcPr>
            <w:tcW w:w="695"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4C1BFB3B" w14:textId="684A9B3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38%</w:t>
            </w:r>
          </w:p>
        </w:tc>
      </w:tr>
      <w:tr w:rsidR="449377F1" w14:paraId="50975389" w14:textId="77777777" w:rsidTr="00B00FCB">
        <w:trPr>
          <w:trHeight w:val="300"/>
        </w:trPr>
        <w:tc>
          <w:tcPr>
            <w:tcW w:w="960"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240E1323" w14:textId="351BAD49" w:rsidR="449377F1" w:rsidRPr="00B00FCB" w:rsidRDefault="449377F1" w:rsidP="47E44940">
            <w:pPr>
              <w:jc w:val="center"/>
              <w:rPr>
                <w:rFonts w:ascii="Verdana" w:eastAsia="Verdana" w:hAnsi="Verdana" w:cs="Verdana"/>
                <w:b/>
                <w:bCs/>
                <w:color w:val="000000" w:themeColor="text1"/>
                <w:sz w:val="18"/>
                <w:szCs w:val="18"/>
              </w:rPr>
            </w:pPr>
            <w:r w:rsidRPr="00B00FCB">
              <w:rPr>
                <w:rFonts w:ascii="Verdana" w:eastAsia="Verdana" w:hAnsi="Verdana" w:cs="Verdana"/>
                <w:b/>
                <w:bCs/>
                <w:color w:val="000000" w:themeColor="text1"/>
                <w:sz w:val="18"/>
                <w:szCs w:val="18"/>
              </w:rPr>
              <w:t>801 a 1500</w:t>
            </w:r>
          </w:p>
        </w:tc>
        <w:tc>
          <w:tcPr>
            <w:tcW w:w="1074" w:type="dxa"/>
            <w:gridSpan w:val="2"/>
            <w:tcBorders>
              <w:top w:val="single" w:sz="4" w:space="0" w:color="000000" w:themeColor="text1"/>
              <w:left w:val="single" w:sz="8"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09EAC44" w14:textId="6F6BAD5A"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20</w:t>
            </w:r>
          </w:p>
        </w:tc>
        <w:tc>
          <w:tcPr>
            <w:tcW w:w="501" w:type="dxa"/>
            <w:gridSpan w:val="2"/>
            <w:tcBorders>
              <w:top w:val="single" w:sz="4" w:space="0" w:color="000000" w:themeColor="text1"/>
              <w:left w:val="single" w:sz="4" w:space="0" w:color="000000" w:themeColor="text1"/>
              <w:bottom w:val="single" w:sz="4" w:space="0" w:color="000000" w:themeColor="text1"/>
              <w:right w:val="single" w:sz="8" w:space="0" w:color="000000" w:themeColor="text1"/>
            </w:tcBorders>
            <w:tcMar>
              <w:top w:w="15" w:type="dxa"/>
              <w:left w:w="15" w:type="dxa"/>
              <w:right w:w="15" w:type="dxa"/>
            </w:tcMar>
            <w:vAlign w:val="center"/>
          </w:tcPr>
          <w:p w14:paraId="7E298138" w14:textId="36A68F3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15%</w:t>
            </w:r>
          </w:p>
        </w:tc>
        <w:tc>
          <w:tcPr>
            <w:tcW w:w="887" w:type="dxa"/>
            <w:gridSpan w:val="2"/>
            <w:tcBorders>
              <w:top w:val="dotted" w:sz="4" w:space="0" w:color="auto"/>
              <w:left w:val="single" w:sz="8" w:space="0" w:color="000000" w:themeColor="text1"/>
              <w:bottom w:val="dotted" w:sz="4" w:space="0" w:color="auto"/>
              <w:right w:val="dotted" w:sz="4" w:space="0" w:color="auto"/>
            </w:tcBorders>
            <w:tcMar>
              <w:top w:w="15" w:type="dxa"/>
              <w:left w:w="15" w:type="dxa"/>
              <w:right w:w="15" w:type="dxa"/>
            </w:tcMar>
            <w:vAlign w:val="center"/>
          </w:tcPr>
          <w:p w14:paraId="11630B83" w14:textId="7945A7B3"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6</w:t>
            </w:r>
          </w:p>
        </w:tc>
        <w:tc>
          <w:tcPr>
            <w:tcW w:w="57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50CC9A36" w14:textId="019874D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10%</w:t>
            </w:r>
          </w:p>
        </w:tc>
        <w:tc>
          <w:tcPr>
            <w:tcW w:w="949"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5538C99F" w14:textId="2B12EF0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7</w:t>
            </w:r>
          </w:p>
        </w:tc>
        <w:tc>
          <w:tcPr>
            <w:tcW w:w="42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256A1BE1" w14:textId="252FB013"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24%</w:t>
            </w:r>
          </w:p>
        </w:tc>
        <w:tc>
          <w:tcPr>
            <w:tcW w:w="1025"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16524609" w14:textId="028547E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81</w:t>
            </w:r>
          </w:p>
        </w:tc>
        <w:tc>
          <w:tcPr>
            <w:tcW w:w="434"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2D8F6B00" w14:textId="14E5760B"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21%</w:t>
            </w:r>
          </w:p>
        </w:tc>
        <w:tc>
          <w:tcPr>
            <w:tcW w:w="887"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3169612C" w14:textId="55196966"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15</w:t>
            </w:r>
          </w:p>
        </w:tc>
        <w:tc>
          <w:tcPr>
            <w:tcW w:w="513"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277092C3" w14:textId="1B3B164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21%</w:t>
            </w:r>
          </w:p>
        </w:tc>
        <w:tc>
          <w:tcPr>
            <w:tcW w:w="915" w:type="dxa"/>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36EF9607" w14:textId="4B120755"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10</w:t>
            </w:r>
          </w:p>
        </w:tc>
        <w:tc>
          <w:tcPr>
            <w:tcW w:w="695"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699D306E" w14:textId="7DF7EA8D"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42%</w:t>
            </w:r>
          </w:p>
        </w:tc>
      </w:tr>
      <w:tr w:rsidR="449377F1" w14:paraId="4D651DD8" w14:textId="77777777" w:rsidTr="00B00FCB">
        <w:trPr>
          <w:trHeight w:val="300"/>
        </w:trPr>
        <w:tc>
          <w:tcPr>
            <w:tcW w:w="960" w:type="dxa"/>
            <w:tcBorders>
              <w:top w:val="single" w:sz="4" w:space="0" w:color="auto"/>
              <w:left w:val="single" w:sz="4" w:space="0" w:color="auto"/>
              <w:bottom w:val="single" w:sz="4" w:space="0" w:color="auto"/>
              <w:right w:val="single" w:sz="8" w:space="0" w:color="000000" w:themeColor="text1"/>
            </w:tcBorders>
            <w:tcMar>
              <w:top w:w="15" w:type="dxa"/>
              <w:left w:w="15" w:type="dxa"/>
              <w:right w:w="15" w:type="dxa"/>
            </w:tcMar>
            <w:vAlign w:val="center"/>
          </w:tcPr>
          <w:p w14:paraId="14D2B17B" w14:textId="59C95A07" w:rsidR="449377F1" w:rsidRPr="00B00FCB" w:rsidRDefault="449377F1" w:rsidP="47E44940">
            <w:pPr>
              <w:jc w:val="center"/>
              <w:rPr>
                <w:rFonts w:ascii="Verdana" w:eastAsia="Verdana" w:hAnsi="Verdana" w:cs="Verdana"/>
                <w:b/>
                <w:bCs/>
                <w:color w:val="000000" w:themeColor="text1"/>
                <w:sz w:val="18"/>
                <w:szCs w:val="18"/>
              </w:rPr>
            </w:pPr>
            <w:r w:rsidRPr="00B00FCB">
              <w:rPr>
                <w:rFonts w:ascii="Verdana" w:eastAsia="Verdana" w:hAnsi="Verdana" w:cs="Verdana"/>
                <w:b/>
                <w:bCs/>
                <w:color w:val="000000" w:themeColor="text1"/>
                <w:sz w:val="18"/>
                <w:szCs w:val="18"/>
              </w:rPr>
              <w:t>1501 a 400</w:t>
            </w:r>
          </w:p>
        </w:tc>
        <w:tc>
          <w:tcPr>
            <w:tcW w:w="1074" w:type="dxa"/>
            <w:gridSpan w:val="2"/>
            <w:tcBorders>
              <w:top w:val="single" w:sz="4" w:space="0" w:color="000000" w:themeColor="text1"/>
              <w:left w:val="single" w:sz="8"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A660177" w14:textId="02B0CD6D"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59</w:t>
            </w:r>
          </w:p>
        </w:tc>
        <w:tc>
          <w:tcPr>
            <w:tcW w:w="501" w:type="dxa"/>
            <w:gridSpan w:val="2"/>
            <w:tcBorders>
              <w:top w:val="single" w:sz="4" w:space="0" w:color="000000" w:themeColor="text1"/>
              <w:left w:val="single" w:sz="4" w:space="0" w:color="000000" w:themeColor="text1"/>
              <w:bottom w:val="single" w:sz="4" w:space="0" w:color="000000" w:themeColor="text1"/>
              <w:right w:val="single" w:sz="8" w:space="0" w:color="000000" w:themeColor="text1"/>
            </w:tcBorders>
            <w:tcMar>
              <w:top w:w="15" w:type="dxa"/>
              <w:left w:w="15" w:type="dxa"/>
              <w:right w:w="15" w:type="dxa"/>
            </w:tcMar>
            <w:vAlign w:val="center"/>
          </w:tcPr>
          <w:p w14:paraId="42DC7E96" w14:textId="19E1A95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45%</w:t>
            </w:r>
          </w:p>
        </w:tc>
        <w:tc>
          <w:tcPr>
            <w:tcW w:w="887" w:type="dxa"/>
            <w:gridSpan w:val="2"/>
            <w:tcBorders>
              <w:top w:val="dotted" w:sz="4" w:space="0" w:color="auto"/>
              <w:left w:val="single" w:sz="8" w:space="0" w:color="000000" w:themeColor="text1"/>
              <w:bottom w:val="dotted" w:sz="4" w:space="0" w:color="auto"/>
              <w:right w:val="dotted" w:sz="4" w:space="0" w:color="auto"/>
            </w:tcBorders>
            <w:tcMar>
              <w:top w:w="15" w:type="dxa"/>
              <w:left w:w="15" w:type="dxa"/>
              <w:right w:w="15" w:type="dxa"/>
            </w:tcMar>
            <w:vAlign w:val="center"/>
          </w:tcPr>
          <w:p w14:paraId="7133F897" w14:textId="3A8E5EE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21</w:t>
            </w:r>
          </w:p>
        </w:tc>
        <w:tc>
          <w:tcPr>
            <w:tcW w:w="57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54D91435" w14:textId="11F50B80"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35%</w:t>
            </w:r>
          </w:p>
        </w:tc>
        <w:tc>
          <w:tcPr>
            <w:tcW w:w="949"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3B6468BA" w14:textId="2DFFA894"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5</w:t>
            </w:r>
          </w:p>
        </w:tc>
        <w:tc>
          <w:tcPr>
            <w:tcW w:w="420"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3F550219" w14:textId="7590F84C"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17%</w:t>
            </w:r>
          </w:p>
        </w:tc>
        <w:tc>
          <w:tcPr>
            <w:tcW w:w="1025"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32A70752" w14:textId="6B40D1DB"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40</w:t>
            </w:r>
          </w:p>
        </w:tc>
        <w:tc>
          <w:tcPr>
            <w:tcW w:w="434" w:type="dxa"/>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6E049DAA" w14:textId="4D57BE23"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10%</w:t>
            </w:r>
          </w:p>
        </w:tc>
        <w:tc>
          <w:tcPr>
            <w:tcW w:w="887" w:type="dxa"/>
            <w:gridSpan w:val="2"/>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52C765BD" w14:textId="0FA42E1E"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4</w:t>
            </w:r>
          </w:p>
        </w:tc>
        <w:tc>
          <w:tcPr>
            <w:tcW w:w="513"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2DF468FE" w14:textId="3EF10D5F"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6%</w:t>
            </w:r>
          </w:p>
        </w:tc>
        <w:tc>
          <w:tcPr>
            <w:tcW w:w="915" w:type="dxa"/>
            <w:tcBorders>
              <w:top w:val="dotted" w:sz="4" w:space="0" w:color="auto"/>
              <w:left w:val="single" w:sz="8" w:space="0" w:color="auto"/>
              <w:bottom w:val="dotted" w:sz="4" w:space="0" w:color="auto"/>
              <w:right w:val="dotted" w:sz="4" w:space="0" w:color="auto"/>
            </w:tcBorders>
            <w:tcMar>
              <w:top w:w="15" w:type="dxa"/>
              <w:left w:w="15" w:type="dxa"/>
              <w:right w:w="15" w:type="dxa"/>
            </w:tcMar>
            <w:vAlign w:val="center"/>
          </w:tcPr>
          <w:p w14:paraId="22EE7713" w14:textId="1D576A25"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695" w:type="dxa"/>
            <w:gridSpan w:val="2"/>
            <w:tcBorders>
              <w:top w:val="dotted" w:sz="4" w:space="0" w:color="auto"/>
              <w:left w:val="dotted" w:sz="4" w:space="0" w:color="auto"/>
              <w:bottom w:val="dotted" w:sz="4" w:space="0" w:color="auto"/>
              <w:right w:val="single" w:sz="8" w:space="0" w:color="auto"/>
            </w:tcBorders>
            <w:tcMar>
              <w:top w:w="15" w:type="dxa"/>
              <w:left w:w="15" w:type="dxa"/>
              <w:right w:w="15" w:type="dxa"/>
            </w:tcMar>
            <w:vAlign w:val="center"/>
          </w:tcPr>
          <w:p w14:paraId="7EDBABD3" w14:textId="11ABE211"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r>
      <w:tr w:rsidR="00D74D4E" w14:paraId="7C1D69C3" w14:textId="77777777" w:rsidTr="47E44940">
        <w:trPr>
          <w:trHeight w:val="315"/>
        </w:trPr>
        <w:tc>
          <w:tcPr>
            <w:tcW w:w="960" w:type="dxa"/>
            <w:tcBorders>
              <w:top w:val="single" w:sz="4" w:space="0" w:color="auto"/>
              <w:left w:val="single" w:sz="4" w:space="0" w:color="auto"/>
              <w:bottom w:val="single" w:sz="8" w:space="0" w:color="auto"/>
              <w:right w:val="single" w:sz="8" w:space="0" w:color="000000" w:themeColor="text1"/>
            </w:tcBorders>
            <w:tcMar>
              <w:top w:w="15" w:type="dxa"/>
              <w:left w:w="15" w:type="dxa"/>
              <w:right w:w="15" w:type="dxa"/>
            </w:tcMar>
            <w:vAlign w:val="center"/>
          </w:tcPr>
          <w:p w14:paraId="0B7FF3C4" w14:textId="3DF421A3" w:rsidR="449377F1" w:rsidRPr="00B00FCB" w:rsidRDefault="449377F1" w:rsidP="47E44940">
            <w:pPr>
              <w:jc w:val="center"/>
              <w:rPr>
                <w:rFonts w:ascii="Verdana" w:eastAsia="Verdana" w:hAnsi="Verdana" w:cs="Verdana"/>
                <w:b/>
                <w:bCs/>
                <w:color w:val="000000" w:themeColor="text1"/>
                <w:sz w:val="18"/>
                <w:szCs w:val="18"/>
              </w:rPr>
            </w:pPr>
            <w:r w:rsidRPr="00B00FCB">
              <w:rPr>
                <w:rFonts w:ascii="Verdana" w:eastAsia="Verdana" w:hAnsi="Verdana" w:cs="Verdana"/>
                <w:b/>
                <w:bCs/>
                <w:color w:val="000000" w:themeColor="text1"/>
                <w:sz w:val="18"/>
                <w:szCs w:val="18"/>
              </w:rPr>
              <w:t>mas de 4000</w:t>
            </w:r>
          </w:p>
        </w:tc>
        <w:tc>
          <w:tcPr>
            <w:tcW w:w="1074" w:type="dxa"/>
            <w:gridSpan w:val="2"/>
            <w:tcBorders>
              <w:top w:val="single" w:sz="4"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vAlign w:val="center"/>
          </w:tcPr>
          <w:p w14:paraId="548CAF7E" w14:textId="0288542C"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33</w:t>
            </w:r>
          </w:p>
        </w:tc>
        <w:tc>
          <w:tcPr>
            <w:tcW w:w="501" w:type="dxa"/>
            <w:gridSpan w:val="2"/>
            <w:tcBorders>
              <w:top w:val="single" w:sz="4"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vAlign w:val="center"/>
          </w:tcPr>
          <w:p w14:paraId="4C59753C" w14:textId="67594DD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25%</w:t>
            </w:r>
          </w:p>
        </w:tc>
        <w:tc>
          <w:tcPr>
            <w:tcW w:w="887" w:type="dxa"/>
            <w:gridSpan w:val="2"/>
            <w:tcBorders>
              <w:top w:val="dotted" w:sz="4" w:space="0" w:color="auto"/>
              <w:left w:val="single" w:sz="8" w:space="0" w:color="000000" w:themeColor="text1"/>
              <w:bottom w:val="single" w:sz="8" w:space="0" w:color="auto"/>
              <w:right w:val="dotted" w:sz="4" w:space="0" w:color="auto"/>
            </w:tcBorders>
            <w:tcMar>
              <w:top w:w="15" w:type="dxa"/>
              <w:left w:w="15" w:type="dxa"/>
              <w:right w:w="15" w:type="dxa"/>
            </w:tcMar>
            <w:vAlign w:val="center"/>
          </w:tcPr>
          <w:p w14:paraId="6B84FEA1" w14:textId="7F705ABD"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31</w:t>
            </w:r>
          </w:p>
        </w:tc>
        <w:tc>
          <w:tcPr>
            <w:tcW w:w="570" w:type="dxa"/>
            <w:tcBorders>
              <w:top w:val="dotted" w:sz="4" w:space="0" w:color="auto"/>
              <w:left w:val="dotted" w:sz="4" w:space="0" w:color="auto"/>
              <w:bottom w:val="single" w:sz="8" w:space="0" w:color="auto"/>
              <w:right w:val="single" w:sz="8" w:space="0" w:color="auto"/>
            </w:tcBorders>
            <w:tcMar>
              <w:top w:w="15" w:type="dxa"/>
              <w:left w:w="15" w:type="dxa"/>
              <w:right w:w="15" w:type="dxa"/>
            </w:tcMar>
            <w:vAlign w:val="center"/>
          </w:tcPr>
          <w:p w14:paraId="38046EF2" w14:textId="1150EADF"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52%</w:t>
            </w:r>
          </w:p>
        </w:tc>
        <w:tc>
          <w:tcPr>
            <w:tcW w:w="949" w:type="dxa"/>
            <w:gridSpan w:val="2"/>
            <w:tcBorders>
              <w:top w:val="dotted" w:sz="4" w:space="0" w:color="auto"/>
              <w:left w:val="single" w:sz="8" w:space="0" w:color="auto"/>
              <w:bottom w:val="single" w:sz="8" w:space="0" w:color="auto"/>
              <w:right w:val="dotted" w:sz="4" w:space="0" w:color="auto"/>
            </w:tcBorders>
            <w:tcMar>
              <w:top w:w="15" w:type="dxa"/>
              <w:left w:w="15" w:type="dxa"/>
              <w:right w:w="15" w:type="dxa"/>
            </w:tcMar>
            <w:vAlign w:val="center"/>
          </w:tcPr>
          <w:p w14:paraId="610437C9" w14:textId="3B2E1E77"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17</w:t>
            </w:r>
          </w:p>
        </w:tc>
        <w:tc>
          <w:tcPr>
            <w:tcW w:w="420" w:type="dxa"/>
            <w:tcBorders>
              <w:top w:val="dotted" w:sz="4" w:space="0" w:color="auto"/>
              <w:left w:val="dotted" w:sz="4" w:space="0" w:color="auto"/>
              <w:bottom w:val="single" w:sz="8" w:space="0" w:color="auto"/>
              <w:right w:val="single" w:sz="8" w:space="0" w:color="auto"/>
            </w:tcBorders>
            <w:tcMar>
              <w:top w:w="15" w:type="dxa"/>
              <w:left w:w="15" w:type="dxa"/>
              <w:right w:w="15" w:type="dxa"/>
            </w:tcMar>
            <w:vAlign w:val="center"/>
          </w:tcPr>
          <w:p w14:paraId="04D33977" w14:textId="23A6D302"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59%</w:t>
            </w:r>
          </w:p>
        </w:tc>
        <w:tc>
          <w:tcPr>
            <w:tcW w:w="1025" w:type="dxa"/>
            <w:gridSpan w:val="2"/>
            <w:tcBorders>
              <w:top w:val="dotted" w:sz="4" w:space="0" w:color="auto"/>
              <w:left w:val="single" w:sz="8" w:space="0" w:color="auto"/>
              <w:bottom w:val="single" w:sz="8" w:space="0" w:color="auto"/>
              <w:right w:val="dotted" w:sz="4" w:space="0" w:color="auto"/>
            </w:tcBorders>
            <w:tcMar>
              <w:top w:w="15" w:type="dxa"/>
              <w:left w:w="15" w:type="dxa"/>
              <w:right w:w="15" w:type="dxa"/>
            </w:tcMar>
            <w:vAlign w:val="center"/>
          </w:tcPr>
          <w:p w14:paraId="02DF702E" w14:textId="61D511B1"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21</w:t>
            </w:r>
          </w:p>
        </w:tc>
        <w:tc>
          <w:tcPr>
            <w:tcW w:w="434" w:type="dxa"/>
            <w:tcBorders>
              <w:top w:val="dotted" w:sz="4" w:space="0" w:color="auto"/>
              <w:left w:val="dotted" w:sz="4" w:space="0" w:color="auto"/>
              <w:bottom w:val="single" w:sz="8" w:space="0" w:color="auto"/>
              <w:right w:val="single" w:sz="8" w:space="0" w:color="auto"/>
            </w:tcBorders>
            <w:tcMar>
              <w:top w:w="15" w:type="dxa"/>
              <w:left w:w="15" w:type="dxa"/>
              <w:right w:w="15" w:type="dxa"/>
            </w:tcMar>
            <w:vAlign w:val="center"/>
          </w:tcPr>
          <w:p w14:paraId="66077273" w14:textId="6163236D"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6%</w:t>
            </w:r>
          </w:p>
        </w:tc>
        <w:tc>
          <w:tcPr>
            <w:tcW w:w="887" w:type="dxa"/>
            <w:gridSpan w:val="2"/>
            <w:tcBorders>
              <w:top w:val="dotted" w:sz="4" w:space="0" w:color="auto"/>
              <w:left w:val="single" w:sz="8" w:space="0" w:color="auto"/>
              <w:bottom w:val="single" w:sz="8" w:space="0" w:color="auto"/>
              <w:right w:val="dotted" w:sz="4" w:space="0" w:color="auto"/>
            </w:tcBorders>
            <w:tcMar>
              <w:top w:w="15" w:type="dxa"/>
              <w:left w:w="15" w:type="dxa"/>
              <w:right w:w="15" w:type="dxa"/>
            </w:tcMar>
            <w:vAlign w:val="center"/>
          </w:tcPr>
          <w:p w14:paraId="3789A35F" w14:textId="1378B988"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w:t>
            </w:r>
          </w:p>
        </w:tc>
        <w:tc>
          <w:tcPr>
            <w:tcW w:w="513" w:type="dxa"/>
            <w:gridSpan w:val="2"/>
            <w:tcBorders>
              <w:top w:val="dotted" w:sz="4" w:space="0" w:color="auto"/>
              <w:left w:val="dotted" w:sz="4" w:space="0" w:color="auto"/>
              <w:bottom w:val="single" w:sz="8" w:space="0" w:color="auto"/>
              <w:right w:val="single" w:sz="8" w:space="0" w:color="auto"/>
            </w:tcBorders>
            <w:tcMar>
              <w:top w:w="15" w:type="dxa"/>
              <w:left w:w="15" w:type="dxa"/>
              <w:right w:w="15" w:type="dxa"/>
            </w:tcMar>
            <w:vAlign w:val="center"/>
          </w:tcPr>
          <w:p w14:paraId="69AAEBC2" w14:textId="736BB29B"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1%</w:t>
            </w:r>
          </w:p>
        </w:tc>
        <w:tc>
          <w:tcPr>
            <w:tcW w:w="915" w:type="dxa"/>
            <w:tcBorders>
              <w:top w:val="dotted" w:sz="4" w:space="0" w:color="auto"/>
              <w:left w:val="single" w:sz="8" w:space="0" w:color="auto"/>
              <w:bottom w:val="single" w:sz="8" w:space="0" w:color="auto"/>
              <w:right w:val="dotted" w:sz="4" w:space="0" w:color="auto"/>
            </w:tcBorders>
            <w:tcMar>
              <w:top w:w="15" w:type="dxa"/>
              <w:left w:w="15" w:type="dxa"/>
              <w:right w:w="15" w:type="dxa"/>
            </w:tcMar>
            <w:vAlign w:val="center"/>
          </w:tcPr>
          <w:p w14:paraId="2627132A" w14:textId="01D74FB0"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c>
          <w:tcPr>
            <w:tcW w:w="695" w:type="dxa"/>
            <w:gridSpan w:val="2"/>
            <w:tcBorders>
              <w:top w:val="dotted" w:sz="4" w:space="0" w:color="auto"/>
              <w:left w:val="dotted" w:sz="4" w:space="0" w:color="auto"/>
              <w:bottom w:val="single" w:sz="8" w:space="0" w:color="auto"/>
              <w:right w:val="single" w:sz="8" w:space="0" w:color="auto"/>
            </w:tcBorders>
            <w:tcMar>
              <w:top w:w="15" w:type="dxa"/>
              <w:left w:w="15" w:type="dxa"/>
              <w:right w:w="15" w:type="dxa"/>
            </w:tcMar>
            <w:vAlign w:val="center"/>
          </w:tcPr>
          <w:p w14:paraId="4B730A8F" w14:textId="3C2B52F1" w:rsidR="449377F1" w:rsidRPr="00B00FCB" w:rsidRDefault="449377F1" w:rsidP="47E44940">
            <w:pPr>
              <w:jc w:val="center"/>
              <w:rPr>
                <w:rFonts w:ascii="Verdana" w:eastAsia="Verdana" w:hAnsi="Verdana" w:cs="Verdana"/>
                <w:color w:val="000000" w:themeColor="text1"/>
                <w:sz w:val="18"/>
                <w:szCs w:val="18"/>
              </w:rPr>
            </w:pPr>
            <w:r w:rsidRPr="00B00FCB">
              <w:rPr>
                <w:rFonts w:ascii="Verdana" w:eastAsia="Verdana" w:hAnsi="Verdana" w:cs="Verdana"/>
                <w:color w:val="000000" w:themeColor="text1"/>
                <w:sz w:val="18"/>
                <w:szCs w:val="18"/>
              </w:rPr>
              <w:t>0%</w:t>
            </w:r>
          </w:p>
        </w:tc>
      </w:tr>
      <w:tr w:rsidR="449377F1" w14:paraId="54A8CFCB" w14:textId="77777777" w:rsidTr="00B00FCB">
        <w:trPr>
          <w:trHeight w:val="300"/>
        </w:trPr>
        <w:tc>
          <w:tcPr>
            <w:tcW w:w="960" w:type="dxa"/>
            <w:tcBorders>
              <w:top w:val="single" w:sz="8" w:space="0" w:color="auto"/>
              <w:left w:val="nil"/>
              <w:bottom w:val="nil"/>
              <w:right w:val="single" w:sz="8" w:space="0" w:color="000000" w:themeColor="text1"/>
            </w:tcBorders>
            <w:tcMar>
              <w:top w:w="15" w:type="dxa"/>
              <w:left w:w="15" w:type="dxa"/>
              <w:right w:w="15" w:type="dxa"/>
            </w:tcMar>
            <w:vAlign w:val="bottom"/>
          </w:tcPr>
          <w:p w14:paraId="110AECED" w14:textId="7684B6A6" w:rsidR="449377F1" w:rsidRPr="00B00FCB" w:rsidRDefault="449377F1" w:rsidP="47E44940">
            <w:pPr>
              <w:rPr>
                <w:rFonts w:ascii="Verdana" w:eastAsia="Verdana" w:hAnsi="Verdana" w:cs="Verdana"/>
                <w:sz w:val="20"/>
                <w:szCs w:val="20"/>
              </w:rPr>
            </w:pPr>
          </w:p>
        </w:tc>
        <w:tc>
          <w:tcPr>
            <w:tcW w:w="1074" w:type="dxa"/>
            <w:gridSpan w:val="2"/>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vAlign w:val="center"/>
          </w:tcPr>
          <w:p w14:paraId="792CE75F" w14:textId="16113997"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132</w:t>
            </w:r>
          </w:p>
        </w:tc>
        <w:tc>
          <w:tcPr>
            <w:tcW w:w="501" w:type="dxa"/>
            <w:gridSpan w:val="2"/>
            <w:tcBorders>
              <w:top w:val="single" w:sz="8" w:space="0" w:color="000000" w:themeColor="text1"/>
              <w:left w:val="single" w:sz="4" w:space="0" w:color="000000" w:themeColor="text1"/>
              <w:bottom w:val="single" w:sz="8" w:space="0" w:color="000000" w:themeColor="text1"/>
              <w:right w:val="single" w:sz="4" w:space="0" w:color="000000" w:themeColor="text1"/>
            </w:tcBorders>
            <w:tcMar>
              <w:top w:w="15" w:type="dxa"/>
              <w:left w:w="15" w:type="dxa"/>
              <w:right w:w="15" w:type="dxa"/>
            </w:tcMar>
            <w:vAlign w:val="center"/>
          </w:tcPr>
          <w:p w14:paraId="0751F0AB" w14:textId="4ED2A498"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c>
          <w:tcPr>
            <w:tcW w:w="887" w:type="dxa"/>
            <w:gridSpan w:val="2"/>
            <w:tcBorders>
              <w:top w:val="single" w:sz="8" w:space="0" w:color="auto"/>
              <w:left w:val="single" w:sz="4" w:space="0" w:color="000000" w:themeColor="text1"/>
              <w:bottom w:val="single" w:sz="8" w:space="0" w:color="auto"/>
              <w:right w:val="single" w:sz="4" w:space="0" w:color="auto"/>
            </w:tcBorders>
            <w:tcMar>
              <w:top w:w="15" w:type="dxa"/>
              <w:left w:w="15" w:type="dxa"/>
              <w:right w:w="15" w:type="dxa"/>
            </w:tcMar>
            <w:vAlign w:val="center"/>
          </w:tcPr>
          <w:p w14:paraId="49B4F76B" w14:textId="16D5125E"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60</w:t>
            </w:r>
          </w:p>
        </w:tc>
        <w:tc>
          <w:tcPr>
            <w:tcW w:w="570"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14A47910" w14:textId="66F24FBB"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c>
          <w:tcPr>
            <w:tcW w:w="949" w:type="dxa"/>
            <w:gridSpan w:val="2"/>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310DD0AD" w14:textId="1370FA8D"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29</w:t>
            </w:r>
          </w:p>
        </w:tc>
        <w:tc>
          <w:tcPr>
            <w:tcW w:w="420"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54CD94A7" w14:textId="0BEA40BB"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c>
          <w:tcPr>
            <w:tcW w:w="1025" w:type="dxa"/>
            <w:gridSpan w:val="2"/>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036063F8" w14:textId="739FA126"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381</w:t>
            </w:r>
          </w:p>
        </w:tc>
        <w:tc>
          <w:tcPr>
            <w:tcW w:w="434"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2291EF1E" w14:textId="04E0C5DF"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c>
          <w:tcPr>
            <w:tcW w:w="887" w:type="dxa"/>
            <w:gridSpan w:val="2"/>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6B55D9E5" w14:textId="10315A12"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70</w:t>
            </w:r>
          </w:p>
        </w:tc>
        <w:tc>
          <w:tcPr>
            <w:tcW w:w="513" w:type="dxa"/>
            <w:gridSpan w:val="2"/>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04381668" w14:textId="7FBAFB64"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c>
          <w:tcPr>
            <w:tcW w:w="915" w:type="dxa"/>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6353C391" w14:textId="5D4DFA5D"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24</w:t>
            </w:r>
          </w:p>
        </w:tc>
        <w:tc>
          <w:tcPr>
            <w:tcW w:w="695" w:type="dxa"/>
            <w:gridSpan w:val="2"/>
            <w:tcBorders>
              <w:top w:val="single" w:sz="8" w:space="0" w:color="auto"/>
              <w:left w:val="single" w:sz="4" w:space="0" w:color="auto"/>
              <w:bottom w:val="single" w:sz="8" w:space="0" w:color="auto"/>
              <w:right w:val="single" w:sz="4" w:space="0" w:color="auto"/>
            </w:tcBorders>
            <w:tcMar>
              <w:top w:w="15" w:type="dxa"/>
              <w:left w:w="15" w:type="dxa"/>
              <w:right w:w="15" w:type="dxa"/>
            </w:tcMar>
            <w:vAlign w:val="center"/>
          </w:tcPr>
          <w:p w14:paraId="3116A80A" w14:textId="289AECD1" w:rsidR="449377F1" w:rsidRPr="00B00FCB" w:rsidRDefault="449377F1" w:rsidP="47E44940">
            <w:pPr>
              <w:jc w:val="center"/>
              <w:rPr>
                <w:rFonts w:ascii="Verdana" w:eastAsia="Verdana" w:hAnsi="Verdana" w:cs="Verdana"/>
                <w:b/>
                <w:bCs/>
                <w:color w:val="000000" w:themeColor="text1"/>
                <w:sz w:val="16"/>
                <w:szCs w:val="16"/>
              </w:rPr>
            </w:pPr>
            <w:r w:rsidRPr="00B00FCB">
              <w:rPr>
                <w:rFonts w:ascii="Verdana" w:eastAsia="Verdana" w:hAnsi="Verdana" w:cs="Verdana"/>
                <w:b/>
                <w:bCs/>
                <w:color w:val="000000" w:themeColor="text1"/>
                <w:sz w:val="16"/>
                <w:szCs w:val="16"/>
              </w:rPr>
              <w:t>100%</w:t>
            </w:r>
          </w:p>
        </w:tc>
      </w:tr>
      <w:tr w:rsidR="449377F1" w14:paraId="0C17E06D" w14:textId="77777777" w:rsidTr="47E44940">
        <w:trPr>
          <w:gridAfter w:val="1"/>
          <w:wAfter w:w="531" w:type="dxa"/>
          <w:trHeight w:val="615"/>
        </w:trPr>
        <w:tc>
          <w:tcPr>
            <w:tcW w:w="2249" w:type="dxa"/>
            <w:gridSpan w:val="4"/>
            <w:vMerge w:val="restart"/>
            <w:tcBorders>
              <w:top w:val="single" w:sz="12" w:space="0" w:color="000000" w:themeColor="text1"/>
              <w:left w:val="single" w:sz="12" w:space="0" w:color="000000" w:themeColor="text1"/>
              <w:bottom w:val="single" w:sz="12" w:space="0" w:color="000000" w:themeColor="text1"/>
              <w:right w:val="single" w:sz="8" w:space="0" w:color="000000" w:themeColor="text1"/>
            </w:tcBorders>
            <w:shd w:val="clear" w:color="auto" w:fill="F2F2F2" w:themeFill="background1" w:themeFillShade="F2"/>
            <w:tcMar>
              <w:top w:w="15" w:type="dxa"/>
              <w:left w:w="15" w:type="dxa"/>
              <w:right w:w="15" w:type="dxa"/>
            </w:tcMar>
            <w:vAlign w:val="center"/>
          </w:tcPr>
          <w:p w14:paraId="38DF9670" w14:textId="452F1AB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millones</w:t>
            </w:r>
          </w:p>
        </w:tc>
        <w:tc>
          <w:tcPr>
            <w:tcW w:w="2332" w:type="dxa"/>
            <w:gridSpan w:val="5"/>
            <w:tcBorders>
              <w:top w:val="single" w:sz="12" w:space="0" w:color="000000" w:themeColor="text1"/>
              <w:left w:val="nil"/>
              <w:bottom w:val="single" w:sz="4" w:space="0" w:color="auto"/>
              <w:right w:val="nil"/>
            </w:tcBorders>
            <w:shd w:val="clear" w:color="auto" w:fill="F2F2F2" w:themeFill="background1" w:themeFillShade="F2"/>
            <w:tcMar>
              <w:top w:w="15" w:type="dxa"/>
              <w:left w:w="15" w:type="dxa"/>
              <w:right w:w="15" w:type="dxa"/>
            </w:tcMar>
            <w:vAlign w:val="bottom"/>
          </w:tcPr>
          <w:p w14:paraId="1B9C51A2" w14:textId="4FD0D80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seguridad</w:t>
            </w:r>
          </w:p>
        </w:tc>
        <w:tc>
          <w:tcPr>
            <w:tcW w:w="2355" w:type="dxa"/>
            <w:gridSpan w:val="6"/>
            <w:tcBorders>
              <w:top w:val="single" w:sz="12" w:space="0" w:color="000000" w:themeColor="text1"/>
              <w:left w:val="single" w:sz="4" w:space="0" w:color="auto"/>
              <w:bottom w:val="single" w:sz="4" w:space="0" w:color="auto"/>
              <w:right w:val="nil"/>
            </w:tcBorders>
            <w:shd w:val="clear" w:color="auto" w:fill="F2F2F2" w:themeFill="background1" w:themeFillShade="F2"/>
            <w:tcMar>
              <w:top w:w="15" w:type="dxa"/>
              <w:left w:w="15" w:type="dxa"/>
              <w:right w:w="15" w:type="dxa"/>
            </w:tcMar>
            <w:vAlign w:val="bottom"/>
          </w:tcPr>
          <w:p w14:paraId="47B3FF5E" w14:textId="3EBC8FB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servicio publico</w:t>
            </w:r>
          </w:p>
        </w:tc>
        <w:tc>
          <w:tcPr>
            <w:tcW w:w="2363" w:type="dxa"/>
            <w:gridSpan w:val="5"/>
            <w:tcBorders>
              <w:top w:val="single" w:sz="12" w:space="0" w:color="000000" w:themeColor="text1"/>
              <w:left w:val="single" w:sz="4" w:space="0" w:color="auto"/>
              <w:bottom w:val="single" w:sz="4" w:space="0" w:color="auto"/>
              <w:right w:val="single" w:sz="12" w:space="0" w:color="000000" w:themeColor="text1"/>
            </w:tcBorders>
            <w:shd w:val="clear" w:color="auto" w:fill="F2F2F2" w:themeFill="background1" w:themeFillShade="F2"/>
            <w:tcMar>
              <w:top w:w="15" w:type="dxa"/>
              <w:left w:w="15" w:type="dxa"/>
              <w:right w:w="15" w:type="dxa"/>
            </w:tcMar>
            <w:vAlign w:val="bottom"/>
          </w:tcPr>
          <w:p w14:paraId="545CFE9C" w14:textId="5C3601E7" w:rsidR="789E7563" w:rsidRPr="00B00FCB" w:rsidRDefault="027D9185"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reclusión</w:t>
            </w:r>
          </w:p>
        </w:tc>
      </w:tr>
      <w:tr w:rsidR="00D74D4E" w14:paraId="3A1DAF53" w14:textId="77777777" w:rsidTr="47E44940">
        <w:trPr>
          <w:gridAfter w:val="1"/>
          <w:wAfter w:w="531" w:type="dxa"/>
          <w:trHeight w:val="315"/>
        </w:trPr>
        <w:tc>
          <w:tcPr>
            <w:tcW w:w="2249" w:type="dxa"/>
            <w:gridSpan w:val="4"/>
            <w:vMerge/>
            <w:vAlign w:val="center"/>
          </w:tcPr>
          <w:p w14:paraId="03A15BEB" w14:textId="77777777" w:rsidR="00FF6CE9" w:rsidRDefault="00FF6CE9"/>
        </w:tc>
        <w:tc>
          <w:tcPr>
            <w:tcW w:w="1122" w:type="dxa"/>
            <w:gridSpan w:val="2"/>
            <w:tcBorders>
              <w:top w:val="single" w:sz="4" w:space="0" w:color="auto"/>
              <w:left w:val="nil"/>
              <w:bottom w:val="single" w:sz="12" w:space="0" w:color="000000" w:themeColor="text1"/>
              <w:right w:val="single" w:sz="4" w:space="0" w:color="auto"/>
            </w:tcBorders>
            <w:shd w:val="clear" w:color="auto" w:fill="F2F2F2" w:themeFill="background1" w:themeFillShade="F2"/>
            <w:tcMar>
              <w:top w:w="15" w:type="dxa"/>
              <w:left w:w="15" w:type="dxa"/>
              <w:right w:w="15" w:type="dxa"/>
            </w:tcMar>
            <w:vAlign w:val="bottom"/>
          </w:tcPr>
          <w:p w14:paraId="208099D6" w14:textId="0786AC0B"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consultoría</w:t>
            </w:r>
          </w:p>
        </w:tc>
        <w:tc>
          <w:tcPr>
            <w:tcW w:w="1210" w:type="dxa"/>
            <w:gridSpan w:val="3"/>
            <w:tcBorders>
              <w:top w:val="nil"/>
              <w:left w:val="single" w:sz="4" w:space="0" w:color="auto"/>
              <w:bottom w:val="single" w:sz="12" w:space="0" w:color="000000" w:themeColor="text1"/>
              <w:right w:val="single" w:sz="4" w:space="0" w:color="auto"/>
            </w:tcBorders>
            <w:shd w:val="clear" w:color="auto" w:fill="F2F2F2" w:themeFill="background1" w:themeFillShade="F2"/>
            <w:tcMar>
              <w:top w:w="15" w:type="dxa"/>
              <w:left w:w="15" w:type="dxa"/>
              <w:right w:w="15" w:type="dxa"/>
            </w:tcMar>
            <w:vAlign w:val="bottom"/>
          </w:tcPr>
          <w:p w14:paraId="559C7E39" w14:textId="1B943AE9"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interventoría</w:t>
            </w:r>
          </w:p>
        </w:tc>
        <w:tc>
          <w:tcPr>
            <w:tcW w:w="1130" w:type="dxa"/>
            <w:gridSpan w:val="3"/>
            <w:tcBorders>
              <w:top w:val="single" w:sz="4" w:space="0" w:color="auto"/>
              <w:left w:val="single" w:sz="4" w:space="0" w:color="auto"/>
              <w:bottom w:val="single" w:sz="12" w:space="0" w:color="000000" w:themeColor="text1"/>
              <w:right w:val="single" w:sz="4" w:space="0" w:color="auto"/>
            </w:tcBorders>
            <w:shd w:val="clear" w:color="auto" w:fill="F2F2F2" w:themeFill="background1" w:themeFillShade="F2"/>
            <w:tcMar>
              <w:top w:w="15" w:type="dxa"/>
              <w:left w:w="15" w:type="dxa"/>
              <w:right w:w="15" w:type="dxa"/>
            </w:tcMar>
            <w:vAlign w:val="bottom"/>
          </w:tcPr>
          <w:p w14:paraId="234082CD" w14:textId="4F8431FE"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consultoría</w:t>
            </w:r>
          </w:p>
        </w:tc>
        <w:tc>
          <w:tcPr>
            <w:tcW w:w="1225" w:type="dxa"/>
            <w:gridSpan w:val="3"/>
            <w:tcBorders>
              <w:top w:val="nil"/>
              <w:left w:val="single" w:sz="4" w:space="0" w:color="auto"/>
              <w:bottom w:val="single" w:sz="12" w:space="0" w:color="000000" w:themeColor="text1"/>
              <w:right w:val="single" w:sz="4" w:space="0" w:color="auto"/>
            </w:tcBorders>
            <w:shd w:val="clear" w:color="auto" w:fill="F2F2F2" w:themeFill="background1" w:themeFillShade="F2"/>
            <w:tcMar>
              <w:top w:w="15" w:type="dxa"/>
              <w:left w:w="15" w:type="dxa"/>
              <w:right w:w="15" w:type="dxa"/>
            </w:tcMar>
            <w:vAlign w:val="bottom"/>
          </w:tcPr>
          <w:p w14:paraId="5446DDEF" w14:textId="6A3ED1EF"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interventoría</w:t>
            </w:r>
          </w:p>
        </w:tc>
        <w:tc>
          <w:tcPr>
            <w:tcW w:w="1137" w:type="dxa"/>
            <w:gridSpan w:val="2"/>
            <w:tcBorders>
              <w:top w:val="single" w:sz="4" w:space="0" w:color="auto"/>
              <w:left w:val="single" w:sz="4" w:space="0" w:color="auto"/>
              <w:bottom w:val="single" w:sz="12" w:space="0" w:color="000000" w:themeColor="text1"/>
              <w:right w:val="single" w:sz="4" w:space="0" w:color="auto"/>
            </w:tcBorders>
            <w:shd w:val="clear" w:color="auto" w:fill="F2F2F2" w:themeFill="background1" w:themeFillShade="F2"/>
            <w:tcMar>
              <w:top w:w="15" w:type="dxa"/>
              <w:left w:w="15" w:type="dxa"/>
              <w:right w:w="15" w:type="dxa"/>
            </w:tcMar>
            <w:vAlign w:val="bottom"/>
          </w:tcPr>
          <w:p w14:paraId="21C9C543" w14:textId="0E60FDC3"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consultoría</w:t>
            </w:r>
          </w:p>
        </w:tc>
        <w:tc>
          <w:tcPr>
            <w:tcW w:w="1226" w:type="dxa"/>
            <w:gridSpan w:val="3"/>
            <w:tcBorders>
              <w:top w:val="nil"/>
              <w:left w:val="single" w:sz="4" w:space="0" w:color="auto"/>
              <w:bottom w:val="single" w:sz="12" w:space="0" w:color="000000" w:themeColor="text1"/>
              <w:right w:val="single" w:sz="12" w:space="0" w:color="000000" w:themeColor="text1"/>
            </w:tcBorders>
            <w:shd w:val="clear" w:color="auto" w:fill="F2F2F2" w:themeFill="background1" w:themeFillShade="F2"/>
            <w:tcMar>
              <w:top w:w="15" w:type="dxa"/>
              <w:left w:w="15" w:type="dxa"/>
              <w:right w:w="15" w:type="dxa"/>
            </w:tcMar>
            <w:vAlign w:val="bottom"/>
          </w:tcPr>
          <w:p w14:paraId="265B05B9" w14:textId="258015A8" w:rsidR="789E7563" w:rsidRPr="00B00FCB" w:rsidRDefault="027D9185" w:rsidP="47E44940">
            <w:pPr>
              <w:jc w:val="center"/>
              <w:rPr>
                <w:rFonts w:ascii="Verdana" w:eastAsia="Verdana" w:hAnsi="Verdana" w:cs="Verdana"/>
                <w:color w:val="000000" w:themeColor="text1"/>
                <w:sz w:val="16"/>
                <w:szCs w:val="16"/>
              </w:rPr>
            </w:pPr>
            <w:r w:rsidRPr="00B00FCB">
              <w:rPr>
                <w:rFonts w:ascii="Verdana" w:eastAsia="Verdana" w:hAnsi="Verdana" w:cs="Verdana"/>
                <w:color w:val="000000" w:themeColor="text1"/>
                <w:sz w:val="16"/>
                <w:szCs w:val="16"/>
              </w:rPr>
              <w:t>interventoría</w:t>
            </w:r>
          </w:p>
        </w:tc>
      </w:tr>
      <w:tr w:rsidR="449377F1" w14:paraId="126FE749" w14:textId="77777777" w:rsidTr="00B00FCB">
        <w:trPr>
          <w:gridAfter w:val="1"/>
          <w:wAfter w:w="531" w:type="dxa"/>
          <w:trHeight w:val="300"/>
        </w:trPr>
        <w:tc>
          <w:tcPr>
            <w:tcW w:w="1323" w:type="dxa"/>
            <w:gridSpan w:val="2"/>
            <w:tcBorders>
              <w:top w:val="single" w:sz="12" w:space="0" w:color="000000" w:themeColor="text1"/>
              <w:left w:val="single" w:sz="8" w:space="0" w:color="auto"/>
              <w:bottom w:val="single" w:sz="4" w:space="0" w:color="auto"/>
              <w:right w:val="single" w:sz="4" w:space="0" w:color="000000" w:themeColor="text1"/>
            </w:tcBorders>
            <w:tcMar>
              <w:top w:w="15" w:type="dxa"/>
              <w:left w:w="15" w:type="dxa"/>
              <w:right w:w="15" w:type="dxa"/>
            </w:tcMar>
            <w:vAlign w:val="center"/>
          </w:tcPr>
          <w:p w14:paraId="1ED11C25" w14:textId="0E37567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0</w:t>
            </w:r>
          </w:p>
        </w:tc>
        <w:tc>
          <w:tcPr>
            <w:tcW w:w="926" w:type="dxa"/>
            <w:gridSpan w:val="2"/>
            <w:tcBorders>
              <w:top w:val="single" w:sz="12" w:space="0" w:color="000000" w:themeColor="text1"/>
              <w:left w:val="single" w:sz="4" w:space="0" w:color="auto"/>
              <w:bottom w:val="single" w:sz="4" w:space="0" w:color="auto"/>
              <w:right w:val="single" w:sz="8" w:space="0" w:color="000000" w:themeColor="text1"/>
            </w:tcBorders>
            <w:tcMar>
              <w:top w:w="15" w:type="dxa"/>
              <w:left w:w="15" w:type="dxa"/>
              <w:right w:w="15" w:type="dxa"/>
            </w:tcMar>
            <w:vAlign w:val="center"/>
          </w:tcPr>
          <w:p w14:paraId="16FBAD4C" w14:textId="40B01F3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100</w:t>
            </w:r>
          </w:p>
        </w:tc>
        <w:tc>
          <w:tcPr>
            <w:tcW w:w="1122" w:type="dxa"/>
            <w:gridSpan w:val="2"/>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099E71A5" w14:textId="74A2C9F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12"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6F01FB44" w14:textId="6728AAB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130" w:type="dxa"/>
            <w:gridSpan w:val="3"/>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1F314B49" w14:textId="73A93CA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225" w:type="dxa"/>
            <w:gridSpan w:val="3"/>
            <w:tcBorders>
              <w:top w:val="single" w:sz="12" w:space="0" w:color="000000" w:themeColor="text1"/>
              <w:left w:val="single" w:sz="4" w:space="0" w:color="auto"/>
              <w:bottom w:val="single" w:sz="4" w:space="0" w:color="auto"/>
              <w:right w:val="single" w:sz="4" w:space="0" w:color="auto"/>
            </w:tcBorders>
            <w:tcMar>
              <w:top w:w="15" w:type="dxa"/>
              <w:left w:w="15" w:type="dxa"/>
              <w:right w:w="15" w:type="dxa"/>
            </w:tcMar>
            <w:vAlign w:val="center"/>
          </w:tcPr>
          <w:p w14:paraId="36D7C6DA" w14:textId="1B622CC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137" w:type="dxa"/>
            <w:gridSpan w:val="2"/>
            <w:tcBorders>
              <w:top w:val="single" w:sz="12" w:space="0" w:color="000000" w:themeColor="text1"/>
              <w:left w:val="single" w:sz="8" w:space="0" w:color="auto"/>
              <w:bottom w:val="single" w:sz="4" w:space="0" w:color="auto"/>
              <w:right w:val="single" w:sz="4" w:space="0" w:color="auto"/>
            </w:tcBorders>
            <w:tcMar>
              <w:top w:w="15" w:type="dxa"/>
              <w:left w:w="15" w:type="dxa"/>
              <w:right w:w="15" w:type="dxa"/>
            </w:tcMar>
            <w:vAlign w:val="center"/>
          </w:tcPr>
          <w:p w14:paraId="68A06AA2" w14:textId="67A11F3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12" w:space="0" w:color="000000" w:themeColor="text1"/>
              <w:left w:val="single" w:sz="4" w:space="0" w:color="auto"/>
              <w:bottom w:val="single" w:sz="4" w:space="0" w:color="auto"/>
              <w:right w:val="single" w:sz="8" w:space="0" w:color="auto"/>
            </w:tcBorders>
            <w:tcMar>
              <w:top w:w="15" w:type="dxa"/>
              <w:left w:w="15" w:type="dxa"/>
              <w:right w:w="15" w:type="dxa"/>
            </w:tcMar>
            <w:vAlign w:val="center"/>
          </w:tcPr>
          <w:p w14:paraId="04C857A2" w14:textId="66A0F4C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D1A486B"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000000" w:themeColor="text1"/>
              <w:right w:val="single" w:sz="4" w:space="0" w:color="000000" w:themeColor="text1"/>
            </w:tcBorders>
            <w:tcMar>
              <w:top w:w="15" w:type="dxa"/>
              <w:left w:w="15" w:type="dxa"/>
              <w:right w:w="15" w:type="dxa"/>
            </w:tcMar>
            <w:vAlign w:val="center"/>
          </w:tcPr>
          <w:p w14:paraId="65CA896A" w14:textId="53C7EF2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lastRenderedPageBreak/>
              <w:t>101</w:t>
            </w:r>
          </w:p>
        </w:tc>
        <w:tc>
          <w:tcPr>
            <w:tcW w:w="926" w:type="dxa"/>
            <w:gridSpan w:val="2"/>
            <w:tcBorders>
              <w:top w:val="single" w:sz="4" w:space="0" w:color="auto"/>
              <w:left w:val="single" w:sz="4" w:space="0" w:color="auto"/>
              <w:bottom w:val="single" w:sz="4" w:space="0" w:color="000000" w:themeColor="text1"/>
              <w:right w:val="single" w:sz="8" w:space="0" w:color="000000" w:themeColor="text1"/>
            </w:tcBorders>
            <w:tcMar>
              <w:top w:w="15" w:type="dxa"/>
              <w:left w:w="15" w:type="dxa"/>
              <w:right w:w="15" w:type="dxa"/>
            </w:tcMar>
            <w:vAlign w:val="center"/>
          </w:tcPr>
          <w:p w14:paraId="7A924081" w14:textId="02A19800"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DB3D65A" w14:textId="606BAA9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3AD957" w14:textId="7DAC35C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12</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E9473E7" w14:textId="65308A0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BC5487" w14:textId="54AB862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16</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F0AD21C" w14:textId="0E4F9FE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59BEA97" w14:textId="2847A86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2F01E141"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188966C" w14:textId="275D0B95"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D92797F" w14:textId="1F5A526F"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300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45C82D2" w14:textId="4214161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F0287F" w14:textId="6282E88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14</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EF1B945" w14:textId="4D3425E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4C9A62" w14:textId="1FEEF20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BFB267E" w14:textId="36D2164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A7DA5AF" w14:textId="6D278FA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7D04DA9E"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79D6A2E" w14:textId="4404E8AC"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301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C1D7878" w14:textId="19CDA4DF"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D488853" w14:textId="4BEB912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A7AA94" w14:textId="1A72C5C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17</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3B1B31D" w14:textId="3899F76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3369E9" w14:textId="09CC189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6</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32BC6C0" w14:textId="288719D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7EDD1E6" w14:textId="47AC219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4F145A3A"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3EF8C35" w14:textId="5261930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401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EB40D39" w14:textId="179A322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500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4AF1203" w14:textId="70F6752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B1A11F" w14:textId="6FBEE73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9</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B54C3A3" w14:textId="649E56A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DB983B" w14:textId="32BBB7C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3F5A523" w14:textId="410A110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4BE392F" w14:textId="3936C0C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9589F57"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C1FD157" w14:textId="484EE1B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501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7529FCC" w14:textId="10BC6B81"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600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690F108" w14:textId="3460A47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EB8932" w14:textId="07934F2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3B6A178" w14:textId="7A84E88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0A1CBD" w14:textId="2CD892F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5</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5AC5946" w14:textId="33FA751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487EC15" w14:textId="092BD08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F030093"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20FE356" w14:textId="4CC819FD"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601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FB9126E" w14:textId="0F3B61F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700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44E9BA1" w14:textId="277DA3C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D20CD1" w14:textId="4BFB481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A823E2D" w14:textId="4191A8E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42E5BB" w14:textId="2267A9F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02C756C" w14:textId="7C9203B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1F8BDD8" w14:textId="290538F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23DACF4B"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2783D67" w14:textId="02AD829C"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701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6FFC6F5" w14:textId="05DEB104"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800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DE0CC5A" w14:textId="2278148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129AF8" w14:textId="69BDDF8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9D6EE81" w14:textId="1BDBDF6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0B18F6" w14:textId="435E899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7EF3AF3" w14:textId="04C6915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A282403" w14:textId="264BAC5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B4D5A4F"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948C230" w14:textId="2857782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801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34A9319" w14:textId="13D09BC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900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04541F3" w14:textId="791E0BB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4461F2" w14:textId="4384B421"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2D5B2CB" w14:textId="41BB6CF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14E17E" w14:textId="04BA176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233D9A2" w14:textId="6AA615A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5569BD5" w14:textId="2EB8C05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34A78818"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0B67B51" w14:textId="3B30500E"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901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49214F9" w14:textId="721FAB33"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1000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39CF541" w14:textId="6B22CA5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E400CC" w14:textId="14F75BF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6CD69E1" w14:textId="2536C51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D94417" w14:textId="6C4DB21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613239D" w14:textId="1478EBD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0EFD93B" w14:textId="0BEEF04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4852F5CF"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FF05B1B" w14:textId="3C0478B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1001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CEE372E" w14:textId="7C97EEA2"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1100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6DFEBB3" w14:textId="1852218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9D5459" w14:textId="4EA6F2F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F49AC62" w14:textId="2ECDB4F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34E530" w14:textId="0DA469F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FFDBC7E" w14:textId="18723C5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28955A1" w14:textId="0A43BC9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3E7C3DE"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B9F8197" w14:textId="7CE9B399"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1101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2424775" w14:textId="1AE36804"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1200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742CA59" w14:textId="30C8BE6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55665B" w14:textId="641B734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3</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FAA64E4" w14:textId="709B3C6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BC23B7" w14:textId="1733A0A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498A5DB" w14:textId="6C55161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081938D" w14:textId="5D17F0E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6510207D"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81656FE" w14:textId="4078C29E"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1201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BC46446" w14:textId="3AE529C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1300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F1D03D2" w14:textId="590B4FF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292D62" w14:textId="39F88D21"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E13C429" w14:textId="30FDF7C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C8BBF2" w14:textId="1E4970E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4</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1A65165" w14:textId="084D6D1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E235561" w14:textId="713BE50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40D6976C"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9E86294" w14:textId="46256815"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1301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0CB74EE" w14:textId="6574FB0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1400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95E89A7" w14:textId="441EB99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754BB8" w14:textId="61F5032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F14E605" w14:textId="2822429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40EAF1" w14:textId="18D2F81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CD253E0" w14:textId="510CA2EA"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E4BC73D" w14:textId="7A50249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60359B8C"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143BB2D" w14:textId="69DFB5E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1401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FF26112" w14:textId="21324F0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1500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871D54A" w14:textId="09C3057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A1E118" w14:textId="491CB80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4C4621D" w14:textId="61526FD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56A003" w14:textId="19ECCE5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61FBF0F" w14:textId="4686FB9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C4DB5C3" w14:textId="5A332CD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21BDC088"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6FD2074" w14:textId="2A75DA02"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1501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2C601FA" w14:textId="094ECC2E"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1600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D10C4F4" w14:textId="4E53AA7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5DC205" w14:textId="0CC33AD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707F70E" w14:textId="6E4D690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A61D22" w14:textId="3DB21C0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2CBB4E0" w14:textId="43EB94F1"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E6B3CFE" w14:textId="35A7EF4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59DE88D5"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F7B17CB" w14:textId="7AA7BF32"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1601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3F17841" w14:textId="2C7934F9"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1700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D747444" w14:textId="071A628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526339" w14:textId="141D306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524EF22" w14:textId="553A013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B23E98" w14:textId="6BA1670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74B0AF1" w14:textId="6C8522A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3C4E30A4" w14:textId="1CDCC73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6C325828"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395B268" w14:textId="4E9DD237"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1701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22D0675C" w14:textId="29B3719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1800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4AF4406B" w14:textId="1BE913A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D935A1" w14:textId="3DAEB994"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56CDFE3" w14:textId="5E0A37D5"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70603D" w14:textId="51C904C7"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59FAE16" w14:textId="4430FB3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38CB16C" w14:textId="52EAAED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59EB541"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1CD8E512" w14:textId="645D177F"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1801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1DB38960" w14:textId="01E1BAB0"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1900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6FC80555" w14:textId="7A6055D2"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5BC1C3" w14:textId="21B0643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35B97239" w14:textId="36635FC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6643FB" w14:textId="4FB7669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500B1D86" w14:textId="496762B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0C2DB7F" w14:textId="6400288B"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FC7FACD" w14:textId="77777777" w:rsidTr="00B00FCB">
        <w:trPr>
          <w:gridAfter w:val="1"/>
          <w:wAfter w:w="531" w:type="dxa"/>
          <w:trHeight w:val="300"/>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203AA026" w14:textId="6E512E70"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1901</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69934757" w14:textId="65A8C655"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2000</w:t>
            </w:r>
          </w:p>
        </w:tc>
        <w:tc>
          <w:tcPr>
            <w:tcW w:w="1122"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2482D87" w14:textId="7DCE1D36"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210"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F590EB" w14:textId="14EA3E3D"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1</w:t>
            </w:r>
          </w:p>
        </w:tc>
        <w:tc>
          <w:tcPr>
            <w:tcW w:w="1130" w:type="dxa"/>
            <w:gridSpan w:val="3"/>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877AABB" w14:textId="20AE873E"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68FE99" w14:textId="3548071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7"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0BEE17C2" w14:textId="2C37BF3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0C9910ED" w14:textId="5089F44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0A1DE801" w14:textId="77777777" w:rsidTr="00B00FCB">
        <w:trPr>
          <w:gridAfter w:val="1"/>
          <w:wAfter w:w="531" w:type="dxa"/>
          <w:trHeight w:val="315"/>
        </w:trPr>
        <w:tc>
          <w:tcPr>
            <w:tcW w:w="1323" w:type="dxa"/>
            <w:gridSpan w:val="2"/>
            <w:tcBorders>
              <w:top w:val="single" w:sz="4" w:space="0" w:color="auto"/>
              <w:left w:val="single" w:sz="8" w:space="0" w:color="auto"/>
              <w:bottom w:val="single" w:sz="4" w:space="0" w:color="auto"/>
              <w:right w:val="single" w:sz="4" w:space="0" w:color="auto"/>
            </w:tcBorders>
            <w:tcMar>
              <w:top w:w="15" w:type="dxa"/>
              <w:left w:w="15" w:type="dxa"/>
              <w:right w:w="15" w:type="dxa"/>
            </w:tcMar>
            <w:vAlign w:val="center"/>
          </w:tcPr>
          <w:p w14:paraId="7A565E63" w14:textId="63ED8B07"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mas de 4000</w:t>
            </w:r>
          </w:p>
        </w:tc>
        <w:tc>
          <w:tcPr>
            <w:tcW w:w="926" w:type="dxa"/>
            <w:gridSpan w:val="2"/>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5D903BD" w14:textId="3159EF6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 xml:space="preserve"> </w:t>
            </w:r>
          </w:p>
        </w:tc>
        <w:tc>
          <w:tcPr>
            <w:tcW w:w="1122" w:type="dxa"/>
            <w:gridSpan w:val="2"/>
            <w:tcBorders>
              <w:top w:val="single" w:sz="4" w:space="0" w:color="auto"/>
              <w:left w:val="single" w:sz="8" w:space="0" w:color="auto"/>
              <w:bottom w:val="nil"/>
              <w:right w:val="single" w:sz="4" w:space="0" w:color="auto"/>
            </w:tcBorders>
            <w:tcMar>
              <w:top w:w="15" w:type="dxa"/>
              <w:left w:w="15" w:type="dxa"/>
              <w:right w:w="15" w:type="dxa"/>
            </w:tcMar>
            <w:vAlign w:val="center"/>
          </w:tcPr>
          <w:p w14:paraId="4CD4F57E" w14:textId="4624A440"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10" w:type="dxa"/>
            <w:gridSpan w:val="3"/>
            <w:tcBorders>
              <w:top w:val="single" w:sz="4" w:space="0" w:color="auto"/>
              <w:left w:val="single" w:sz="4" w:space="0" w:color="auto"/>
              <w:bottom w:val="nil"/>
              <w:right w:val="single" w:sz="4" w:space="0" w:color="auto"/>
            </w:tcBorders>
            <w:tcMar>
              <w:top w:w="15" w:type="dxa"/>
              <w:left w:w="15" w:type="dxa"/>
              <w:right w:w="15" w:type="dxa"/>
            </w:tcMar>
            <w:vAlign w:val="center"/>
          </w:tcPr>
          <w:p w14:paraId="1C472EC2" w14:textId="3E4B1B93"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130" w:type="dxa"/>
            <w:gridSpan w:val="3"/>
            <w:tcBorders>
              <w:top w:val="single" w:sz="4" w:space="0" w:color="auto"/>
              <w:left w:val="single" w:sz="8" w:space="0" w:color="auto"/>
              <w:bottom w:val="nil"/>
              <w:right w:val="single" w:sz="4" w:space="0" w:color="auto"/>
            </w:tcBorders>
            <w:tcMar>
              <w:top w:w="15" w:type="dxa"/>
              <w:left w:w="15" w:type="dxa"/>
              <w:right w:w="15" w:type="dxa"/>
            </w:tcMar>
            <w:vAlign w:val="center"/>
          </w:tcPr>
          <w:p w14:paraId="1F91B36A" w14:textId="40195419"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5" w:type="dxa"/>
            <w:gridSpan w:val="3"/>
            <w:tcBorders>
              <w:top w:val="single" w:sz="4" w:space="0" w:color="auto"/>
              <w:left w:val="single" w:sz="4" w:space="0" w:color="auto"/>
              <w:bottom w:val="nil"/>
              <w:right w:val="single" w:sz="4" w:space="0" w:color="auto"/>
            </w:tcBorders>
            <w:tcMar>
              <w:top w:w="15" w:type="dxa"/>
              <w:left w:w="15" w:type="dxa"/>
              <w:right w:w="15" w:type="dxa"/>
            </w:tcMar>
            <w:vAlign w:val="center"/>
          </w:tcPr>
          <w:p w14:paraId="2CBDF12E" w14:textId="39C3089C"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2</w:t>
            </w:r>
          </w:p>
        </w:tc>
        <w:tc>
          <w:tcPr>
            <w:tcW w:w="1137" w:type="dxa"/>
            <w:gridSpan w:val="2"/>
            <w:tcBorders>
              <w:top w:val="single" w:sz="4" w:space="0" w:color="auto"/>
              <w:left w:val="single" w:sz="8" w:space="0" w:color="auto"/>
              <w:bottom w:val="nil"/>
              <w:right w:val="single" w:sz="4" w:space="0" w:color="auto"/>
            </w:tcBorders>
            <w:tcMar>
              <w:top w:w="15" w:type="dxa"/>
              <w:left w:w="15" w:type="dxa"/>
              <w:right w:w="15" w:type="dxa"/>
            </w:tcMar>
            <w:vAlign w:val="center"/>
          </w:tcPr>
          <w:p w14:paraId="3CCCCC73" w14:textId="697BF5FF"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c>
          <w:tcPr>
            <w:tcW w:w="1226" w:type="dxa"/>
            <w:gridSpan w:val="3"/>
            <w:tcBorders>
              <w:top w:val="single" w:sz="4" w:space="0" w:color="auto"/>
              <w:left w:val="single" w:sz="4" w:space="0" w:color="auto"/>
              <w:bottom w:val="nil"/>
              <w:right w:val="single" w:sz="8" w:space="0" w:color="auto"/>
            </w:tcBorders>
            <w:tcMar>
              <w:top w:w="15" w:type="dxa"/>
              <w:left w:w="15" w:type="dxa"/>
              <w:right w:w="15" w:type="dxa"/>
            </w:tcMar>
            <w:vAlign w:val="center"/>
          </w:tcPr>
          <w:p w14:paraId="7D131E69" w14:textId="36B22D48" w:rsidR="449377F1" w:rsidRPr="00B00FCB" w:rsidRDefault="449377F1" w:rsidP="47E44940">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0</w:t>
            </w:r>
          </w:p>
        </w:tc>
      </w:tr>
      <w:tr w:rsidR="449377F1" w14:paraId="168FC407" w14:textId="77777777" w:rsidTr="00B00FCB">
        <w:trPr>
          <w:gridAfter w:val="1"/>
          <w:wAfter w:w="531" w:type="dxa"/>
          <w:trHeight w:val="315"/>
        </w:trPr>
        <w:tc>
          <w:tcPr>
            <w:tcW w:w="1323" w:type="dxa"/>
            <w:gridSpan w:val="2"/>
            <w:tcBorders>
              <w:top w:val="single" w:sz="4" w:space="0" w:color="auto"/>
              <w:left w:val="nil"/>
              <w:bottom w:val="nil"/>
              <w:right w:val="nil"/>
            </w:tcBorders>
            <w:tcMar>
              <w:top w:w="15" w:type="dxa"/>
              <w:left w:w="15" w:type="dxa"/>
              <w:right w:w="15" w:type="dxa"/>
            </w:tcMar>
            <w:vAlign w:val="bottom"/>
          </w:tcPr>
          <w:p w14:paraId="777EC528" w14:textId="3A38E5AB" w:rsidR="449377F1" w:rsidRPr="00B00FCB" w:rsidRDefault="449377F1" w:rsidP="47E44940">
            <w:pPr>
              <w:rPr>
                <w:rFonts w:ascii="Verdana" w:eastAsia="Verdana" w:hAnsi="Verdana" w:cs="Verdana"/>
                <w:sz w:val="22"/>
                <w:szCs w:val="22"/>
              </w:rPr>
            </w:pPr>
          </w:p>
        </w:tc>
        <w:tc>
          <w:tcPr>
            <w:tcW w:w="926" w:type="dxa"/>
            <w:gridSpan w:val="2"/>
            <w:tcBorders>
              <w:top w:val="single" w:sz="4" w:space="0" w:color="auto"/>
              <w:left w:val="nil"/>
              <w:bottom w:val="nil"/>
              <w:right w:val="nil"/>
            </w:tcBorders>
            <w:tcMar>
              <w:top w:w="15" w:type="dxa"/>
              <w:left w:w="15" w:type="dxa"/>
              <w:right w:w="15" w:type="dxa"/>
            </w:tcMar>
            <w:vAlign w:val="bottom"/>
          </w:tcPr>
          <w:p w14:paraId="704791C5" w14:textId="71BFA652" w:rsidR="449377F1" w:rsidRPr="00B00FCB" w:rsidRDefault="449377F1" w:rsidP="47E44940">
            <w:pPr>
              <w:rPr>
                <w:rFonts w:ascii="Verdana" w:eastAsia="Verdana" w:hAnsi="Verdana" w:cs="Verdana"/>
                <w:sz w:val="22"/>
                <w:szCs w:val="22"/>
              </w:rPr>
            </w:pPr>
          </w:p>
        </w:tc>
        <w:tc>
          <w:tcPr>
            <w:tcW w:w="1122" w:type="dxa"/>
            <w:gridSpan w:val="2"/>
            <w:tcBorders>
              <w:top w:val="single" w:sz="8" w:space="0" w:color="auto"/>
              <w:left w:val="single" w:sz="8"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75190EC3" w14:textId="0DE4C28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16</w:t>
            </w:r>
          </w:p>
        </w:tc>
        <w:tc>
          <w:tcPr>
            <w:tcW w:w="1210" w:type="dxa"/>
            <w:gridSpan w:val="3"/>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2CA5167C" w14:textId="370C1668"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79</w:t>
            </w:r>
          </w:p>
        </w:tc>
        <w:tc>
          <w:tcPr>
            <w:tcW w:w="1130" w:type="dxa"/>
            <w:gridSpan w:val="3"/>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38FF8CCC" w14:textId="4EF27F59"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11</w:t>
            </w:r>
          </w:p>
        </w:tc>
        <w:tc>
          <w:tcPr>
            <w:tcW w:w="1225" w:type="dxa"/>
            <w:gridSpan w:val="3"/>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4A166C57" w14:textId="2C6D8C64"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63</w:t>
            </w:r>
          </w:p>
        </w:tc>
        <w:tc>
          <w:tcPr>
            <w:tcW w:w="1137" w:type="dxa"/>
            <w:gridSpan w:val="2"/>
            <w:tcBorders>
              <w:top w:val="single" w:sz="8" w:space="0" w:color="auto"/>
              <w:left w:val="single" w:sz="4" w:space="0" w:color="auto"/>
              <w:bottom w:val="single" w:sz="8" w:space="0" w:color="auto"/>
              <w:right w:val="single" w:sz="4" w:space="0" w:color="auto"/>
            </w:tcBorders>
            <w:shd w:val="clear" w:color="auto" w:fill="F2F2F2" w:themeFill="background1" w:themeFillShade="F2"/>
            <w:tcMar>
              <w:top w:w="15" w:type="dxa"/>
              <w:left w:w="15" w:type="dxa"/>
              <w:right w:w="15" w:type="dxa"/>
            </w:tcMar>
            <w:vAlign w:val="center"/>
          </w:tcPr>
          <w:p w14:paraId="4F45968C" w14:textId="65351C77"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w:t>
            </w:r>
          </w:p>
        </w:tc>
        <w:tc>
          <w:tcPr>
            <w:tcW w:w="1226" w:type="dxa"/>
            <w:gridSpan w:val="3"/>
            <w:tcBorders>
              <w:top w:val="single" w:sz="8" w:space="0" w:color="auto"/>
              <w:left w:val="single" w:sz="4"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3097C9FB" w14:textId="05D18E4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0</w:t>
            </w:r>
          </w:p>
        </w:tc>
      </w:tr>
      <w:tr w:rsidR="449377F1" w14:paraId="6AFDF6ED" w14:textId="77777777" w:rsidTr="00B00FCB">
        <w:trPr>
          <w:gridAfter w:val="1"/>
          <w:wAfter w:w="531" w:type="dxa"/>
          <w:trHeight w:val="315"/>
        </w:trPr>
        <w:tc>
          <w:tcPr>
            <w:tcW w:w="1323" w:type="dxa"/>
            <w:gridSpan w:val="2"/>
            <w:tcBorders>
              <w:top w:val="nil"/>
              <w:left w:val="nil"/>
              <w:bottom w:val="nil"/>
              <w:right w:val="nil"/>
            </w:tcBorders>
            <w:tcMar>
              <w:top w:w="15" w:type="dxa"/>
              <w:left w:w="15" w:type="dxa"/>
              <w:right w:w="15" w:type="dxa"/>
            </w:tcMar>
            <w:vAlign w:val="bottom"/>
          </w:tcPr>
          <w:p w14:paraId="022F1CE3" w14:textId="78929F9C" w:rsidR="449377F1" w:rsidRPr="00B00FCB" w:rsidRDefault="449377F1" w:rsidP="47E44940">
            <w:pPr>
              <w:rPr>
                <w:rFonts w:ascii="Verdana" w:eastAsia="Verdana" w:hAnsi="Verdana" w:cs="Verdana"/>
                <w:sz w:val="22"/>
                <w:szCs w:val="22"/>
              </w:rPr>
            </w:pPr>
          </w:p>
        </w:tc>
        <w:tc>
          <w:tcPr>
            <w:tcW w:w="926" w:type="dxa"/>
            <w:gridSpan w:val="2"/>
            <w:tcBorders>
              <w:top w:val="nil"/>
              <w:left w:val="nil"/>
              <w:bottom w:val="nil"/>
              <w:right w:val="nil"/>
            </w:tcBorders>
            <w:tcMar>
              <w:top w:w="15" w:type="dxa"/>
              <w:left w:w="15" w:type="dxa"/>
              <w:right w:w="15" w:type="dxa"/>
            </w:tcMar>
            <w:vAlign w:val="bottom"/>
          </w:tcPr>
          <w:p w14:paraId="26D46C54" w14:textId="3FB7D3DD" w:rsidR="449377F1" w:rsidRPr="00B00FCB" w:rsidRDefault="449377F1" w:rsidP="47E44940">
            <w:pPr>
              <w:rPr>
                <w:rFonts w:ascii="Verdana" w:eastAsia="Verdana" w:hAnsi="Verdana" w:cs="Verdana"/>
                <w:sz w:val="22"/>
                <w:szCs w:val="22"/>
              </w:rPr>
            </w:pPr>
          </w:p>
        </w:tc>
        <w:tc>
          <w:tcPr>
            <w:tcW w:w="2332" w:type="dxa"/>
            <w:gridSpan w:val="5"/>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4CB97050" w14:textId="0D335D6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95</w:t>
            </w:r>
          </w:p>
        </w:tc>
        <w:tc>
          <w:tcPr>
            <w:tcW w:w="2355" w:type="dxa"/>
            <w:gridSpan w:val="6"/>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28926D14" w14:textId="2FC8537B"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74</w:t>
            </w:r>
          </w:p>
        </w:tc>
        <w:tc>
          <w:tcPr>
            <w:tcW w:w="2363" w:type="dxa"/>
            <w:gridSpan w:val="5"/>
            <w:tcBorders>
              <w:top w:val="single" w:sz="8" w:space="0" w:color="auto"/>
              <w:left w:val="single" w:sz="8" w:space="0" w:color="auto"/>
              <w:bottom w:val="single" w:sz="8" w:space="0" w:color="auto"/>
              <w:right w:val="nil"/>
            </w:tcBorders>
            <w:shd w:val="clear" w:color="auto" w:fill="F2F2F2" w:themeFill="background1" w:themeFillShade="F2"/>
            <w:tcMar>
              <w:top w:w="15" w:type="dxa"/>
              <w:left w:w="15" w:type="dxa"/>
              <w:right w:w="15" w:type="dxa"/>
            </w:tcMar>
            <w:vAlign w:val="center"/>
          </w:tcPr>
          <w:p w14:paraId="1D6D72D2" w14:textId="0AF8836A"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w:t>
            </w:r>
          </w:p>
        </w:tc>
      </w:tr>
      <w:tr w:rsidR="449377F1" w14:paraId="0E6048E5" w14:textId="77777777" w:rsidTr="00B00FCB">
        <w:trPr>
          <w:gridAfter w:val="1"/>
          <w:wAfter w:w="531" w:type="dxa"/>
          <w:trHeight w:val="315"/>
        </w:trPr>
        <w:tc>
          <w:tcPr>
            <w:tcW w:w="1323" w:type="dxa"/>
            <w:gridSpan w:val="2"/>
            <w:tcBorders>
              <w:top w:val="nil"/>
              <w:left w:val="nil"/>
              <w:bottom w:val="nil"/>
              <w:right w:val="nil"/>
            </w:tcBorders>
            <w:tcMar>
              <w:top w:w="15" w:type="dxa"/>
              <w:left w:w="15" w:type="dxa"/>
              <w:right w:w="15" w:type="dxa"/>
            </w:tcMar>
            <w:vAlign w:val="bottom"/>
          </w:tcPr>
          <w:p w14:paraId="4B10958B" w14:textId="5DD92CFF" w:rsidR="449377F1" w:rsidRPr="00B00FCB" w:rsidRDefault="449377F1" w:rsidP="47E44940">
            <w:pPr>
              <w:rPr>
                <w:rFonts w:ascii="Verdana" w:eastAsia="Verdana" w:hAnsi="Verdana" w:cs="Verdana"/>
                <w:sz w:val="22"/>
                <w:szCs w:val="22"/>
              </w:rPr>
            </w:pPr>
          </w:p>
        </w:tc>
        <w:tc>
          <w:tcPr>
            <w:tcW w:w="926" w:type="dxa"/>
            <w:gridSpan w:val="2"/>
            <w:tcBorders>
              <w:top w:val="nil"/>
              <w:left w:val="nil"/>
              <w:bottom w:val="nil"/>
              <w:right w:val="nil"/>
            </w:tcBorders>
            <w:tcMar>
              <w:top w:w="15" w:type="dxa"/>
              <w:left w:w="15" w:type="dxa"/>
              <w:right w:w="15" w:type="dxa"/>
            </w:tcMar>
            <w:vAlign w:val="bottom"/>
          </w:tcPr>
          <w:p w14:paraId="7FF9B7F6" w14:textId="28E0C31D" w:rsidR="449377F1" w:rsidRPr="00B00FCB" w:rsidRDefault="449377F1" w:rsidP="47E44940">
            <w:pPr>
              <w:rPr>
                <w:rFonts w:ascii="Verdana" w:eastAsia="Verdana" w:hAnsi="Verdana" w:cs="Verdana"/>
                <w:sz w:val="22"/>
                <w:szCs w:val="22"/>
              </w:rPr>
            </w:pPr>
          </w:p>
        </w:tc>
        <w:tc>
          <w:tcPr>
            <w:tcW w:w="1122"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2F4660C4" w14:textId="1A869E46"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28</w:t>
            </w:r>
          </w:p>
        </w:tc>
        <w:tc>
          <w:tcPr>
            <w:tcW w:w="1210" w:type="dxa"/>
            <w:gridSpan w:val="3"/>
            <w:tcBorders>
              <w:top w:val="nil"/>
              <w:left w:val="single" w:sz="8" w:space="0" w:color="auto"/>
              <w:bottom w:val="single" w:sz="8" w:space="0" w:color="auto"/>
              <w:right w:val="single" w:sz="8" w:space="0" w:color="auto"/>
            </w:tcBorders>
            <w:shd w:val="clear" w:color="auto" w:fill="F2F2F2" w:themeFill="background1" w:themeFillShade="F2"/>
            <w:tcMar>
              <w:top w:w="15" w:type="dxa"/>
              <w:left w:w="15" w:type="dxa"/>
              <w:right w:w="15" w:type="dxa"/>
            </w:tcMar>
            <w:vAlign w:val="center"/>
          </w:tcPr>
          <w:p w14:paraId="2A52D689" w14:textId="61CAD075" w:rsidR="449377F1" w:rsidRPr="00B00FCB" w:rsidRDefault="449377F1" w:rsidP="47E44940">
            <w:pPr>
              <w:jc w:val="center"/>
              <w:rPr>
                <w:rFonts w:ascii="Verdana" w:eastAsia="Verdana" w:hAnsi="Verdana" w:cs="Verdana"/>
                <w:b/>
                <w:bCs/>
                <w:color w:val="000000" w:themeColor="text1"/>
                <w:sz w:val="20"/>
                <w:szCs w:val="20"/>
              </w:rPr>
            </w:pPr>
            <w:r w:rsidRPr="00B00FCB">
              <w:rPr>
                <w:rFonts w:ascii="Verdana" w:eastAsia="Verdana" w:hAnsi="Verdana" w:cs="Verdana"/>
                <w:b/>
                <w:bCs/>
                <w:color w:val="000000" w:themeColor="text1"/>
                <w:sz w:val="20"/>
                <w:szCs w:val="20"/>
              </w:rPr>
              <w:t>142</w:t>
            </w:r>
          </w:p>
        </w:tc>
        <w:tc>
          <w:tcPr>
            <w:tcW w:w="1130" w:type="dxa"/>
            <w:gridSpan w:val="3"/>
            <w:tcBorders>
              <w:top w:val="single" w:sz="8" w:space="0" w:color="auto"/>
              <w:left w:val="single" w:sz="8" w:space="0" w:color="auto"/>
              <w:bottom w:val="nil"/>
              <w:right w:val="nil"/>
            </w:tcBorders>
            <w:tcMar>
              <w:top w:w="15" w:type="dxa"/>
              <w:left w:w="15" w:type="dxa"/>
              <w:right w:w="15" w:type="dxa"/>
            </w:tcMar>
            <w:vAlign w:val="center"/>
          </w:tcPr>
          <w:p w14:paraId="36FCA9E4" w14:textId="179479CD" w:rsidR="449377F1" w:rsidRPr="00B00FCB" w:rsidRDefault="449377F1" w:rsidP="47E44940">
            <w:pPr>
              <w:rPr>
                <w:rFonts w:ascii="Verdana" w:eastAsia="Verdana" w:hAnsi="Verdana" w:cs="Verdana"/>
                <w:sz w:val="22"/>
                <w:szCs w:val="22"/>
              </w:rPr>
            </w:pPr>
          </w:p>
        </w:tc>
        <w:tc>
          <w:tcPr>
            <w:tcW w:w="1225" w:type="dxa"/>
            <w:gridSpan w:val="3"/>
            <w:tcBorders>
              <w:top w:val="nil"/>
              <w:left w:val="nil"/>
              <w:bottom w:val="nil"/>
              <w:right w:val="nil"/>
            </w:tcBorders>
            <w:tcMar>
              <w:top w:w="15" w:type="dxa"/>
              <w:left w:w="15" w:type="dxa"/>
              <w:right w:w="15" w:type="dxa"/>
            </w:tcMar>
            <w:vAlign w:val="center"/>
          </w:tcPr>
          <w:p w14:paraId="65202C60" w14:textId="62445075" w:rsidR="449377F1" w:rsidRPr="00B00FCB" w:rsidRDefault="449377F1" w:rsidP="47E44940">
            <w:pPr>
              <w:rPr>
                <w:rFonts w:ascii="Verdana" w:eastAsia="Verdana" w:hAnsi="Verdana" w:cs="Verdana"/>
                <w:sz w:val="22"/>
                <w:szCs w:val="22"/>
              </w:rPr>
            </w:pPr>
          </w:p>
        </w:tc>
        <w:tc>
          <w:tcPr>
            <w:tcW w:w="1137" w:type="dxa"/>
            <w:gridSpan w:val="2"/>
            <w:tcBorders>
              <w:top w:val="single" w:sz="8" w:space="0" w:color="auto"/>
              <w:left w:val="nil"/>
              <w:bottom w:val="nil"/>
              <w:right w:val="nil"/>
            </w:tcBorders>
            <w:tcMar>
              <w:top w:w="15" w:type="dxa"/>
              <w:left w:w="15" w:type="dxa"/>
              <w:right w:w="15" w:type="dxa"/>
            </w:tcMar>
            <w:vAlign w:val="center"/>
          </w:tcPr>
          <w:p w14:paraId="78BF9BA8" w14:textId="3991EEFC" w:rsidR="449377F1" w:rsidRPr="00B00FCB" w:rsidRDefault="449377F1" w:rsidP="47E44940">
            <w:pPr>
              <w:rPr>
                <w:rFonts w:ascii="Verdana" w:eastAsia="Verdana" w:hAnsi="Verdana" w:cs="Verdana"/>
                <w:sz w:val="22"/>
                <w:szCs w:val="22"/>
              </w:rPr>
            </w:pPr>
          </w:p>
        </w:tc>
        <w:tc>
          <w:tcPr>
            <w:tcW w:w="1226" w:type="dxa"/>
            <w:gridSpan w:val="3"/>
            <w:tcBorders>
              <w:top w:val="nil"/>
              <w:left w:val="nil"/>
              <w:bottom w:val="nil"/>
              <w:right w:val="nil"/>
            </w:tcBorders>
            <w:tcMar>
              <w:top w:w="15" w:type="dxa"/>
              <w:left w:w="15" w:type="dxa"/>
              <w:right w:w="15" w:type="dxa"/>
            </w:tcMar>
            <w:vAlign w:val="center"/>
          </w:tcPr>
          <w:p w14:paraId="188C8BAC" w14:textId="49B97A4C" w:rsidR="449377F1" w:rsidRPr="00B00FCB" w:rsidRDefault="449377F1" w:rsidP="47E44940">
            <w:pPr>
              <w:rPr>
                <w:rFonts w:ascii="Verdana" w:eastAsia="Verdana" w:hAnsi="Verdana" w:cs="Verdana"/>
                <w:sz w:val="22"/>
                <w:szCs w:val="22"/>
              </w:rPr>
            </w:pPr>
          </w:p>
        </w:tc>
      </w:tr>
    </w:tbl>
    <w:p w14:paraId="23EE609F" w14:textId="77582E08" w:rsidR="47E44940" w:rsidRDefault="47E44940" w:rsidP="47E44940">
      <w:pPr>
        <w:rPr>
          <w:color w:val="000000" w:themeColor="text1"/>
        </w:rPr>
      </w:pPr>
    </w:p>
    <w:tbl>
      <w:tblPr>
        <w:tblStyle w:val="Tablaconcuadrcula"/>
        <w:tblW w:w="9632"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2064"/>
        <w:gridCol w:w="2064"/>
        <w:gridCol w:w="1376"/>
        <w:gridCol w:w="1376"/>
        <w:gridCol w:w="1376"/>
        <w:gridCol w:w="1376"/>
      </w:tblGrid>
      <w:tr w:rsidR="47E44940" w14:paraId="5A4F9EC4" w14:textId="77777777" w:rsidTr="00B00FCB">
        <w:trPr>
          <w:trHeight w:val="256"/>
        </w:trPr>
        <w:tc>
          <w:tcPr>
            <w:tcW w:w="9632" w:type="dxa"/>
            <w:gridSpan w:val="6"/>
            <w:tcBorders>
              <w:top w:val="single" w:sz="6" w:space="0" w:color="466CCA"/>
              <w:left w:val="single" w:sz="6" w:space="0" w:color="466CCA"/>
              <w:bottom w:val="single" w:sz="6" w:space="0" w:color="466CCA"/>
              <w:right w:val="single" w:sz="6" w:space="0" w:color="466CCA"/>
            </w:tcBorders>
            <w:tcMar>
              <w:top w:w="15" w:type="dxa"/>
              <w:left w:w="15" w:type="dxa"/>
              <w:right w:w="15" w:type="dxa"/>
            </w:tcMar>
            <w:vAlign w:val="center"/>
          </w:tcPr>
          <w:p w14:paraId="3BF37CCB" w14:textId="5EBAF9A3" w:rsidR="47E44940" w:rsidRPr="00B00FCB" w:rsidRDefault="47E44940" w:rsidP="00B00FCB">
            <w:pPr>
              <w:spacing w:before="240" w:after="240" w:line="14" w:lineRule="auto"/>
              <w:jc w:val="center"/>
              <w:rPr>
                <w:rFonts w:ascii="Verdana" w:eastAsia="Verdana" w:hAnsi="Verdana" w:cs="Verdana"/>
                <w:color w:val="000000" w:themeColor="text1"/>
                <w:sz w:val="48"/>
                <w:szCs w:val="48"/>
              </w:rPr>
            </w:pPr>
            <w:r w:rsidRPr="00B00FCB">
              <w:rPr>
                <w:rFonts w:ascii="Verdana" w:eastAsia="Verdana" w:hAnsi="Verdana" w:cs="Verdana"/>
                <w:color w:val="595959" w:themeColor="text1" w:themeTint="A6"/>
                <w:sz w:val="28"/>
                <w:szCs w:val="28"/>
                <w:lang w:val="es-ES"/>
              </w:rPr>
              <w:t>Licitación de obra pública de Infraestructura Social</w:t>
            </w:r>
          </w:p>
        </w:tc>
      </w:tr>
      <w:tr w:rsidR="47E44940" w14:paraId="49640D9E"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08F310E" w14:textId="43C6342C"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Sector Educativo</w:t>
            </w: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022F2B57" w14:textId="08E541FE"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800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3B231D27" w14:textId="7766271F"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801 y 1,500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6EEF6315" w14:textId="20EEB790"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1,501 y 2.500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27B8CC64" w14:textId="2968B6E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2.501 y 5.000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4B4D84E" w14:textId="5421737C"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5.001 SMMLV</w:t>
            </w:r>
          </w:p>
        </w:tc>
      </w:tr>
      <w:tr w:rsidR="47E44940" w14:paraId="1FA3AF16"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A642C1C" w14:textId="407DD03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lastRenderedPageBreak/>
              <w:t>Sector Salud</w:t>
            </w: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29D4B1B" w14:textId="748FB01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800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415F98EF" w14:textId="0A2DC9BF"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801 y 1,500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C966345" w14:textId="6A10213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1,501 y 3,000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9137256" w14:textId="49DCF773"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3,001 y 8.000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1B4BF9B0" w14:textId="26A67EFE"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8.001 SMMLV</w:t>
            </w:r>
          </w:p>
        </w:tc>
      </w:tr>
      <w:tr w:rsidR="47E44940" w14:paraId="0E351FB2"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0E8CA72C" w14:textId="258DEDE6"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Sector Cultura, recreación y deporte</w:t>
            </w: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07DFA922" w14:textId="584EE2D4"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600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8974325" w14:textId="3F196373"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601 y 1,000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AF35C85" w14:textId="1309E73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1001 y 1.800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32E835BE" w14:textId="01ACC5FC"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1.801 y 3.500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62287024" w14:textId="1ECE9B29"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3.501 SMMLV</w:t>
            </w:r>
          </w:p>
        </w:tc>
      </w:tr>
      <w:tr w:rsidR="47E44940" w14:paraId="5518FD89"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2CB15068" w14:textId="5EEC4D2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Sector Institucional de Servicio Público</w:t>
            </w: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25B1EA0D" w14:textId="45F72908"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8DB7E4D" w14:textId="4F27C5DB"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501 y 1,000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0623A82C" w14:textId="74EC413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1,001 y 3,000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BC7F552" w14:textId="1D20BC73"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3,001 y 10.000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E62B113" w14:textId="50E01163"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10.001 SMMLV</w:t>
            </w:r>
          </w:p>
        </w:tc>
      </w:tr>
      <w:tr w:rsidR="47E44940" w14:paraId="68D84D68"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37282AA3" w14:textId="1CC82489"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 xml:space="preserve">Sector Institucional de Seguridad Pública </w:t>
            </w:r>
          </w:p>
          <w:p w14:paraId="3F49D9DE" w14:textId="179D7BE5"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(Inc. Sitios de reclusión)</w:t>
            </w: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5B967B05" w14:textId="1B5B32D9"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1.000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2B3B4713" w14:textId="34EDA19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1,001 y 2,500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13EE9AD6" w14:textId="2FD2980F"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2,501 y 5.500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36C1118B" w14:textId="75FE985D"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5.501 y 20.000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0F9DC002" w14:textId="340130D2"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20.001 SMMLV</w:t>
            </w:r>
          </w:p>
        </w:tc>
      </w:tr>
      <w:tr w:rsidR="47E44940" w14:paraId="6FB665A5" w14:textId="77777777" w:rsidTr="00B00FCB">
        <w:trPr>
          <w:trHeight w:val="1020"/>
        </w:trPr>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11267C21" w14:textId="1FBAE109"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Sector Vivienda</w:t>
            </w:r>
          </w:p>
          <w:p w14:paraId="1E4B62A5" w14:textId="77E02358" w:rsidR="47E44940" w:rsidRPr="00B00FCB" w:rsidRDefault="47E44940" w:rsidP="00B00FCB">
            <w:pPr>
              <w:jc w:val="center"/>
              <w:rPr>
                <w:rFonts w:ascii="Verdana" w:eastAsia="Verdana" w:hAnsi="Verdana" w:cs="Verdana"/>
                <w:color w:val="000000" w:themeColor="text1"/>
                <w:sz w:val="20"/>
                <w:szCs w:val="20"/>
              </w:rPr>
            </w:pPr>
          </w:p>
        </w:tc>
        <w:tc>
          <w:tcPr>
            <w:tcW w:w="2064"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657FC521" w14:textId="75ABB2D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&lt; 800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1B73DF6A" w14:textId="2839155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801 y 1,500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399E9D2" w14:textId="408F43D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1,501 y 3,000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7A7E81F0" w14:textId="349BF5C7"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Entre 3,001 y 5.000 SMMLV</w:t>
            </w:r>
          </w:p>
        </w:tc>
        <w:tc>
          <w:tcPr>
            <w:tcW w:w="1376" w:type="dxa"/>
            <w:tcBorders>
              <w:top w:val="single" w:sz="6" w:space="0" w:color="466CCA"/>
              <w:left w:val="single" w:sz="6" w:space="0" w:color="466CCA"/>
              <w:bottom w:val="single" w:sz="6" w:space="0" w:color="466CCA"/>
              <w:right w:val="single" w:sz="6" w:space="0" w:color="466CCA"/>
            </w:tcBorders>
            <w:tcMar>
              <w:top w:w="12" w:type="dxa"/>
              <w:left w:w="12" w:type="dxa"/>
              <w:bottom w:w="72" w:type="dxa"/>
              <w:right w:w="12" w:type="dxa"/>
            </w:tcMar>
            <w:vAlign w:val="center"/>
          </w:tcPr>
          <w:p w14:paraId="2652FE99" w14:textId="166629A3" w:rsidR="47E44940" w:rsidRPr="00B00FCB" w:rsidRDefault="47E44940" w:rsidP="00B00FCB">
            <w:pPr>
              <w:jc w:val="center"/>
              <w:rPr>
                <w:rFonts w:ascii="Verdana" w:eastAsia="Verdana" w:hAnsi="Verdana" w:cs="Verdana"/>
                <w:color w:val="000000" w:themeColor="text1"/>
                <w:sz w:val="20"/>
                <w:szCs w:val="20"/>
              </w:rPr>
            </w:pPr>
            <w:r w:rsidRPr="00B00FCB">
              <w:rPr>
                <w:rFonts w:ascii="Verdana" w:eastAsia="Verdana" w:hAnsi="Verdana" w:cs="Verdana"/>
                <w:color w:val="000000" w:themeColor="text1"/>
                <w:sz w:val="20"/>
                <w:szCs w:val="20"/>
              </w:rPr>
              <w:t>Mayor o igual a 5.001 SMMLV</w:t>
            </w:r>
          </w:p>
        </w:tc>
      </w:tr>
    </w:tbl>
    <w:p w14:paraId="45974FEE" w14:textId="45F0991A" w:rsidR="47E44940" w:rsidRPr="00B00FCB" w:rsidRDefault="47E44940" w:rsidP="00B00FCB">
      <w:pPr>
        <w:rPr>
          <w:bCs/>
        </w:rPr>
      </w:pPr>
    </w:p>
    <w:p w14:paraId="4A4EAB59" w14:textId="71A1436B" w:rsidR="002D01AD" w:rsidRDefault="004E432B" w:rsidP="004E432B">
      <w:pPr>
        <w:pStyle w:val="Ttulo1"/>
        <w:jc w:val="both"/>
        <w:rPr>
          <w:rFonts w:ascii="Verdana" w:hAnsi="Verdana" w:cs="Arial"/>
          <w:b w:val="0"/>
          <w:bCs/>
          <w:color w:val="auto"/>
        </w:rPr>
      </w:pPr>
      <w:bookmarkStart w:id="26" w:name="_Toc196716367"/>
      <w:r w:rsidRPr="00B00FCB">
        <w:rPr>
          <w:rFonts w:ascii="Verdana" w:hAnsi="Verdana" w:cs="Arial"/>
          <w:b w:val="0"/>
          <w:bCs/>
          <w:color w:val="auto"/>
        </w:rPr>
        <w:lastRenderedPageBreak/>
        <w:t>De la misma manera</w:t>
      </w:r>
      <w:r>
        <w:rPr>
          <w:rFonts w:ascii="Verdana" w:hAnsi="Verdana" w:cs="Arial"/>
          <w:b w:val="0"/>
          <w:bCs/>
          <w:color w:val="auto"/>
        </w:rPr>
        <w:t xml:space="preserve"> se adelanto un análisis con la base del sector social, extraída de los datos </w:t>
      </w:r>
      <w:r w:rsidR="002D01AD">
        <w:rPr>
          <w:rFonts w:ascii="Verdana" w:hAnsi="Verdana" w:cs="Arial"/>
          <w:b w:val="0"/>
          <w:bCs/>
          <w:color w:val="auto"/>
        </w:rPr>
        <w:t>entregados por parte de la Subdirección Emae, donde podemos apreciar</w:t>
      </w:r>
      <w:r w:rsidR="00816A5E">
        <w:rPr>
          <w:rFonts w:ascii="Verdana" w:hAnsi="Verdana" w:cs="Arial"/>
          <w:b w:val="0"/>
          <w:bCs/>
          <w:color w:val="auto"/>
        </w:rPr>
        <w:t xml:space="preserve"> en cada uno de los subsectores que hacen parte del sector social</w:t>
      </w:r>
      <w:r w:rsidR="003C3876">
        <w:rPr>
          <w:rFonts w:ascii="Verdana" w:hAnsi="Verdana" w:cs="Arial"/>
          <w:b w:val="0"/>
          <w:bCs/>
          <w:color w:val="auto"/>
        </w:rPr>
        <w:t xml:space="preserve"> </w:t>
      </w:r>
      <w:r w:rsidR="00733125">
        <w:rPr>
          <w:rFonts w:ascii="Verdana" w:hAnsi="Verdana" w:cs="Arial"/>
          <w:b w:val="0"/>
          <w:bCs/>
          <w:color w:val="auto"/>
        </w:rPr>
        <w:t xml:space="preserve">el numero de contratos </w:t>
      </w:r>
      <w:r w:rsidR="0039790A">
        <w:rPr>
          <w:rFonts w:ascii="Verdana" w:hAnsi="Verdana" w:cs="Arial"/>
          <w:b w:val="0"/>
          <w:bCs/>
          <w:color w:val="auto"/>
        </w:rPr>
        <w:t>dividios por las cuantías</w:t>
      </w:r>
      <w:r w:rsidR="00287598">
        <w:rPr>
          <w:rFonts w:ascii="Verdana" w:hAnsi="Verdana" w:cs="Arial"/>
          <w:b w:val="0"/>
          <w:bCs/>
          <w:color w:val="auto"/>
        </w:rPr>
        <w:t xml:space="preserve"> y las modalidades de contratación del sector social, relacionado con obra pública, así</w:t>
      </w:r>
      <w:r w:rsidR="002D01AD">
        <w:rPr>
          <w:rFonts w:ascii="Verdana" w:hAnsi="Verdana" w:cs="Arial"/>
          <w:b w:val="0"/>
          <w:bCs/>
          <w:color w:val="auto"/>
        </w:rPr>
        <w:t xml:space="preserve">: </w:t>
      </w:r>
    </w:p>
    <w:p w14:paraId="00A825CE" w14:textId="39BF5648" w:rsidR="004E432B" w:rsidRDefault="004E432B" w:rsidP="004E432B">
      <w:pPr>
        <w:pStyle w:val="Ttulo1"/>
        <w:jc w:val="both"/>
        <w:rPr>
          <w:rFonts w:ascii="Verdana" w:hAnsi="Verdana" w:cs="Arial"/>
          <w:b w:val="0"/>
          <w:bCs/>
          <w:color w:val="auto"/>
        </w:rPr>
      </w:pPr>
      <w:r w:rsidRPr="00B00FCB">
        <w:rPr>
          <w:rFonts w:ascii="Verdana" w:hAnsi="Verdana" w:cs="Arial"/>
          <w:b w:val="0"/>
          <w:bCs/>
          <w:color w:val="auto"/>
        </w:rPr>
        <w:t xml:space="preserve"> </w:t>
      </w:r>
      <w:r w:rsidR="003C3876">
        <w:rPr>
          <w:rFonts w:ascii="Verdana" w:hAnsi="Verdana" w:cs="Arial"/>
          <w:b w:val="0"/>
          <w:bCs/>
          <w:noProof/>
          <w:color w:val="auto"/>
        </w:rPr>
        <w:drawing>
          <wp:inline distT="0" distB="0" distL="0" distR="0" wp14:anchorId="42689CCE" wp14:editId="3EE38703">
            <wp:extent cx="6115050" cy="2590800"/>
            <wp:effectExtent l="0" t="0" r="0" b="0"/>
            <wp:docPr id="244767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679CE9B8" w14:textId="6D379F17" w:rsidR="00297664" w:rsidRDefault="00297664" w:rsidP="00297664">
      <w:r>
        <w:rPr>
          <w:noProof/>
        </w:rPr>
        <w:drawing>
          <wp:inline distT="0" distB="0" distL="0" distR="0" wp14:anchorId="1022A882" wp14:editId="687BB765">
            <wp:extent cx="6120765" cy="2579370"/>
            <wp:effectExtent l="0" t="0" r="0" b="0"/>
            <wp:docPr id="1911881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2579370"/>
                    </a:xfrm>
                    <a:prstGeom prst="rect">
                      <a:avLst/>
                    </a:prstGeom>
                    <a:noFill/>
                    <a:ln>
                      <a:noFill/>
                    </a:ln>
                  </pic:spPr>
                </pic:pic>
              </a:graphicData>
            </a:graphic>
          </wp:inline>
        </w:drawing>
      </w:r>
    </w:p>
    <w:p w14:paraId="26B7C5C7" w14:textId="176E4BED" w:rsidR="00E01798" w:rsidRDefault="00E01798" w:rsidP="00297664">
      <w:r>
        <w:rPr>
          <w:noProof/>
        </w:rPr>
        <w:lastRenderedPageBreak/>
        <w:drawing>
          <wp:inline distT="0" distB="0" distL="0" distR="0" wp14:anchorId="3BFCE6BF" wp14:editId="0114D64F">
            <wp:extent cx="6115050" cy="3267075"/>
            <wp:effectExtent l="0" t="0" r="0" b="9525"/>
            <wp:docPr id="77266132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14:paraId="3C761050" w14:textId="72151DD0" w:rsidR="002F2B0D" w:rsidRDefault="002F2B0D" w:rsidP="00297664">
      <w:r>
        <w:rPr>
          <w:noProof/>
        </w:rPr>
        <w:drawing>
          <wp:inline distT="0" distB="0" distL="0" distR="0" wp14:anchorId="211EBA0E" wp14:editId="052B8835">
            <wp:extent cx="6115050" cy="2705100"/>
            <wp:effectExtent l="0" t="0" r="0" b="0"/>
            <wp:docPr id="18872766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2705100"/>
                    </a:xfrm>
                    <a:prstGeom prst="rect">
                      <a:avLst/>
                    </a:prstGeom>
                    <a:noFill/>
                    <a:ln>
                      <a:noFill/>
                    </a:ln>
                  </pic:spPr>
                </pic:pic>
              </a:graphicData>
            </a:graphic>
          </wp:inline>
        </w:drawing>
      </w:r>
    </w:p>
    <w:p w14:paraId="7F44D33B" w14:textId="6DDF2FA0" w:rsidR="00D959FD" w:rsidRDefault="00D959FD" w:rsidP="00297664">
      <w:r>
        <w:rPr>
          <w:noProof/>
        </w:rPr>
        <w:lastRenderedPageBreak/>
        <w:drawing>
          <wp:inline distT="0" distB="0" distL="0" distR="0" wp14:anchorId="130C0667" wp14:editId="4CFBAB15">
            <wp:extent cx="6120765" cy="3293745"/>
            <wp:effectExtent l="0" t="0" r="0" b="1905"/>
            <wp:docPr id="140834065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3293745"/>
                    </a:xfrm>
                    <a:prstGeom prst="rect">
                      <a:avLst/>
                    </a:prstGeom>
                    <a:noFill/>
                    <a:ln>
                      <a:noFill/>
                    </a:ln>
                  </pic:spPr>
                </pic:pic>
              </a:graphicData>
            </a:graphic>
          </wp:inline>
        </w:drawing>
      </w:r>
    </w:p>
    <w:p w14:paraId="31030BAC" w14:textId="6D113738" w:rsidR="00783E5D" w:rsidRDefault="00783E5D" w:rsidP="00297664">
      <w:r>
        <w:rPr>
          <w:noProof/>
        </w:rPr>
        <w:drawing>
          <wp:inline distT="0" distB="0" distL="0" distR="0" wp14:anchorId="4F262BF6" wp14:editId="450F0A76">
            <wp:extent cx="6115050" cy="2971800"/>
            <wp:effectExtent l="0" t="0" r="0" b="0"/>
            <wp:docPr id="14415890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3BBBB843" w14:textId="5819B78C" w:rsidR="00783E5D" w:rsidRDefault="00783E5D" w:rsidP="00297664"/>
    <w:p w14:paraId="437C6FC3" w14:textId="016CDBDA" w:rsidR="00783E5D" w:rsidRPr="00B00FCB" w:rsidRDefault="00783E5D" w:rsidP="00B00FCB">
      <w:pPr>
        <w:jc w:val="both"/>
        <w:rPr>
          <w:rFonts w:ascii="Verdana" w:hAnsi="Verdana"/>
          <w:sz w:val="22"/>
          <w:szCs w:val="22"/>
        </w:rPr>
      </w:pPr>
      <w:r w:rsidRPr="00B00FCB">
        <w:rPr>
          <w:rFonts w:ascii="Verdana" w:hAnsi="Verdana"/>
          <w:sz w:val="22"/>
          <w:szCs w:val="22"/>
        </w:rPr>
        <w:lastRenderedPageBreak/>
        <w:t>De esta manera se ajustaron los rangos de cuantías de las diferentes matrices del sector social, teniendo en cuenta la nueva data de 2021 a 2023 analizada por parte de la Subdirección EMAE.</w:t>
      </w:r>
    </w:p>
    <w:p w14:paraId="0DFC603B" w14:textId="0D152E91" w:rsidR="009029AF" w:rsidRPr="00A81BAA" w:rsidRDefault="005275AE" w:rsidP="47E44940">
      <w:pPr>
        <w:pStyle w:val="Ttulo1"/>
        <w:numPr>
          <w:ilvl w:val="0"/>
          <w:numId w:val="44"/>
        </w:numPr>
        <w:jc w:val="both"/>
        <w:rPr>
          <w:rFonts w:ascii="Verdana" w:hAnsi="Verdana" w:cs="Arial"/>
          <w:color w:val="auto"/>
        </w:rPr>
      </w:pPr>
      <w:r w:rsidRPr="00B00FCB">
        <w:rPr>
          <w:rFonts w:ascii="Verdana" w:eastAsia="Verdana" w:hAnsi="Verdana" w:cs="Verdana"/>
          <w:color w:val="auto"/>
          <w:sz w:val="20"/>
          <w:szCs w:val="20"/>
        </w:rPr>
        <w:t xml:space="preserve">Análisis de </w:t>
      </w:r>
      <w:r w:rsidR="009029AF" w:rsidRPr="00B00FCB">
        <w:rPr>
          <w:rFonts w:ascii="Verdana" w:eastAsia="Verdana" w:hAnsi="Verdana" w:cs="Verdana"/>
          <w:color w:val="auto"/>
          <w:sz w:val="20"/>
          <w:szCs w:val="20"/>
        </w:rPr>
        <w:t>requisitos habi</w:t>
      </w:r>
      <w:r w:rsidR="009029AF" w:rsidRPr="47E44940">
        <w:rPr>
          <w:rFonts w:ascii="Verdana" w:hAnsi="Verdana" w:cs="Arial"/>
          <w:color w:val="auto"/>
        </w:rPr>
        <w:t>litantes</w:t>
      </w:r>
      <w:r w:rsidR="00E021FE" w:rsidRPr="47E44940">
        <w:rPr>
          <w:rFonts w:ascii="Verdana" w:hAnsi="Verdana" w:cs="Arial"/>
          <w:color w:val="auto"/>
        </w:rPr>
        <w:t xml:space="preserve"> solicitados en</w:t>
      </w:r>
      <w:r w:rsidR="00E021FE" w:rsidRPr="47E44940">
        <w:rPr>
          <w:rFonts w:ascii="Verdana" w:eastAsia="Calibri" w:hAnsi="Verdana" w:cs="Arial"/>
          <w:color w:val="auto"/>
        </w:rPr>
        <w:t xml:space="preserve"> los </w:t>
      </w:r>
      <w:r w:rsidR="00E021FE" w:rsidRPr="47E44940">
        <w:rPr>
          <w:rFonts w:ascii="Verdana" w:hAnsi="Verdana" w:cs="Arial"/>
          <w:color w:val="auto"/>
        </w:rPr>
        <w:t xml:space="preserve">documentos tipo </w:t>
      </w:r>
      <w:r w:rsidR="00B11B55" w:rsidRPr="47E44940">
        <w:rPr>
          <w:rFonts w:ascii="Verdana" w:hAnsi="Verdana" w:cs="Arial"/>
          <w:color w:val="auto"/>
        </w:rPr>
        <w:t xml:space="preserve">para proyectos </w:t>
      </w:r>
      <w:r w:rsidR="00E021FE" w:rsidRPr="47E44940">
        <w:rPr>
          <w:rFonts w:ascii="Verdana" w:hAnsi="Verdana" w:cs="Arial"/>
          <w:color w:val="auto"/>
        </w:rPr>
        <w:t xml:space="preserve">de obra pública de infraestructura </w:t>
      </w:r>
      <w:r w:rsidR="009C1533" w:rsidRPr="47E44940">
        <w:rPr>
          <w:rFonts w:ascii="Verdana" w:hAnsi="Verdana" w:cs="Arial"/>
          <w:color w:val="auto"/>
        </w:rPr>
        <w:t>social</w:t>
      </w:r>
      <w:bookmarkEnd w:id="26"/>
    </w:p>
    <w:p w14:paraId="3A9E9A4A" w14:textId="4B49AFA8" w:rsidR="009029AF" w:rsidRPr="00A81BAA" w:rsidRDefault="009029AF" w:rsidP="00E42FDE">
      <w:pPr>
        <w:pStyle w:val="Ttulo2"/>
        <w:numPr>
          <w:ilvl w:val="0"/>
          <w:numId w:val="46"/>
        </w:numPr>
        <w:rPr>
          <w:rFonts w:ascii="Verdana" w:hAnsi="Verdana" w:cs="Arial"/>
          <w:color w:val="auto"/>
          <w:szCs w:val="22"/>
        </w:rPr>
      </w:pPr>
      <w:bookmarkStart w:id="27" w:name="_Toc196716368"/>
      <w:r w:rsidRPr="00A81BAA">
        <w:rPr>
          <w:rFonts w:ascii="Verdana" w:hAnsi="Verdana" w:cs="Arial"/>
          <w:color w:val="auto"/>
          <w:szCs w:val="22"/>
        </w:rPr>
        <w:t>Capacidad jurídica</w:t>
      </w:r>
      <w:bookmarkEnd w:id="27"/>
    </w:p>
    <w:p w14:paraId="2C4D667B" w14:textId="77777777" w:rsidR="00202A05" w:rsidRDefault="00202A05" w:rsidP="00202A05">
      <w:pPr>
        <w:rPr>
          <w:rFonts w:ascii="Verdana" w:hAnsi="Verdana"/>
        </w:rPr>
      </w:pPr>
    </w:p>
    <w:p w14:paraId="050DD150" w14:textId="77777777" w:rsidR="00C36022" w:rsidRPr="00C36022" w:rsidRDefault="00C36022" w:rsidP="00C36022">
      <w:pPr>
        <w:rPr>
          <w:rFonts w:ascii="Verdana" w:hAnsi="Verdana"/>
        </w:rPr>
      </w:pPr>
      <w:r w:rsidRPr="00C36022">
        <w:rPr>
          <w:rFonts w:ascii="Verdana" w:hAnsi="Verdana"/>
          <w:b/>
          <w:bCs/>
        </w:rPr>
        <w:t>Razones por las cuales los documentos tipo se modifican:</w:t>
      </w:r>
    </w:p>
    <w:p w14:paraId="7E23A5C7" w14:textId="77777777" w:rsidR="00C36022" w:rsidRPr="00C36022" w:rsidRDefault="00C36022" w:rsidP="00C36022">
      <w:pPr>
        <w:numPr>
          <w:ilvl w:val="0"/>
          <w:numId w:val="77"/>
        </w:numPr>
        <w:rPr>
          <w:rFonts w:ascii="Verdana" w:hAnsi="Verdana"/>
        </w:rPr>
      </w:pPr>
      <w:r w:rsidRPr="00C36022">
        <w:rPr>
          <w:rFonts w:ascii="Verdana" w:hAnsi="Verdana"/>
          <w:b/>
          <w:bCs/>
        </w:rPr>
        <w:t>Cambios en las circunstancias:</w:t>
      </w:r>
      <w:r w:rsidRPr="00C36022">
        <w:rPr>
          <w:rFonts w:ascii="Verdana" w:hAnsi="Verdana"/>
        </w:rPr>
        <w:br/>
        <w:t>Los documentos pueden ser modificados cuando surgen cambios jurídicos, económicos, sociales o cualquier otra circunstancia relevante que justifique su actualización.</w:t>
      </w:r>
    </w:p>
    <w:p w14:paraId="389BBA94" w14:textId="77777777" w:rsidR="00C36022" w:rsidRPr="00C36022" w:rsidRDefault="00C36022" w:rsidP="00C36022">
      <w:pPr>
        <w:numPr>
          <w:ilvl w:val="0"/>
          <w:numId w:val="77"/>
        </w:numPr>
        <w:rPr>
          <w:rFonts w:ascii="Verdana" w:hAnsi="Verdana"/>
        </w:rPr>
      </w:pPr>
      <w:r w:rsidRPr="00C36022">
        <w:rPr>
          <w:rFonts w:ascii="Verdana" w:hAnsi="Verdana"/>
          <w:b/>
          <w:bCs/>
        </w:rPr>
        <w:t>Corrección de errores:</w:t>
      </w:r>
      <w:r w:rsidRPr="00C36022">
        <w:rPr>
          <w:rFonts w:ascii="Verdana" w:hAnsi="Verdana"/>
        </w:rPr>
        <w:br/>
        <w:t>Si se detectan fallos, imperfecciones o inconsistencias en la elaboración o implementación de los documentos, se procede a su modificación para subsanar dichos errores.</w:t>
      </w:r>
    </w:p>
    <w:p w14:paraId="4951A033" w14:textId="77777777" w:rsidR="00C36022" w:rsidRPr="00C36022" w:rsidRDefault="00C36022" w:rsidP="00C36022">
      <w:pPr>
        <w:numPr>
          <w:ilvl w:val="0"/>
          <w:numId w:val="77"/>
        </w:numPr>
        <w:rPr>
          <w:rFonts w:ascii="Verdana" w:hAnsi="Verdana"/>
        </w:rPr>
      </w:pPr>
      <w:r w:rsidRPr="00C36022">
        <w:rPr>
          <w:rFonts w:ascii="Verdana" w:hAnsi="Verdana"/>
          <w:b/>
          <w:bCs/>
        </w:rPr>
        <w:t>Mejora de la eficiencia:</w:t>
      </w:r>
      <w:r w:rsidRPr="00C36022">
        <w:rPr>
          <w:rFonts w:ascii="Verdana" w:hAnsi="Verdana"/>
        </w:rPr>
        <w:br/>
        <w:t>En ocasiones, se busca mejorar la transparencia, la claridad y la eficiencia de los procesos relacionados con los documentos. Esto puede incluir simplificar procedimientos o adaptar el contenido a mejores prácticas.</w:t>
      </w:r>
    </w:p>
    <w:p w14:paraId="5B7B9599" w14:textId="77777777" w:rsidR="00C36022" w:rsidRPr="00C36022" w:rsidRDefault="00C36022" w:rsidP="00C36022">
      <w:pPr>
        <w:numPr>
          <w:ilvl w:val="0"/>
          <w:numId w:val="77"/>
        </w:numPr>
        <w:rPr>
          <w:rFonts w:ascii="Verdana" w:hAnsi="Verdana"/>
        </w:rPr>
      </w:pPr>
      <w:r w:rsidRPr="00C36022">
        <w:rPr>
          <w:rFonts w:ascii="Verdana" w:hAnsi="Verdana"/>
          <w:b/>
          <w:bCs/>
        </w:rPr>
        <w:t>Adaptación a nuevas normativas:</w:t>
      </w:r>
      <w:r w:rsidRPr="00C36022">
        <w:rPr>
          <w:rFonts w:ascii="Verdana" w:hAnsi="Verdana"/>
        </w:rPr>
        <w:br/>
        <w:t>Los cambios en las normativas, leyes o regulaciones pueden requerir la modificación de los documentos para garantizar su cumplimiento.</w:t>
      </w:r>
    </w:p>
    <w:p w14:paraId="1538D3BF" w14:textId="77777777" w:rsidR="0087500F" w:rsidRPr="00A81BAA" w:rsidRDefault="0087500F" w:rsidP="00202A05">
      <w:pPr>
        <w:rPr>
          <w:rFonts w:ascii="Verdana" w:hAnsi="Verdana"/>
        </w:rPr>
      </w:pPr>
    </w:p>
    <w:p w14:paraId="735811F6" w14:textId="2FF58753" w:rsidR="00DD7989" w:rsidRPr="009A442D" w:rsidRDefault="00DD7989" w:rsidP="00DD7989">
      <w:pPr>
        <w:jc w:val="both"/>
        <w:rPr>
          <w:rFonts w:ascii="Verdana" w:hAnsi="Verdana" w:cs="Arial"/>
          <w:sz w:val="22"/>
          <w:szCs w:val="22"/>
        </w:rPr>
      </w:pPr>
      <w:r w:rsidRPr="0C601FD4">
        <w:rPr>
          <w:rFonts w:ascii="Verdana" w:hAnsi="Verdana" w:cs="Arial"/>
          <w:sz w:val="22"/>
          <w:szCs w:val="22"/>
        </w:rPr>
        <w:t xml:space="preserve">El Documento base de infraestructura </w:t>
      </w:r>
      <w:r w:rsidR="5607A115" w:rsidRPr="005E7310">
        <w:rPr>
          <w:rFonts w:ascii="Verdana" w:hAnsi="Verdana" w:cs="Arial"/>
          <w:sz w:val="22"/>
          <w:szCs w:val="22"/>
        </w:rPr>
        <w:t xml:space="preserve">social </w:t>
      </w:r>
      <w:r w:rsidRPr="00B00FCB">
        <w:rPr>
          <w:rFonts w:ascii="Verdana" w:hAnsi="Verdana" w:cs="Arial"/>
          <w:sz w:val="22"/>
          <w:szCs w:val="22"/>
        </w:rPr>
        <w:t xml:space="preserve"> vigente</w:t>
      </w:r>
      <w:r w:rsidRPr="005E7310">
        <w:rPr>
          <w:rFonts w:ascii="Verdana" w:hAnsi="Verdana" w:cs="Arial"/>
          <w:sz w:val="22"/>
          <w:szCs w:val="22"/>
        </w:rPr>
        <w:t xml:space="preserve"> (</w:t>
      </w:r>
      <w:r w:rsidRPr="00B00FCB">
        <w:rPr>
          <w:rFonts w:ascii="Verdana" w:hAnsi="Verdana" w:cs="Arial"/>
          <w:sz w:val="22"/>
          <w:szCs w:val="22"/>
        </w:rPr>
        <w:t>licitación pública</w:t>
      </w:r>
      <w:r w:rsidRPr="005E7310">
        <w:rPr>
          <w:rFonts w:ascii="Verdana" w:hAnsi="Verdana" w:cs="Arial"/>
          <w:sz w:val="22"/>
          <w:szCs w:val="22"/>
        </w:rPr>
        <w:t>, el</w:t>
      </w:r>
      <w:r w:rsidRPr="0C601FD4">
        <w:rPr>
          <w:rFonts w:ascii="Verdana" w:hAnsi="Verdana" w:cs="Arial"/>
          <w:sz w:val="22"/>
          <w:szCs w:val="22"/>
        </w:rPr>
        <w:t xml:space="preserve"> cual se pretende actualizar, contiene en el Capítulo III los requisitos de Capacidad Jurídica que deben acreditar los proponentes dentro de los procesos de selección, en tal sentido dichos criterios no son objeto de modificación partiendo del criterio que los mismos reflejan condiciones de ley que se deben cumplir obligatoriamente, sin embargo, es de destacar que desde la expedición de la versión a actualizar a la fecha se han expedido algunas normas que pueden impactar la capacidad jurídica de los proponentes, para lo cual del análisis de estas y en conjunto con la observaciones que se presentaron en las </w:t>
      </w:r>
      <w:r w:rsidRPr="0C601FD4">
        <w:rPr>
          <w:rFonts w:ascii="Verdana" w:hAnsi="Verdana" w:cs="Arial"/>
          <w:sz w:val="22"/>
          <w:szCs w:val="22"/>
        </w:rPr>
        <w:lastRenderedPageBreak/>
        <w:t>mesas técnicas realizadas con entidades especializadas del sector, se proponen los siguientes ajustes en este criterio:</w:t>
      </w:r>
    </w:p>
    <w:p w14:paraId="14B60E2B" w14:textId="77777777" w:rsidR="00DD7989" w:rsidRPr="009A442D" w:rsidRDefault="00DD7989" w:rsidP="00DD7989">
      <w:pPr>
        <w:jc w:val="both"/>
        <w:rPr>
          <w:rFonts w:ascii="Verdana" w:hAnsi="Verdana" w:cs="Arial"/>
          <w:sz w:val="22"/>
          <w:szCs w:val="22"/>
        </w:rPr>
      </w:pPr>
    </w:p>
    <w:p w14:paraId="274A4E94" w14:textId="77777777" w:rsidR="00DD7989" w:rsidRPr="009A442D" w:rsidRDefault="00DD7989" w:rsidP="00E42FDE">
      <w:pPr>
        <w:pStyle w:val="Prrafodelista"/>
        <w:numPr>
          <w:ilvl w:val="0"/>
          <w:numId w:val="48"/>
        </w:numPr>
        <w:rPr>
          <w:rFonts w:ascii="Verdana" w:hAnsi="Verdana" w:cs="Arial"/>
        </w:rPr>
      </w:pPr>
      <w:r w:rsidRPr="009A442D">
        <w:rPr>
          <w:rFonts w:ascii="Verdana" w:hAnsi="Verdana" w:cs="Arial"/>
        </w:rPr>
        <w:t>Incorporación de solicitud del certificado del Registro de Deudores Alimentarios Morosos – REDAM – esto en virtud de las inhabilidades que se establecen en el artículo 6 de la ley 2097 de 2021</w:t>
      </w:r>
    </w:p>
    <w:p w14:paraId="68B55E21" w14:textId="77777777" w:rsidR="00DD7989" w:rsidRPr="009A442D" w:rsidRDefault="00DD7989" w:rsidP="00DD7989">
      <w:pPr>
        <w:pStyle w:val="Prrafodelista"/>
        <w:rPr>
          <w:rFonts w:ascii="Verdana" w:hAnsi="Verdana" w:cs="Arial"/>
        </w:rPr>
      </w:pPr>
    </w:p>
    <w:p w14:paraId="14B0590D" w14:textId="4D999B6D" w:rsidR="00DD7989" w:rsidRPr="00133EE0" w:rsidRDefault="00DD7989" w:rsidP="00E42FDE">
      <w:pPr>
        <w:pStyle w:val="Prrafodelista"/>
        <w:numPr>
          <w:ilvl w:val="0"/>
          <w:numId w:val="48"/>
        </w:numPr>
        <w:rPr>
          <w:rFonts w:ascii="Verdana" w:hAnsi="Verdana" w:cs="Arial"/>
        </w:rPr>
      </w:pPr>
      <w:r w:rsidRPr="009A442D">
        <w:rPr>
          <w:rFonts w:ascii="Verdana" w:hAnsi="Verdana" w:cs="Arial"/>
        </w:rPr>
        <w:t>Incorporar ajuste de redacción respecto a la forma en cómo se acredita el cumplimiento de pagos de seguridad social y aportes legales, en el sentido de alinearlo con los esfuerzos y programas que adelanta el Gobierno Nacional en materia de pensiones, en donde a la fecha se reconocen sustitutivos de la pensión, por lo cual se debe incorporar un criterio que permita a las personas que están bajo esta situación su participación en los procesos de selección</w:t>
      </w:r>
    </w:p>
    <w:p w14:paraId="4C54FAD3" w14:textId="77777777" w:rsidR="00DD7989" w:rsidRPr="00F81F35" w:rsidRDefault="00DD7989" w:rsidP="00DD7989">
      <w:pPr>
        <w:jc w:val="both"/>
        <w:rPr>
          <w:rFonts w:ascii="Verdana" w:hAnsi="Verdana" w:cs="Arial"/>
          <w:sz w:val="22"/>
          <w:szCs w:val="22"/>
        </w:rPr>
      </w:pPr>
      <w:r w:rsidRPr="00F81F35">
        <w:rPr>
          <w:rFonts w:ascii="Verdana" w:hAnsi="Verdana" w:cs="Arial"/>
          <w:sz w:val="22"/>
          <w:szCs w:val="22"/>
        </w:rPr>
        <w:t> </w:t>
      </w:r>
    </w:p>
    <w:p w14:paraId="732745D8" w14:textId="77777777" w:rsidR="00DD7989" w:rsidRPr="00F81F35" w:rsidRDefault="00DD7989" w:rsidP="00DD7989">
      <w:pPr>
        <w:jc w:val="both"/>
        <w:rPr>
          <w:rFonts w:ascii="Verdana" w:hAnsi="Verdana" w:cs="Arial"/>
          <w:sz w:val="22"/>
          <w:szCs w:val="22"/>
        </w:rPr>
      </w:pPr>
      <w:r w:rsidRPr="00F81F35">
        <w:rPr>
          <w:rFonts w:ascii="Verdana" w:hAnsi="Verdana" w:cs="Arial"/>
          <w:sz w:val="22"/>
          <w:szCs w:val="22"/>
        </w:rPr>
        <w:t>Adicional a lo anterior, se realizan ajustes de redacción o de tipo jurídico, que, si bien no inciden de forma directa en la capacidad jurídica, si hacen parte del componente de evaluación legal, requisitos habilitantes y causales de rechazo, tales como:  </w:t>
      </w:r>
    </w:p>
    <w:p w14:paraId="44AF5D77" w14:textId="77777777" w:rsidR="00DD7989" w:rsidRPr="00F81F35" w:rsidRDefault="00DD7989" w:rsidP="00DD7989">
      <w:pPr>
        <w:rPr>
          <w:rFonts w:ascii="Verdana" w:hAnsi="Verdana" w:cs="Arial"/>
          <w:sz w:val="22"/>
          <w:szCs w:val="22"/>
        </w:rPr>
      </w:pPr>
      <w:r w:rsidRPr="00F81F35">
        <w:rPr>
          <w:rFonts w:ascii="Verdana" w:hAnsi="Verdana" w:cs="Arial"/>
          <w:sz w:val="22"/>
          <w:szCs w:val="22"/>
        </w:rPr>
        <w:t>  </w:t>
      </w:r>
    </w:p>
    <w:p w14:paraId="16A16A96" w14:textId="77777777" w:rsidR="00DD7989" w:rsidRPr="00F81F35" w:rsidRDefault="00DD7989" w:rsidP="00E42FDE">
      <w:pPr>
        <w:numPr>
          <w:ilvl w:val="0"/>
          <w:numId w:val="67"/>
        </w:numPr>
        <w:jc w:val="both"/>
        <w:rPr>
          <w:rFonts w:ascii="Verdana" w:hAnsi="Verdana" w:cs="Arial"/>
          <w:sz w:val="22"/>
          <w:szCs w:val="22"/>
        </w:rPr>
      </w:pPr>
      <w:r w:rsidRPr="00F81F35">
        <w:rPr>
          <w:rFonts w:ascii="Verdana" w:hAnsi="Verdana" w:cs="Arial"/>
          <w:sz w:val="22"/>
          <w:szCs w:val="22"/>
        </w:rPr>
        <w:t>Se incluye redacción del Decreto 142 de 2023, con el fin de poder realizar limitación de procesos a Mipyme respecto de los lotes o segmentos que conformen el proceso.  </w:t>
      </w:r>
    </w:p>
    <w:p w14:paraId="4982B37D" w14:textId="77777777" w:rsidR="00DD7989" w:rsidRPr="00F81F35" w:rsidRDefault="00DD7989" w:rsidP="00DD7989">
      <w:pPr>
        <w:rPr>
          <w:rFonts w:ascii="Verdana" w:hAnsi="Verdana" w:cs="Arial"/>
          <w:sz w:val="22"/>
          <w:szCs w:val="22"/>
        </w:rPr>
      </w:pPr>
      <w:r w:rsidRPr="00F81F35">
        <w:rPr>
          <w:rFonts w:ascii="Verdana" w:hAnsi="Verdana" w:cs="Arial"/>
          <w:sz w:val="22"/>
          <w:szCs w:val="22"/>
        </w:rPr>
        <w:t> </w:t>
      </w:r>
    </w:p>
    <w:p w14:paraId="362CA8B0" w14:textId="77777777" w:rsidR="00DD7989" w:rsidRPr="00F81F35" w:rsidRDefault="00DD7989" w:rsidP="00E42FDE">
      <w:pPr>
        <w:numPr>
          <w:ilvl w:val="0"/>
          <w:numId w:val="68"/>
        </w:numPr>
        <w:jc w:val="both"/>
        <w:rPr>
          <w:rFonts w:ascii="Verdana" w:hAnsi="Verdana" w:cs="Arial"/>
          <w:sz w:val="22"/>
          <w:szCs w:val="22"/>
        </w:rPr>
      </w:pPr>
      <w:r w:rsidRPr="00F81F35">
        <w:rPr>
          <w:rFonts w:ascii="Verdana" w:hAnsi="Verdana" w:cs="Arial"/>
          <w:sz w:val="22"/>
          <w:szCs w:val="22"/>
        </w:rPr>
        <w:t>Se amplía la posibilidad a las entidades estatales de solicitar garantías adicionales a las descritas en el Decreto 1082 de 2015, para la etapa contractual, según la necesidad que identifique en la estructuración del proceso  </w:t>
      </w:r>
    </w:p>
    <w:p w14:paraId="6A503F74" w14:textId="77777777" w:rsidR="00DD7989" w:rsidRPr="00F81F35" w:rsidRDefault="00DD7989" w:rsidP="00DD7989">
      <w:pPr>
        <w:rPr>
          <w:rFonts w:ascii="Verdana" w:hAnsi="Verdana" w:cs="Arial"/>
          <w:sz w:val="22"/>
          <w:szCs w:val="22"/>
        </w:rPr>
      </w:pPr>
      <w:r w:rsidRPr="00F81F35">
        <w:rPr>
          <w:rFonts w:ascii="Verdana" w:hAnsi="Verdana" w:cs="Arial"/>
          <w:sz w:val="22"/>
          <w:szCs w:val="22"/>
        </w:rPr>
        <w:t>  </w:t>
      </w:r>
    </w:p>
    <w:p w14:paraId="239F24FA" w14:textId="77777777" w:rsidR="00DD7989" w:rsidRPr="006251BF" w:rsidRDefault="00DD7989" w:rsidP="00E42FDE">
      <w:pPr>
        <w:numPr>
          <w:ilvl w:val="0"/>
          <w:numId w:val="69"/>
        </w:numPr>
        <w:jc w:val="both"/>
        <w:rPr>
          <w:rFonts w:ascii="Verdana" w:hAnsi="Verdana" w:cs="Arial"/>
          <w:sz w:val="22"/>
          <w:szCs w:val="22"/>
        </w:rPr>
      </w:pPr>
      <w:r w:rsidRPr="006251BF">
        <w:rPr>
          <w:rFonts w:ascii="Verdana" w:hAnsi="Verdana" w:cs="Arial"/>
          <w:sz w:val="22"/>
          <w:szCs w:val="22"/>
        </w:rPr>
        <w:t>Se ajustan las redacciones de causales de rechazo para su mejor aplicación, así mismo se incorporan causales de rechazo que corresponden al uso de la plataforma y que se encontraban en manuales y guías emitidas por la entidad, en específico se encontraran listadas las siguientes causales de rechazo:</w:t>
      </w:r>
    </w:p>
    <w:p w14:paraId="7773D06A" w14:textId="77777777" w:rsidR="005E706A" w:rsidRPr="006251BF" w:rsidRDefault="005E706A" w:rsidP="005E706A">
      <w:pPr>
        <w:ind w:left="720"/>
        <w:jc w:val="both"/>
        <w:rPr>
          <w:rFonts w:ascii="Verdana" w:hAnsi="Verdana" w:cs="Arial"/>
          <w:sz w:val="22"/>
          <w:szCs w:val="22"/>
        </w:rPr>
      </w:pPr>
    </w:p>
    <w:p w14:paraId="31D6E423" w14:textId="0154029A" w:rsidR="00DD7989" w:rsidRDefault="005E706A" w:rsidP="005E706A">
      <w:pPr>
        <w:pStyle w:val="Prrafodelista"/>
        <w:spacing w:line="259" w:lineRule="auto"/>
        <w:rPr>
          <w:rFonts w:ascii="Verdana" w:eastAsia="Times New Roman" w:hAnsi="Verdana" w:cs="Arial"/>
          <w:lang w:eastAsia="es-MX"/>
        </w:rPr>
      </w:pPr>
      <w:r w:rsidRPr="177792B3">
        <w:rPr>
          <w:rFonts w:ascii="Verdana" w:eastAsia="Times New Roman" w:hAnsi="Verdana" w:cs="Arial"/>
          <w:lang w:eastAsia="es-MX"/>
        </w:rPr>
        <w:t>D Que al proponente se le haya requerido con el propósito de subsanar o aclarar o aportar un documento de la propuesta y no lo efectúe dentro del plazo indicado o no lo realice correctamente o de acuerdo con lo solicitado, siempre que la subsanación, aclaración o aporte requerido sea</w:t>
      </w:r>
      <w:r w:rsidRPr="177792B3">
        <w:rPr>
          <w:rFonts w:eastAsia="Arial" w:cs="Arial"/>
          <w:lang w:val="es-MX"/>
        </w:rPr>
        <w:t xml:space="preserve"> </w:t>
      </w:r>
      <w:r w:rsidRPr="177792B3">
        <w:rPr>
          <w:rFonts w:ascii="Verdana" w:eastAsia="Times New Roman" w:hAnsi="Verdana" w:cs="Arial"/>
          <w:lang w:eastAsia="es-MX"/>
        </w:rPr>
        <w:t>necesario para cumplir con un requisito habilitante en los términos establecidos en la sección 1.6 del Documento Base.</w:t>
      </w:r>
    </w:p>
    <w:p w14:paraId="486E50DE" w14:textId="7352087D" w:rsidR="00793FE8" w:rsidRPr="005E706A" w:rsidRDefault="0089571C" w:rsidP="005E706A">
      <w:pPr>
        <w:pStyle w:val="Prrafodelista"/>
        <w:spacing w:line="259" w:lineRule="auto"/>
        <w:rPr>
          <w:rFonts w:ascii="Verdana" w:eastAsia="Times New Roman" w:hAnsi="Verdana" w:cs="Arial"/>
          <w:lang w:eastAsia="es-MX"/>
        </w:rPr>
      </w:pPr>
      <w:r>
        <w:rPr>
          <w:rFonts w:ascii="Verdana" w:eastAsia="Times New Roman" w:hAnsi="Verdana" w:cs="Arial"/>
          <w:lang w:eastAsia="es-MX"/>
        </w:rPr>
        <w:lastRenderedPageBreak/>
        <w:t xml:space="preserve">U. </w:t>
      </w:r>
      <w:r w:rsidR="00793FE8" w:rsidRPr="00793FE8">
        <w:rPr>
          <w:rFonts w:ascii="Verdana" w:eastAsia="Times New Roman" w:hAnsi="Verdana" w:cs="Arial"/>
          <w:lang w:eastAsia="es-MX"/>
        </w:rPr>
        <w:t>Presentar más de una oferta económica con valores distintos en el Sobre 2. [Cuando el proceso se estructure por lotes o segmentos reemplazar el texto anterior por el siguiente: Presentar más de una oferta económica con valores distintos para el mismo lote o segmentos]</w:t>
      </w:r>
    </w:p>
    <w:p w14:paraId="4541C341" w14:textId="5D799635" w:rsidR="00DD7989" w:rsidRPr="006251BF" w:rsidRDefault="006251BF" w:rsidP="006251BF">
      <w:pPr>
        <w:pStyle w:val="Prrafodelista"/>
        <w:spacing w:before="240" w:after="200"/>
        <w:rPr>
          <w:rFonts w:ascii="Verdana" w:eastAsia="Times New Roman" w:hAnsi="Verdana" w:cs="Arial"/>
          <w:lang w:eastAsia="es-MX"/>
        </w:rPr>
      </w:pPr>
      <w:r w:rsidRPr="00E66EA4">
        <w:rPr>
          <w:rFonts w:ascii="Verdana" w:eastAsia="Times New Roman" w:hAnsi="Verdana" w:cs="Arial"/>
          <w:lang w:eastAsia="es-MX"/>
        </w:rPr>
        <w:t>B.B.</w:t>
      </w:r>
      <w:r w:rsidR="00DD7989" w:rsidRPr="00E66EA4">
        <w:rPr>
          <w:rFonts w:ascii="Verdana" w:eastAsia="Times New Roman" w:hAnsi="Verdana" w:cs="Arial"/>
          <w:lang w:eastAsia="es-MX"/>
        </w:rPr>
        <w:t xml:space="preserve"> Cuando la Entidad Estatal evidencie que la propuesta suscrita por un Proponente Plural sea presentada desde un usuario del SECOP II diferente al de la unión temporal o consorcio, según corresponda.”</w:t>
      </w:r>
    </w:p>
    <w:p w14:paraId="06EC7B92" w14:textId="787DB337" w:rsidR="00DD7989" w:rsidRPr="007A2B20" w:rsidRDefault="00DD7989" w:rsidP="00E42FDE">
      <w:pPr>
        <w:numPr>
          <w:ilvl w:val="0"/>
          <w:numId w:val="70"/>
        </w:numPr>
        <w:jc w:val="both"/>
        <w:rPr>
          <w:rFonts w:ascii="Verdana" w:hAnsi="Verdana" w:cs="Arial"/>
          <w:sz w:val="22"/>
          <w:szCs w:val="22"/>
        </w:rPr>
      </w:pPr>
      <w:r w:rsidRPr="177792B3">
        <w:rPr>
          <w:rFonts w:ascii="Verdana" w:hAnsi="Verdana" w:cs="Arial"/>
          <w:sz w:val="22"/>
          <w:szCs w:val="22"/>
        </w:rPr>
        <w:t xml:space="preserve">Se ajustan las obligaciones </w:t>
      </w:r>
      <w:r w:rsidR="006251BF" w:rsidRPr="177792B3">
        <w:rPr>
          <w:rFonts w:ascii="Verdana" w:hAnsi="Verdana" w:cs="Arial"/>
          <w:sz w:val="22"/>
          <w:szCs w:val="22"/>
        </w:rPr>
        <w:t>específicas</w:t>
      </w:r>
      <w:r w:rsidRPr="177792B3">
        <w:rPr>
          <w:rFonts w:ascii="Verdana" w:hAnsi="Verdana" w:cs="Arial"/>
          <w:sz w:val="22"/>
          <w:szCs w:val="22"/>
        </w:rPr>
        <w:t xml:space="preserve"> del contratista en el Anexo </w:t>
      </w:r>
      <w:r w:rsidR="00F06182" w:rsidRPr="177792B3">
        <w:rPr>
          <w:rFonts w:ascii="Verdana" w:hAnsi="Verdana" w:cs="Arial"/>
          <w:sz w:val="22"/>
          <w:szCs w:val="22"/>
        </w:rPr>
        <w:t>4</w:t>
      </w:r>
      <w:r w:rsidRPr="177792B3">
        <w:rPr>
          <w:rFonts w:ascii="Verdana" w:hAnsi="Verdana" w:cs="Arial"/>
          <w:sz w:val="22"/>
          <w:szCs w:val="22"/>
        </w:rPr>
        <w:t xml:space="preserve"> – Minuta del Contrato, a fin de incluir obligaciones contractuales relacionadas con el cumplimiento de los factores de sostenibilidad que se incluyen en </w:t>
      </w:r>
      <w:r w:rsidR="1058DBAD" w:rsidRPr="177792B3">
        <w:rPr>
          <w:rFonts w:ascii="Verdana" w:hAnsi="Verdana" w:cs="Arial"/>
          <w:sz w:val="22"/>
          <w:szCs w:val="22"/>
        </w:rPr>
        <w:t>el documento</w:t>
      </w:r>
      <w:r w:rsidRPr="177792B3">
        <w:rPr>
          <w:rFonts w:ascii="Verdana" w:hAnsi="Verdana" w:cs="Arial"/>
          <w:sz w:val="22"/>
          <w:szCs w:val="22"/>
        </w:rPr>
        <w:t xml:space="preserve"> base.</w:t>
      </w:r>
    </w:p>
    <w:p w14:paraId="394D332E" w14:textId="77777777" w:rsidR="00DD7989" w:rsidRPr="007A2B20" w:rsidRDefault="00DD7989" w:rsidP="00B00FCB">
      <w:pPr>
        <w:pStyle w:val="Prrafodelista"/>
        <w:spacing w:after="0"/>
        <w:rPr>
          <w:rFonts w:ascii="Verdana" w:hAnsi="Verdana" w:cs="Arial"/>
        </w:rPr>
      </w:pPr>
    </w:p>
    <w:p w14:paraId="61B14CD1" w14:textId="582EE5CC" w:rsidR="00DD7989" w:rsidRDefault="00DD7989" w:rsidP="177792B3">
      <w:pPr>
        <w:numPr>
          <w:ilvl w:val="0"/>
          <w:numId w:val="70"/>
        </w:numPr>
        <w:jc w:val="both"/>
        <w:rPr>
          <w:rFonts w:ascii="Verdana" w:hAnsi="Verdana" w:cs="Arial"/>
          <w:i/>
          <w:iCs/>
          <w:sz w:val="22"/>
          <w:szCs w:val="22"/>
        </w:rPr>
      </w:pPr>
      <w:r w:rsidRPr="177792B3">
        <w:rPr>
          <w:rFonts w:ascii="Verdana" w:hAnsi="Verdana" w:cs="Arial"/>
          <w:sz w:val="22"/>
          <w:szCs w:val="22"/>
        </w:rPr>
        <w:t xml:space="preserve">En consonancia con los cambios realizados en el documento base, en el anexo </w:t>
      </w:r>
      <w:r w:rsidR="00F06182" w:rsidRPr="177792B3">
        <w:rPr>
          <w:rFonts w:ascii="Verdana" w:hAnsi="Verdana" w:cs="Arial"/>
          <w:sz w:val="22"/>
          <w:szCs w:val="22"/>
        </w:rPr>
        <w:t>4</w:t>
      </w:r>
      <w:r w:rsidRPr="177792B3">
        <w:rPr>
          <w:rFonts w:ascii="Verdana" w:hAnsi="Verdana" w:cs="Arial"/>
          <w:sz w:val="22"/>
          <w:szCs w:val="22"/>
        </w:rPr>
        <w:t xml:space="preserve"> – minuta del contrato, se incluye la siguiente nota en la cláusula 17 a fin de que las entidades tengan claro que les asiste la posibilidad de solicitar garantías adicionales </w:t>
      </w:r>
      <w:r w:rsidR="701A50D9" w:rsidRPr="177792B3">
        <w:rPr>
          <w:rFonts w:ascii="Verdana" w:hAnsi="Verdana" w:cs="Arial"/>
          <w:sz w:val="22"/>
          <w:szCs w:val="22"/>
        </w:rPr>
        <w:t>a las</w:t>
      </w:r>
      <w:r w:rsidRPr="177792B3">
        <w:rPr>
          <w:rFonts w:ascii="Verdana" w:hAnsi="Verdana" w:cs="Arial"/>
          <w:sz w:val="22"/>
          <w:szCs w:val="22"/>
        </w:rPr>
        <w:t xml:space="preserve"> exigidas en el Decreto 1082 de 2015, </w:t>
      </w:r>
      <w:r w:rsidRPr="177792B3">
        <w:rPr>
          <w:rFonts w:ascii="Verdana" w:hAnsi="Verdana" w:cs="Arial"/>
          <w:i/>
          <w:iCs/>
          <w:sz w:val="22"/>
          <w:szCs w:val="22"/>
          <w:lang w:val="es-MX"/>
        </w:rPr>
        <w:t xml:space="preserve">[La entidad podrá incluir garantías adicionales a las contempladas en este capítulo, siempre y cuando se justifique la necesidad de </w:t>
      </w:r>
      <w:proofErr w:type="gramStart"/>
      <w:r w:rsidRPr="177792B3">
        <w:rPr>
          <w:rFonts w:ascii="Verdana" w:hAnsi="Verdana" w:cs="Arial"/>
          <w:i/>
          <w:iCs/>
          <w:sz w:val="22"/>
          <w:szCs w:val="22"/>
          <w:lang w:val="es-MX"/>
        </w:rPr>
        <w:t>las mismas</w:t>
      </w:r>
      <w:proofErr w:type="gramEnd"/>
      <w:r w:rsidRPr="177792B3">
        <w:rPr>
          <w:rFonts w:ascii="Verdana" w:hAnsi="Verdana" w:cs="Arial"/>
          <w:i/>
          <w:iCs/>
          <w:sz w:val="22"/>
          <w:szCs w:val="22"/>
          <w:lang w:val="es-MX"/>
        </w:rPr>
        <w:t xml:space="preserve"> como forma de mitigar un riesgo del proceso]</w:t>
      </w:r>
      <w:r w:rsidRPr="177792B3">
        <w:rPr>
          <w:rFonts w:ascii="Verdana" w:hAnsi="Verdana" w:cs="Arial"/>
          <w:i/>
          <w:iCs/>
          <w:sz w:val="22"/>
          <w:szCs w:val="22"/>
        </w:rPr>
        <w:t> </w:t>
      </w:r>
    </w:p>
    <w:p w14:paraId="67F19620" w14:textId="77777777" w:rsidR="00BD5CF8" w:rsidRDefault="00BD5CF8" w:rsidP="00B00FCB">
      <w:pPr>
        <w:pStyle w:val="Prrafodelista"/>
        <w:rPr>
          <w:rFonts w:ascii="Verdana" w:hAnsi="Verdana" w:cs="Arial"/>
          <w:i/>
          <w:iCs/>
        </w:rPr>
      </w:pPr>
    </w:p>
    <w:p w14:paraId="19F57BE8" w14:textId="136BC827" w:rsidR="00BA4E98" w:rsidRPr="00B00FCB" w:rsidRDefault="00BD5CF8" w:rsidP="00BA4E98">
      <w:pPr>
        <w:pStyle w:val="Textoindependiente"/>
        <w:spacing w:line="276" w:lineRule="auto"/>
        <w:ind w:left="100" w:right="117"/>
        <w:jc w:val="both"/>
        <w:rPr>
          <w:rFonts w:ascii="Verdana" w:hAnsi="Verdana" w:cs="Arial"/>
          <w:sz w:val="22"/>
          <w:szCs w:val="22"/>
        </w:rPr>
      </w:pPr>
      <w:r w:rsidRPr="00B00FCB">
        <w:rPr>
          <w:rFonts w:ascii="Verdana" w:hAnsi="Verdana" w:cs="Arial"/>
          <w:sz w:val="22"/>
          <w:szCs w:val="22"/>
        </w:rPr>
        <w:t xml:space="preserve">Se incluye la Nota: </w:t>
      </w:r>
      <w:r w:rsidR="0023689D" w:rsidRPr="00B00FCB">
        <w:rPr>
          <w:rFonts w:ascii="Verdana" w:hAnsi="Verdana" w:cs="Arial"/>
          <w:sz w:val="22"/>
          <w:szCs w:val="22"/>
        </w:rPr>
        <w:t>“</w:t>
      </w:r>
      <w:r w:rsidRPr="00B00FCB">
        <w:rPr>
          <w:rFonts w:ascii="Verdana" w:hAnsi="Verdana" w:cs="Arial"/>
          <w:sz w:val="22"/>
          <w:szCs w:val="22"/>
        </w:rPr>
        <w:t>Nota: En todo caso, lo que refiere a las actividades relacionadas en la Matriz 1 para el Sector Institucional y Defensa, la entidad podrá apartarse del uso de documentos tipo, previa justificación donde se especifique que los bienes o servicios a adquirir son objeto de reserva de acuerdo con lo descrito en el artículo 2.2.1.2.4.6 del Decreto 1082 de 2015.</w:t>
      </w:r>
      <w:r w:rsidR="0023689D" w:rsidRPr="00B00FCB">
        <w:rPr>
          <w:rFonts w:ascii="Verdana" w:hAnsi="Verdana" w:cs="Arial"/>
          <w:sz w:val="22"/>
          <w:szCs w:val="22"/>
        </w:rPr>
        <w:t>”</w:t>
      </w:r>
      <w:r w:rsidRPr="00B00FCB">
        <w:rPr>
          <w:rFonts w:ascii="Verdana" w:hAnsi="Verdana" w:cs="Arial"/>
          <w:sz w:val="22"/>
          <w:szCs w:val="22"/>
        </w:rPr>
        <w:t xml:space="preserve">  </w:t>
      </w:r>
      <w:r w:rsidR="00BA4E98" w:rsidRPr="00B00FCB">
        <w:rPr>
          <w:rFonts w:ascii="Verdana" w:hAnsi="Verdana" w:cs="Arial"/>
          <w:sz w:val="22"/>
          <w:szCs w:val="22"/>
        </w:rPr>
        <w:t>La contratación de bienes y servicios en el sector defensa está regulada en el artículo 2 de la Ley 1150 de 2007 y en el artículo 2.2.1.2.1.2.26 del Decreto 1082 de 2015.</w:t>
      </w:r>
    </w:p>
    <w:p w14:paraId="799F3238" w14:textId="77777777" w:rsidR="00BA4E98" w:rsidRPr="00B00FCB" w:rsidRDefault="00BA4E98" w:rsidP="00B00FCB">
      <w:pPr>
        <w:pStyle w:val="Textoindependiente"/>
        <w:spacing w:after="0"/>
        <w:rPr>
          <w:rFonts w:ascii="Verdana" w:hAnsi="Verdana" w:cs="Arial"/>
          <w:sz w:val="22"/>
          <w:szCs w:val="22"/>
        </w:rPr>
      </w:pPr>
    </w:p>
    <w:p w14:paraId="6B567E5C" w14:textId="77777777" w:rsidR="00BA4E98" w:rsidRPr="00B00FCB" w:rsidRDefault="00BA4E98" w:rsidP="00BA4E98">
      <w:pPr>
        <w:pStyle w:val="Textoindependiente"/>
        <w:spacing w:before="1" w:line="276" w:lineRule="auto"/>
        <w:ind w:left="100" w:right="103"/>
        <w:jc w:val="both"/>
        <w:rPr>
          <w:rFonts w:ascii="Verdana" w:hAnsi="Verdana" w:cs="Arial"/>
          <w:sz w:val="22"/>
          <w:szCs w:val="22"/>
        </w:rPr>
      </w:pPr>
      <w:r w:rsidRPr="00B00FCB">
        <w:rPr>
          <w:rFonts w:ascii="Verdana" w:hAnsi="Verdana" w:cs="Arial"/>
          <w:sz w:val="22"/>
          <w:szCs w:val="22"/>
        </w:rPr>
        <w:t>El artículo 2 de la Ley 1150 de 2007 prevé que “la escogencia del contratista se efectuará con arreglo a las modalidades de selección de licitación pública, selección abreviada, concurso de méritos y contratación directa”.</w:t>
      </w:r>
    </w:p>
    <w:p w14:paraId="703A7E8A" w14:textId="77777777" w:rsidR="00BA4E98" w:rsidRPr="00B00FCB" w:rsidRDefault="00BA4E98" w:rsidP="00BA4E98">
      <w:pPr>
        <w:pStyle w:val="Textoindependiente"/>
        <w:spacing w:before="2"/>
        <w:rPr>
          <w:rFonts w:ascii="Verdana" w:hAnsi="Verdana" w:cs="Arial"/>
          <w:sz w:val="22"/>
          <w:szCs w:val="22"/>
        </w:rPr>
      </w:pPr>
    </w:p>
    <w:p w14:paraId="0F155C5D" w14:textId="77777777" w:rsidR="00BA4E98" w:rsidRPr="00B00FCB" w:rsidRDefault="00BA4E98" w:rsidP="00B00FCB">
      <w:pPr>
        <w:pStyle w:val="Textoindependiente"/>
        <w:spacing w:after="0" w:line="276" w:lineRule="auto"/>
        <w:ind w:left="100" w:right="104"/>
        <w:jc w:val="both"/>
        <w:rPr>
          <w:rFonts w:ascii="Verdana" w:hAnsi="Verdana" w:cs="Arial"/>
          <w:sz w:val="22"/>
          <w:szCs w:val="22"/>
        </w:rPr>
      </w:pPr>
      <w:r w:rsidRPr="00B00FCB">
        <w:rPr>
          <w:rFonts w:ascii="Verdana" w:hAnsi="Verdana" w:cs="Arial"/>
          <w:sz w:val="22"/>
          <w:szCs w:val="22"/>
        </w:rPr>
        <w:lastRenderedPageBreak/>
        <w:t>La modalidad de selección de contratación directa procede para la “contratación de bienes y servicios en el sector defensa (…) que necesiten reserva para su adquisición”, como lo dispone el literal d) del numeral 4 del artículo 2 de la Ley 1150 de 2007</w:t>
      </w:r>
      <w:r w:rsidRPr="00B00FCB">
        <w:rPr>
          <w:rFonts w:ascii="Verdana" w:hAnsi="Verdana" w:cs="Arial"/>
          <w:sz w:val="22"/>
          <w:szCs w:val="22"/>
        </w:rPr>
        <w:footnoteReference w:id="24"/>
      </w:r>
      <w:r w:rsidRPr="00B00FCB">
        <w:rPr>
          <w:rFonts w:ascii="Verdana" w:hAnsi="Verdana" w:cs="Arial"/>
          <w:sz w:val="22"/>
          <w:szCs w:val="22"/>
        </w:rPr>
        <w:t>.</w:t>
      </w:r>
    </w:p>
    <w:p w14:paraId="747D6034" w14:textId="77777777" w:rsidR="00BA4E98" w:rsidRPr="00B00FCB" w:rsidRDefault="00BA4E98" w:rsidP="00B00FCB">
      <w:pPr>
        <w:pStyle w:val="Textoindependiente"/>
        <w:spacing w:after="0"/>
        <w:rPr>
          <w:rFonts w:ascii="Verdana" w:hAnsi="Verdana" w:cs="Arial"/>
          <w:sz w:val="22"/>
          <w:szCs w:val="22"/>
        </w:rPr>
      </w:pPr>
    </w:p>
    <w:p w14:paraId="08E09884" w14:textId="77777777" w:rsidR="00BA4E98" w:rsidRPr="00B00FCB" w:rsidRDefault="00BA4E98" w:rsidP="00B00FCB">
      <w:pPr>
        <w:pStyle w:val="Textoindependiente"/>
        <w:spacing w:after="0" w:line="276" w:lineRule="auto"/>
        <w:ind w:left="100" w:right="103"/>
        <w:jc w:val="both"/>
        <w:rPr>
          <w:rFonts w:ascii="Verdana" w:hAnsi="Verdana" w:cs="Arial"/>
          <w:sz w:val="22"/>
          <w:szCs w:val="22"/>
        </w:rPr>
      </w:pPr>
      <w:r w:rsidRPr="00B00FCB">
        <w:rPr>
          <w:rFonts w:ascii="Verdana" w:hAnsi="Verdana" w:cs="Arial"/>
          <w:sz w:val="22"/>
          <w:szCs w:val="22"/>
        </w:rPr>
        <w:t>La contratación de bienes y servicios del sector defensa que requieren reserva se realiza a través de la modalidad de selección de contratación directa. Por oposición, aquellos que no requieran reserva, se escogen siguiendo las reglas de la selección abreviada de menor cuantía. En cualquiera de los dos escenarios, las entidades estatales deben justificar la determinación que se adopte en los documentos del proceso de contratación que adelante para tales efectos.</w:t>
      </w:r>
    </w:p>
    <w:p w14:paraId="2B47A98A" w14:textId="77777777" w:rsidR="00BA4E98" w:rsidRPr="00B00FCB" w:rsidRDefault="00BA4E98" w:rsidP="00B00FCB">
      <w:pPr>
        <w:pStyle w:val="Textoindependiente"/>
        <w:spacing w:after="0"/>
        <w:rPr>
          <w:rFonts w:ascii="Verdana" w:hAnsi="Verdana" w:cs="Arial"/>
          <w:sz w:val="22"/>
          <w:szCs w:val="22"/>
        </w:rPr>
      </w:pPr>
    </w:p>
    <w:p w14:paraId="773FE5B3" w14:textId="77777777" w:rsidR="00BA4E98" w:rsidRPr="00B00FCB" w:rsidRDefault="00BA4E98" w:rsidP="00B00FCB">
      <w:pPr>
        <w:pStyle w:val="Textoindependiente"/>
        <w:spacing w:after="0" w:line="276" w:lineRule="auto"/>
        <w:ind w:left="100" w:right="105"/>
        <w:jc w:val="both"/>
        <w:rPr>
          <w:rFonts w:ascii="Verdana" w:hAnsi="Verdana" w:cs="Arial"/>
          <w:sz w:val="22"/>
          <w:szCs w:val="22"/>
        </w:rPr>
      </w:pPr>
      <w:r w:rsidRPr="00B00FCB">
        <w:rPr>
          <w:rFonts w:ascii="Verdana" w:hAnsi="Verdana" w:cs="Arial"/>
          <w:sz w:val="22"/>
          <w:szCs w:val="22"/>
        </w:rPr>
        <w:t>En relación con el concepto de defensa nacional, procede citar lo expuesto en el Tomo II del documento de Memoria 2016 de la Sala de Consulta y Servicio Civil del Consejo de Estado, que sobre el particular señaló:</w:t>
      </w:r>
    </w:p>
    <w:p w14:paraId="695C0AAC" w14:textId="77777777" w:rsidR="00BA4E98" w:rsidRPr="00B00FCB" w:rsidRDefault="00BA4E98" w:rsidP="00B00FCB">
      <w:pPr>
        <w:pStyle w:val="Textoindependiente"/>
        <w:spacing w:after="0"/>
        <w:rPr>
          <w:rFonts w:ascii="Verdana" w:hAnsi="Verdana" w:cs="Arial"/>
          <w:sz w:val="22"/>
          <w:szCs w:val="22"/>
        </w:rPr>
      </w:pPr>
    </w:p>
    <w:p w14:paraId="58E2E0AA" w14:textId="53BBBE05" w:rsidR="00BA4E98" w:rsidRPr="001C639F" w:rsidRDefault="00BA4E98" w:rsidP="00B00FCB">
      <w:pPr>
        <w:pStyle w:val="Textoindependiente"/>
        <w:spacing w:line="276" w:lineRule="auto"/>
        <w:ind w:left="668" w:right="536"/>
        <w:jc w:val="both"/>
        <w:rPr>
          <w:sz w:val="25"/>
        </w:rPr>
      </w:pPr>
      <w:r w:rsidRPr="001C639F">
        <w:t>“</w:t>
      </w:r>
      <w:r w:rsidRPr="00B00FCB">
        <w:rPr>
          <w:rFonts w:ascii="Verdana" w:hAnsi="Verdana" w:cs="Arial"/>
          <w:sz w:val="22"/>
          <w:szCs w:val="22"/>
        </w:rPr>
        <w:t>En cuanto a la defensa nacional, está constituida por el conjunto de acciones que realiza el Estado para defender su territorio y sus legítimas instituciones. Implica una labor esencialmente de protección”. Consejo de Estado, Sala de Consulta y Servicio Civil. Concepto del 30 de enero de 1997, Radicación número: 938.</w:t>
      </w:r>
    </w:p>
    <w:p w14:paraId="145C29CE" w14:textId="00D54957" w:rsidR="00BA4E98" w:rsidRPr="001C639F" w:rsidRDefault="00BA4E98" w:rsidP="00B00FCB">
      <w:pPr>
        <w:pStyle w:val="Textoindependiente"/>
        <w:spacing w:line="276" w:lineRule="auto"/>
        <w:ind w:left="668" w:right="531"/>
        <w:jc w:val="both"/>
        <w:rPr>
          <w:sz w:val="25"/>
        </w:rPr>
      </w:pPr>
      <w:r w:rsidRPr="00B00FCB">
        <w:rPr>
          <w:rFonts w:ascii="Verdana" w:hAnsi="Verdana" w:cs="Arial"/>
          <w:sz w:val="22"/>
          <w:szCs w:val="22"/>
        </w:rPr>
        <w:t>Asimismo, la jurisprudencia de la Sala se ha pronunciado frente a los conceptos de seguridad y defensa nacional en los siguientes términos</w:t>
      </w:r>
      <w:r w:rsidRPr="001C639F">
        <w:t>:</w:t>
      </w:r>
    </w:p>
    <w:p w14:paraId="11453233" w14:textId="4E630E8B" w:rsidR="00BA4E98" w:rsidRPr="001C639F" w:rsidRDefault="00BA4E98" w:rsidP="00B00FCB">
      <w:pPr>
        <w:pStyle w:val="Textoindependiente"/>
        <w:spacing w:line="276" w:lineRule="auto"/>
        <w:ind w:left="668" w:right="538"/>
        <w:jc w:val="both"/>
        <w:rPr>
          <w:sz w:val="25"/>
        </w:rPr>
      </w:pPr>
      <w:r w:rsidRPr="001C639F">
        <w:t>“</w:t>
      </w:r>
      <w:r w:rsidRPr="00B00FCB">
        <w:rPr>
          <w:rFonts w:ascii="Verdana" w:hAnsi="Verdana" w:cs="Arial"/>
          <w:sz w:val="22"/>
          <w:szCs w:val="22"/>
        </w:rPr>
        <w:t>(i) La seguridad y la defensa nacionales son presupuestos materiales de la soberanía nacional, la independencia, la integridad territorial y el orden constitucional, y contribuyen a garantizar las condiciones necesarias para el ejercicio de los derechos, obligaciones y libertades públicas</w:t>
      </w:r>
      <w:r w:rsidRPr="001C639F">
        <w:t>.</w:t>
      </w:r>
    </w:p>
    <w:p w14:paraId="26A392CA" w14:textId="77777777" w:rsidR="00BA4E98" w:rsidRPr="00B00FCB" w:rsidRDefault="00BA4E98" w:rsidP="00BA4E98">
      <w:pPr>
        <w:pStyle w:val="Prrafodelista"/>
        <w:widowControl w:val="0"/>
        <w:numPr>
          <w:ilvl w:val="0"/>
          <w:numId w:val="78"/>
        </w:numPr>
        <w:tabs>
          <w:tab w:val="left" w:pos="1053"/>
        </w:tabs>
        <w:autoSpaceDE w:val="0"/>
        <w:autoSpaceDN w:val="0"/>
        <w:spacing w:before="93" w:after="0" w:line="278" w:lineRule="auto"/>
        <w:ind w:right="528" w:firstLine="0"/>
        <w:contextualSpacing w:val="0"/>
        <w:rPr>
          <w:rFonts w:ascii="Verdana" w:hAnsi="Verdana"/>
        </w:rPr>
      </w:pPr>
      <w:r w:rsidRPr="00B00FCB">
        <w:rPr>
          <w:rFonts w:ascii="Verdana" w:hAnsi="Verdana"/>
        </w:rPr>
        <w:t>Se trata de conceptos amplios, relativos y dinámicos, cuya concreción depende</w:t>
      </w:r>
      <w:r w:rsidRPr="00B00FCB">
        <w:rPr>
          <w:rFonts w:ascii="Verdana" w:hAnsi="Verdana"/>
          <w:spacing w:val="51"/>
        </w:rPr>
        <w:t xml:space="preserve"> </w:t>
      </w:r>
      <w:r w:rsidRPr="00B00FCB">
        <w:rPr>
          <w:rFonts w:ascii="Verdana" w:hAnsi="Verdana"/>
        </w:rPr>
        <w:t>de</w:t>
      </w:r>
      <w:r w:rsidRPr="00B00FCB">
        <w:rPr>
          <w:rFonts w:ascii="Verdana" w:hAnsi="Verdana"/>
          <w:spacing w:val="52"/>
        </w:rPr>
        <w:t xml:space="preserve"> </w:t>
      </w:r>
      <w:r w:rsidRPr="00B00FCB">
        <w:rPr>
          <w:rFonts w:ascii="Verdana" w:hAnsi="Verdana"/>
        </w:rPr>
        <w:t>los</w:t>
      </w:r>
      <w:r w:rsidRPr="00B00FCB">
        <w:rPr>
          <w:rFonts w:ascii="Verdana" w:hAnsi="Verdana"/>
          <w:spacing w:val="52"/>
        </w:rPr>
        <w:t xml:space="preserve"> </w:t>
      </w:r>
      <w:r w:rsidRPr="00B00FCB">
        <w:rPr>
          <w:rFonts w:ascii="Verdana" w:hAnsi="Verdana"/>
        </w:rPr>
        <w:t>objetivos</w:t>
      </w:r>
      <w:r w:rsidRPr="00B00FCB">
        <w:rPr>
          <w:rFonts w:ascii="Verdana" w:hAnsi="Verdana"/>
          <w:spacing w:val="52"/>
        </w:rPr>
        <w:t xml:space="preserve"> </w:t>
      </w:r>
      <w:r w:rsidRPr="00B00FCB">
        <w:rPr>
          <w:rFonts w:ascii="Verdana" w:hAnsi="Verdana"/>
        </w:rPr>
        <w:t>que</w:t>
      </w:r>
      <w:r w:rsidRPr="00B00FCB">
        <w:rPr>
          <w:rFonts w:ascii="Verdana" w:hAnsi="Verdana"/>
          <w:spacing w:val="52"/>
        </w:rPr>
        <w:t xml:space="preserve"> </w:t>
      </w:r>
      <w:r w:rsidRPr="00B00FCB">
        <w:rPr>
          <w:rFonts w:ascii="Verdana" w:hAnsi="Verdana"/>
        </w:rPr>
        <w:t>se</w:t>
      </w:r>
      <w:r w:rsidRPr="00B00FCB">
        <w:rPr>
          <w:rFonts w:ascii="Verdana" w:hAnsi="Verdana"/>
          <w:spacing w:val="52"/>
        </w:rPr>
        <w:t xml:space="preserve"> </w:t>
      </w:r>
      <w:r w:rsidRPr="00B00FCB">
        <w:rPr>
          <w:rFonts w:ascii="Verdana" w:hAnsi="Verdana"/>
        </w:rPr>
        <w:t>propone</w:t>
      </w:r>
      <w:r w:rsidRPr="00B00FCB">
        <w:rPr>
          <w:rFonts w:ascii="Verdana" w:hAnsi="Verdana"/>
          <w:spacing w:val="52"/>
        </w:rPr>
        <w:t xml:space="preserve"> </w:t>
      </w:r>
      <w:r w:rsidRPr="00B00FCB">
        <w:rPr>
          <w:rFonts w:ascii="Verdana" w:hAnsi="Verdana"/>
        </w:rPr>
        <w:t>alcanzar</w:t>
      </w:r>
      <w:r w:rsidRPr="00B00FCB">
        <w:rPr>
          <w:rFonts w:ascii="Verdana" w:hAnsi="Verdana"/>
          <w:spacing w:val="51"/>
        </w:rPr>
        <w:t xml:space="preserve"> </w:t>
      </w:r>
      <w:r w:rsidRPr="00B00FCB">
        <w:rPr>
          <w:rFonts w:ascii="Verdana" w:hAnsi="Verdana"/>
        </w:rPr>
        <w:t>el</w:t>
      </w:r>
      <w:r w:rsidRPr="00B00FCB">
        <w:rPr>
          <w:rFonts w:ascii="Verdana" w:hAnsi="Verdana"/>
          <w:spacing w:val="53"/>
        </w:rPr>
        <w:t xml:space="preserve"> </w:t>
      </w:r>
      <w:r w:rsidRPr="00B00FCB">
        <w:rPr>
          <w:rFonts w:ascii="Verdana" w:hAnsi="Verdana"/>
        </w:rPr>
        <w:t>Estado</w:t>
      </w:r>
      <w:r w:rsidRPr="00B00FCB">
        <w:rPr>
          <w:rFonts w:ascii="Verdana" w:hAnsi="Verdana"/>
          <w:spacing w:val="52"/>
        </w:rPr>
        <w:t xml:space="preserve"> </w:t>
      </w:r>
      <w:r w:rsidRPr="00B00FCB">
        <w:rPr>
          <w:rFonts w:ascii="Verdana" w:hAnsi="Verdana"/>
        </w:rPr>
        <w:t>en</w:t>
      </w:r>
      <w:r w:rsidRPr="00B00FCB">
        <w:rPr>
          <w:rFonts w:ascii="Verdana" w:hAnsi="Verdana"/>
          <w:spacing w:val="52"/>
        </w:rPr>
        <w:t xml:space="preserve"> </w:t>
      </w:r>
      <w:r w:rsidRPr="00B00FCB">
        <w:rPr>
          <w:rFonts w:ascii="Verdana" w:hAnsi="Verdana"/>
        </w:rPr>
        <w:t>una</w:t>
      </w:r>
      <w:r w:rsidRPr="00B00FCB">
        <w:rPr>
          <w:rFonts w:ascii="Verdana" w:hAnsi="Verdana"/>
          <w:spacing w:val="52"/>
        </w:rPr>
        <w:t xml:space="preserve"> </w:t>
      </w:r>
      <w:r w:rsidRPr="00B00FCB">
        <w:rPr>
          <w:rFonts w:ascii="Verdana" w:hAnsi="Verdana"/>
        </w:rPr>
        <w:t xml:space="preserve">época determinada, de manera que son susceptibles de actualización y </w:t>
      </w:r>
      <w:r w:rsidRPr="00B00FCB">
        <w:rPr>
          <w:rFonts w:ascii="Verdana" w:hAnsi="Verdana"/>
        </w:rPr>
        <w:lastRenderedPageBreak/>
        <w:t>sufren constantes transformaciones y cambios.</w:t>
      </w:r>
    </w:p>
    <w:p w14:paraId="6C431510" w14:textId="77777777" w:rsidR="00BA4E98" w:rsidRPr="00B00FCB" w:rsidRDefault="00BA4E98" w:rsidP="00B00FCB">
      <w:pPr>
        <w:pStyle w:val="Textoindependiente"/>
        <w:spacing w:after="0"/>
        <w:rPr>
          <w:rFonts w:ascii="Verdana" w:hAnsi="Verdana"/>
          <w:sz w:val="22"/>
          <w:szCs w:val="22"/>
        </w:rPr>
      </w:pPr>
    </w:p>
    <w:p w14:paraId="648C042A" w14:textId="77777777" w:rsidR="00BA4E98" w:rsidRPr="00B00FCB" w:rsidRDefault="00BA4E98" w:rsidP="00BA4E98">
      <w:pPr>
        <w:pStyle w:val="Prrafodelista"/>
        <w:widowControl w:val="0"/>
        <w:numPr>
          <w:ilvl w:val="0"/>
          <w:numId w:val="78"/>
        </w:numPr>
        <w:tabs>
          <w:tab w:val="left" w:pos="1036"/>
        </w:tabs>
        <w:autoSpaceDE w:val="0"/>
        <w:autoSpaceDN w:val="0"/>
        <w:spacing w:after="0" w:line="276" w:lineRule="auto"/>
        <w:ind w:right="535" w:firstLine="0"/>
        <w:contextualSpacing w:val="0"/>
        <w:rPr>
          <w:rFonts w:ascii="Verdana" w:hAnsi="Verdana"/>
        </w:rPr>
      </w:pPr>
      <w:r w:rsidRPr="00B00FCB">
        <w:rPr>
          <w:rFonts w:ascii="Verdana" w:hAnsi="Verdana"/>
        </w:rPr>
        <w:t>La conservación y mantenimiento del orden público es la finalidad misma de la “seguridad” y encuentra en el Gobierno Nacional (C. P., art. 189.4) su principal responsable y garante, razón por la cual puede adoptar medidas y adelantar acciones coercitivas o militares y soluciones no armamentistas sino políticas negociadas (por ejemplo desmovilización y reinserción), para alcanzar la paz, que es un valor (preámbulo constitucional), un fin esencial del Estado (C. P., art. 2o), un derecho (C. P., art. 22) y un deber social (C. P.,</w:t>
      </w:r>
      <w:r w:rsidRPr="00B00FCB">
        <w:rPr>
          <w:rFonts w:ascii="Verdana" w:hAnsi="Verdana"/>
          <w:spacing w:val="-20"/>
        </w:rPr>
        <w:t xml:space="preserve"> </w:t>
      </w:r>
      <w:r w:rsidRPr="00B00FCB">
        <w:rPr>
          <w:rFonts w:ascii="Verdana" w:hAnsi="Verdana"/>
        </w:rPr>
        <w:t>95.6).</w:t>
      </w:r>
    </w:p>
    <w:p w14:paraId="6A88BB1D" w14:textId="77777777" w:rsidR="00BA4E98" w:rsidRPr="00B00FCB" w:rsidRDefault="00BA4E98" w:rsidP="00B00FCB">
      <w:pPr>
        <w:pStyle w:val="Textoindependiente"/>
        <w:spacing w:after="0"/>
        <w:rPr>
          <w:rFonts w:ascii="Verdana" w:hAnsi="Verdana"/>
          <w:sz w:val="22"/>
          <w:szCs w:val="22"/>
        </w:rPr>
      </w:pPr>
    </w:p>
    <w:p w14:paraId="1A7F2B0B" w14:textId="77777777" w:rsidR="00BA4E98" w:rsidRPr="00B00FCB" w:rsidRDefault="00BA4E98" w:rsidP="00BA4E98">
      <w:pPr>
        <w:pStyle w:val="Prrafodelista"/>
        <w:widowControl w:val="0"/>
        <w:numPr>
          <w:ilvl w:val="0"/>
          <w:numId w:val="78"/>
        </w:numPr>
        <w:tabs>
          <w:tab w:val="left" w:pos="1073"/>
        </w:tabs>
        <w:autoSpaceDE w:val="0"/>
        <w:autoSpaceDN w:val="0"/>
        <w:spacing w:after="0" w:line="276" w:lineRule="auto"/>
        <w:ind w:right="535" w:firstLine="0"/>
        <w:contextualSpacing w:val="0"/>
        <w:rPr>
          <w:rFonts w:ascii="Verdana" w:hAnsi="Verdana"/>
        </w:rPr>
      </w:pPr>
      <w:r w:rsidRPr="00B00FCB">
        <w:rPr>
          <w:rFonts w:ascii="Verdana" w:hAnsi="Verdana"/>
        </w:rPr>
        <w:t>Estos conceptos no están relacionados únicamente con los dispositivos o actividades bélicas o armamentistas, sino que abarcan todas aquellas estrategias y acciones que permitan la garantía de los derechos y libertades y, por ende, la coexistencia pacífica de los habitantes de la Nación, inclusive aquellas que permitan que los infractores de la ley se reincorporen a la vida</w:t>
      </w:r>
      <w:r w:rsidRPr="00B00FCB">
        <w:rPr>
          <w:rFonts w:ascii="Verdana" w:hAnsi="Verdana"/>
          <w:spacing w:val="21"/>
        </w:rPr>
        <w:t xml:space="preserve"> </w:t>
      </w:r>
      <w:r w:rsidRPr="00B00FCB">
        <w:rPr>
          <w:rFonts w:ascii="Verdana" w:hAnsi="Verdana"/>
        </w:rPr>
        <w:t>civil.</w:t>
      </w:r>
    </w:p>
    <w:p w14:paraId="1BA300DE" w14:textId="77777777" w:rsidR="00BA4E98" w:rsidRPr="00B00FCB" w:rsidRDefault="00BA4E98" w:rsidP="00B00FCB">
      <w:pPr>
        <w:pStyle w:val="Textoindependiente"/>
        <w:spacing w:after="0"/>
        <w:rPr>
          <w:rFonts w:ascii="Verdana" w:hAnsi="Verdana"/>
          <w:sz w:val="22"/>
          <w:szCs w:val="22"/>
        </w:rPr>
      </w:pPr>
    </w:p>
    <w:p w14:paraId="5764FD25" w14:textId="77777777" w:rsidR="00BA4E98" w:rsidRPr="00B00FCB" w:rsidRDefault="00BA4E98" w:rsidP="00BA4E98">
      <w:pPr>
        <w:pStyle w:val="Prrafodelista"/>
        <w:widowControl w:val="0"/>
        <w:numPr>
          <w:ilvl w:val="0"/>
          <w:numId w:val="78"/>
        </w:numPr>
        <w:tabs>
          <w:tab w:val="left" w:pos="988"/>
        </w:tabs>
        <w:autoSpaceDE w:val="0"/>
        <w:autoSpaceDN w:val="0"/>
        <w:spacing w:after="0" w:line="276" w:lineRule="auto"/>
        <w:ind w:right="530" w:firstLine="0"/>
        <w:contextualSpacing w:val="0"/>
        <w:rPr>
          <w:rFonts w:ascii="Verdana" w:hAnsi="Verdana"/>
        </w:rPr>
      </w:pPr>
      <w:r w:rsidRPr="00B00FCB">
        <w:rPr>
          <w:rFonts w:ascii="Verdana" w:hAnsi="Verdana"/>
        </w:rPr>
        <w:t xml:space="preserve">La política de seguridad y defensa </w:t>
      </w:r>
      <w:proofErr w:type="gramStart"/>
      <w:r w:rsidRPr="00B00FCB">
        <w:rPr>
          <w:rFonts w:ascii="Verdana" w:hAnsi="Verdana"/>
        </w:rPr>
        <w:t>nacionales,</w:t>
      </w:r>
      <w:proofErr w:type="gramEnd"/>
      <w:r w:rsidRPr="00B00FCB">
        <w:rPr>
          <w:rFonts w:ascii="Verdana" w:hAnsi="Verdana"/>
        </w:rPr>
        <w:t xml:space="preserve"> supone para el Estado no solo la adopción de estrategias y acciones militares directas, sino también soluciones negociadas y, por tanto, estas últimas y todas las acciones y actividades que requieran, también configuran evidentes manifestaciones de la defensa y la seguridad nacionales”. Consejo de Estado, Sala de Consulta y Servicio Civil. Concepto del 2 de septiembre de 2013, Radicación número: 11001-03-06-000- 2013-00412-00(2168).</w:t>
      </w:r>
    </w:p>
    <w:p w14:paraId="58504CA1" w14:textId="77777777" w:rsidR="00BA4E98" w:rsidRPr="00B00FCB" w:rsidRDefault="00BA4E98" w:rsidP="00B00FCB">
      <w:pPr>
        <w:pStyle w:val="Textoindependiente"/>
        <w:spacing w:after="0"/>
        <w:rPr>
          <w:rFonts w:ascii="Verdana" w:hAnsi="Verdana"/>
          <w:szCs w:val="22"/>
        </w:rPr>
      </w:pPr>
    </w:p>
    <w:p w14:paraId="1B98B4AD" w14:textId="77777777" w:rsidR="00BA4E98" w:rsidRPr="00B00FCB" w:rsidRDefault="00BA4E98" w:rsidP="00B00FCB">
      <w:pPr>
        <w:pStyle w:val="Textoindependiente"/>
        <w:spacing w:after="0" w:line="276" w:lineRule="auto"/>
        <w:ind w:left="668" w:right="532"/>
        <w:jc w:val="both"/>
        <w:rPr>
          <w:rFonts w:ascii="Verdana" w:hAnsi="Verdana"/>
          <w:sz w:val="22"/>
          <w:szCs w:val="22"/>
        </w:rPr>
      </w:pPr>
      <w:r w:rsidRPr="00B00FCB">
        <w:rPr>
          <w:rFonts w:ascii="Verdana" w:hAnsi="Verdana"/>
          <w:sz w:val="22"/>
          <w:szCs w:val="22"/>
        </w:rPr>
        <w:t xml:space="preserve">Respecto al concepto de seguridad nacional, la doctrina nacional ha indicado: “Se entiende por Seguridad Nacional, la que es inmanente para garantizar la existencia, permanencia, la continuidad y la estabilidad de la comunidad política, también entendida como la necesaria para garantizar tanto la seguridad externa como la seguridad institucional interna de una nación y por lo mismo, la soberanía la independencia, la integridad del territorio nacional y el orden constitucional, todo lo cual comprende la seguridad del Estado, esto es, la que corresponde garantizar el normal funcionamiento de las instituciones constitucional y legalmente constituidas”. Jorge Enrique </w:t>
      </w:r>
      <w:r w:rsidRPr="00B00FCB">
        <w:rPr>
          <w:rFonts w:ascii="Verdana" w:hAnsi="Verdana"/>
          <w:sz w:val="22"/>
          <w:szCs w:val="22"/>
        </w:rPr>
        <w:lastRenderedPageBreak/>
        <w:t>Ibáñez Najar, Seguridad Nacional Seguridad del Estado y Seguridad Ciudadana, Universidad Sergio Arboleda, 2005, p.</w:t>
      </w:r>
      <w:r w:rsidRPr="00B00FCB">
        <w:rPr>
          <w:rFonts w:ascii="Verdana" w:hAnsi="Verdana"/>
          <w:spacing w:val="-6"/>
          <w:sz w:val="22"/>
          <w:szCs w:val="22"/>
        </w:rPr>
        <w:t xml:space="preserve"> </w:t>
      </w:r>
      <w:r w:rsidRPr="00B00FCB">
        <w:rPr>
          <w:rFonts w:ascii="Verdana" w:hAnsi="Verdana"/>
          <w:sz w:val="22"/>
          <w:szCs w:val="22"/>
        </w:rPr>
        <w:t>48”.</w:t>
      </w:r>
    </w:p>
    <w:p w14:paraId="7508E80A" w14:textId="77777777" w:rsidR="006631AB" w:rsidRPr="00B00FCB" w:rsidRDefault="006631AB" w:rsidP="00B00FCB">
      <w:pPr>
        <w:pStyle w:val="Textoindependiente"/>
        <w:spacing w:after="0" w:line="276" w:lineRule="auto"/>
        <w:ind w:left="668" w:right="532"/>
        <w:jc w:val="both"/>
        <w:rPr>
          <w:rFonts w:ascii="Verdana" w:hAnsi="Verdana"/>
          <w:sz w:val="22"/>
          <w:szCs w:val="22"/>
        </w:rPr>
      </w:pPr>
    </w:p>
    <w:p w14:paraId="70B792EF" w14:textId="24C56E80" w:rsidR="001C1060" w:rsidRDefault="006631AB" w:rsidP="00B00FCB">
      <w:pPr>
        <w:pStyle w:val="Textoindependiente"/>
        <w:spacing w:after="0" w:line="276" w:lineRule="auto"/>
        <w:ind w:left="668" w:right="532"/>
        <w:jc w:val="both"/>
        <w:rPr>
          <w:rFonts w:ascii="Verdana" w:hAnsi="Verdana"/>
          <w:sz w:val="22"/>
          <w:szCs w:val="22"/>
        </w:rPr>
      </w:pPr>
      <w:r w:rsidRPr="00B00FCB">
        <w:rPr>
          <w:rFonts w:ascii="Verdana" w:hAnsi="Verdana"/>
          <w:sz w:val="22"/>
          <w:szCs w:val="22"/>
        </w:rPr>
        <w:t xml:space="preserve">Se incluye en las obligaciones generales los relativo a que por parte del contratista se informe al estado sobre la consulta previa esto es en virtud </w:t>
      </w:r>
      <w:proofErr w:type="gramStart"/>
      <w:r w:rsidRPr="00B00FCB">
        <w:rPr>
          <w:rFonts w:ascii="Verdana" w:hAnsi="Verdana"/>
          <w:sz w:val="22"/>
          <w:szCs w:val="22"/>
        </w:rPr>
        <w:t xml:space="preserve">de </w:t>
      </w:r>
      <w:r w:rsidR="001C1060" w:rsidRPr="00B00FCB">
        <w:rPr>
          <w:rFonts w:ascii="Verdana" w:hAnsi="Verdana"/>
          <w:sz w:val="22"/>
          <w:szCs w:val="22"/>
        </w:rPr>
        <w:t xml:space="preserve"> garantizar</w:t>
      </w:r>
      <w:proofErr w:type="gramEnd"/>
      <w:r w:rsidR="001C1060" w:rsidRPr="00B00FCB">
        <w:rPr>
          <w:rFonts w:ascii="Verdana" w:hAnsi="Verdana"/>
          <w:sz w:val="22"/>
          <w:szCs w:val="22"/>
        </w:rPr>
        <w:t xml:space="preserve"> el respeto a los derechos de los pueblos indígenas y tribales en todo el mundo. Su reconocimiento a nivel internacional se remonta al </w:t>
      </w:r>
      <w:r w:rsidR="001C1060" w:rsidRPr="00B00FCB">
        <w:rPr>
          <w:rFonts w:ascii="Verdana" w:hAnsi="Verdana"/>
          <w:b/>
          <w:bCs/>
          <w:sz w:val="22"/>
          <w:szCs w:val="22"/>
        </w:rPr>
        <w:t>Convenio 169 de la Organización Internacional del Trabajo (OIT)</w:t>
      </w:r>
      <w:r w:rsidR="001C1060" w:rsidRPr="00B00FCB">
        <w:rPr>
          <w:rFonts w:ascii="Verdana" w:hAnsi="Verdana"/>
          <w:sz w:val="22"/>
          <w:szCs w:val="22"/>
        </w:rPr>
        <w:t xml:space="preserve"> de 1989, que establece que los gobiernos deben consultar a estos pueblos antes de emprender actividades que puedan afectarles directa o indirectamente, tales como proyectos de desarrollo, explotación de recursos naturales o políticas públicas.</w:t>
      </w:r>
    </w:p>
    <w:p w14:paraId="4D5988FB" w14:textId="77777777" w:rsidR="005E7310" w:rsidRPr="00B00FCB" w:rsidRDefault="005E7310" w:rsidP="00B00FCB">
      <w:pPr>
        <w:pStyle w:val="Textoindependiente"/>
        <w:spacing w:after="0" w:line="276" w:lineRule="auto"/>
        <w:ind w:left="668" w:right="532"/>
        <w:jc w:val="both"/>
        <w:rPr>
          <w:rFonts w:ascii="Verdana" w:hAnsi="Verdana"/>
          <w:sz w:val="22"/>
          <w:szCs w:val="22"/>
        </w:rPr>
      </w:pPr>
    </w:p>
    <w:p w14:paraId="4D8CC24D" w14:textId="77777777" w:rsidR="001C1060" w:rsidRPr="00B00FCB" w:rsidRDefault="001C1060" w:rsidP="001C1060">
      <w:pPr>
        <w:pStyle w:val="Textoindependiente"/>
        <w:spacing w:line="276" w:lineRule="auto"/>
        <w:ind w:left="668" w:right="532"/>
        <w:jc w:val="both"/>
        <w:rPr>
          <w:rFonts w:ascii="Verdana" w:hAnsi="Verdana"/>
          <w:sz w:val="22"/>
          <w:szCs w:val="22"/>
        </w:rPr>
      </w:pPr>
      <w:r w:rsidRPr="00B00FCB">
        <w:rPr>
          <w:rFonts w:ascii="Verdana" w:hAnsi="Verdana"/>
          <w:sz w:val="22"/>
          <w:szCs w:val="22"/>
        </w:rPr>
        <w:t xml:space="preserve">En </w:t>
      </w:r>
      <w:r w:rsidRPr="00B00FCB">
        <w:rPr>
          <w:rFonts w:ascii="Verdana" w:hAnsi="Verdana"/>
          <w:b/>
          <w:bCs/>
          <w:sz w:val="22"/>
          <w:szCs w:val="22"/>
        </w:rPr>
        <w:t>Colombia</w:t>
      </w:r>
      <w:r w:rsidRPr="00B00FCB">
        <w:rPr>
          <w:rFonts w:ascii="Verdana" w:hAnsi="Verdana"/>
          <w:sz w:val="22"/>
          <w:szCs w:val="22"/>
        </w:rPr>
        <w:t xml:space="preserve">, este derecho fue incorporado a la legislación nacional a través de la </w:t>
      </w:r>
      <w:r w:rsidRPr="00B00FCB">
        <w:rPr>
          <w:rFonts w:ascii="Verdana" w:hAnsi="Verdana"/>
          <w:b/>
          <w:bCs/>
          <w:sz w:val="22"/>
          <w:szCs w:val="22"/>
        </w:rPr>
        <w:t>Ley 21 de 1991</w:t>
      </w:r>
      <w:r w:rsidRPr="00B00FCB">
        <w:rPr>
          <w:rFonts w:ascii="Verdana" w:hAnsi="Verdana"/>
          <w:sz w:val="22"/>
          <w:szCs w:val="22"/>
        </w:rPr>
        <w:t>, que ratifica el Convenio 169 de la OIT y lo adapta a la realidad del país. De acuerdo con esta ley, la Consulta Previa aplica a los grupos étnicos (indígenas, afrodescendientes, y comunidades tribales) y tiene como objetivo principal garantizar que sus derechos sean respetados, permitiéndoles participar activamente en las decisiones que afecten a sus territorios, recursos, y modos de vida.</w:t>
      </w:r>
    </w:p>
    <w:p w14:paraId="2C06D7F8" w14:textId="77777777" w:rsidR="001C1060" w:rsidRPr="00B00FCB" w:rsidRDefault="001C1060" w:rsidP="001C1060">
      <w:pPr>
        <w:pStyle w:val="Textoindependiente"/>
        <w:spacing w:line="276" w:lineRule="auto"/>
        <w:ind w:left="668" w:right="532"/>
        <w:jc w:val="both"/>
        <w:rPr>
          <w:rFonts w:ascii="Verdana" w:hAnsi="Verdana"/>
          <w:sz w:val="22"/>
          <w:szCs w:val="22"/>
        </w:rPr>
      </w:pPr>
      <w:r w:rsidRPr="00B00FCB">
        <w:rPr>
          <w:rFonts w:ascii="Verdana" w:hAnsi="Verdana"/>
          <w:sz w:val="22"/>
          <w:szCs w:val="22"/>
        </w:rPr>
        <w:t xml:space="preserve">Algunos de los aspectos más relevantes de la </w:t>
      </w:r>
      <w:r w:rsidRPr="00B00FCB">
        <w:rPr>
          <w:rFonts w:ascii="Verdana" w:hAnsi="Verdana"/>
          <w:b/>
          <w:bCs/>
          <w:sz w:val="22"/>
          <w:szCs w:val="22"/>
        </w:rPr>
        <w:t>Consulta Previa</w:t>
      </w:r>
      <w:r w:rsidRPr="00B00FCB">
        <w:rPr>
          <w:rFonts w:ascii="Verdana" w:hAnsi="Verdana"/>
          <w:sz w:val="22"/>
          <w:szCs w:val="22"/>
        </w:rPr>
        <w:t xml:space="preserve"> son:</w:t>
      </w:r>
    </w:p>
    <w:p w14:paraId="1D981053" w14:textId="77777777" w:rsidR="001C1060" w:rsidRPr="00B00FCB" w:rsidRDefault="001C1060" w:rsidP="001C1060">
      <w:pPr>
        <w:pStyle w:val="Textoindependiente"/>
        <w:numPr>
          <w:ilvl w:val="0"/>
          <w:numId w:val="79"/>
        </w:numPr>
        <w:spacing w:line="276" w:lineRule="auto"/>
        <w:ind w:right="532"/>
        <w:jc w:val="both"/>
        <w:rPr>
          <w:rFonts w:ascii="Verdana" w:hAnsi="Verdana"/>
          <w:sz w:val="22"/>
          <w:szCs w:val="22"/>
        </w:rPr>
      </w:pPr>
      <w:r w:rsidRPr="00B00FCB">
        <w:rPr>
          <w:rFonts w:ascii="Verdana" w:hAnsi="Verdana"/>
          <w:b/>
          <w:bCs/>
          <w:sz w:val="22"/>
          <w:szCs w:val="22"/>
        </w:rPr>
        <w:t>Protección de la Cultura y el Medio Ambiente</w:t>
      </w:r>
      <w:r w:rsidRPr="00B00FCB">
        <w:rPr>
          <w:rFonts w:ascii="Verdana" w:hAnsi="Verdana"/>
          <w:sz w:val="22"/>
          <w:szCs w:val="22"/>
        </w:rPr>
        <w:t>: A través de la consulta, se busca evitar que las actividades propuestas pongan en riesgo la identidad cultural, el patrimonio, las tradiciones, o el entorno natural de los pueblos indígenas y tribales.</w:t>
      </w:r>
    </w:p>
    <w:p w14:paraId="6DB701B6" w14:textId="77777777" w:rsidR="001C1060" w:rsidRPr="00B00FCB" w:rsidRDefault="001C1060" w:rsidP="001C1060">
      <w:pPr>
        <w:pStyle w:val="Textoindependiente"/>
        <w:numPr>
          <w:ilvl w:val="0"/>
          <w:numId w:val="79"/>
        </w:numPr>
        <w:spacing w:line="276" w:lineRule="auto"/>
        <w:ind w:right="532"/>
        <w:jc w:val="both"/>
        <w:rPr>
          <w:rFonts w:ascii="Verdana" w:hAnsi="Verdana"/>
          <w:sz w:val="22"/>
          <w:szCs w:val="22"/>
        </w:rPr>
      </w:pPr>
      <w:r w:rsidRPr="00B00FCB">
        <w:rPr>
          <w:rFonts w:ascii="Verdana" w:hAnsi="Verdana"/>
          <w:b/>
          <w:bCs/>
          <w:sz w:val="22"/>
          <w:szCs w:val="22"/>
        </w:rPr>
        <w:t>Participación y Consentimiento</w:t>
      </w:r>
      <w:r w:rsidRPr="00B00FCB">
        <w:rPr>
          <w:rFonts w:ascii="Verdana" w:hAnsi="Verdana"/>
          <w:sz w:val="22"/>
          <w:szCs w:val="22"/>
        </w:rPr>
        <w:t>: La consulta no se limita solo a informar a las comunidades, sino que también busca obtener su consentimiento, asegurando que las decisiones sean tomadas de manera conjunta y que se respete la autodeterminación de los pueblos.</w:t>
      </w:r>
    </w:p>
    <w:p w14:paraId="20C9A0D9" w14:textId="77777777" w:rsidR="001C1060" w:rsidRPr="00B00FCB" w:rsidRDefault="001C1060" w:rsidP="001C1060">
      <w:pPr>
        <w:pStyle w:val="Textoindependiente"/>
        <w:numPr>
          <w:ilvl w:val="0"/>
          <w:numId w:val="79"/>
        </w:numPr>
        <w:spacing w:line="276" w:lineRule="auto"/>
        <w:ind w:right="532"/>
        <w:jc w:val="both"/>
        <w:rPr>
          <w:rFonts w:ascii="Verdana" w:hAnsi="Verdana"/>
          <w:sz w:val="22"/>
          <w:szCs w:val="22"/>
        </w:rPr>
      </w:pPr>
      <w:r w:rsidRPr="00B00FCB">
        <w:rPr>
          <w:rFonts w:ascii="Verdana" w:hAnsi="Verdana"/>
          <w:b/>
          <w:bCs/>
          <w:sz w:val="22"/>
          <w:szCs w:val="22"/>
        </w:rPr>
        <w:t>Inclusión de Valores y Prácticas Sociales</w:t>
      </w:r>
      <w:r w:rsidRPr="00B00FCB">
        <w:rPr>
          <w:rFonts w:ascii="Verdana" w:hAnsi="Verdana"/>
          <w:sz w:val="22"/>
          <w:szCs w:val="22"/>
        </w:rPr>
        <w:t xml:space="preserve">: La consulta también reconoce la importancia de las prácticas sociales, religiosas, espirituales e institucionales de estas comunidades, asegurando que se les dé un espacio </w:t>
      </w:r>
      <w:r w:rsidRPr="00B00FCB">
        <w:rPr>
          <w:rFonts w:ascii="Verdana" w:hAnsi="Verdana"/>
          <w:sz w:val="22"/>
          <w:szCs w:val="22"/>
        </w:rPr>
        <w:lastRenderedPageBreak/>
        <w:t>para expresar sus necesidades y preocupaciones de manera libre y transparente.</w:t>
      </w:r>
    </w:p>
    <w:p w14:paraId="5177B982" w14:textId="7F453C89" w:rsidR="00CD3E44" w:rsidRPr="00B00FCB" w:rsidRDefault="00CD3E44" w:rsidP="00B00FCB">
      <w:pPr>
        <w:pStyle w:val="Textoindependiente"/>
        <w:spacing w:after="0" w:line="276" w:lineRule="auto"/>
        <w:ind w:right="532"/>
        <w:jc w:val="both"/>
        <w:rPr>
          <w:rFonts w:ascii="Verdana" w:hAnsi="Verdana"/>
          <w:b/>
          <w:bCs/>
          <w:i/>
          <w:iCs/>
          <w:sz w:val="22"/>
          <w:szCs w:val="22"/>
        </w:rPr>
      </w:pPr>
      <w:r w:rsidRPr="00B00FCB">
        <w:rPr>
          <w:rFonts w:ascii="Verdana" w:hAnsi="Verdana"/>
          <w:sz w:val="22"/>
          <w:szCs w:val="22"/>
        </w:rPr>
        <w:t>El artículo 46 de la ley 1437 de 2011</w:t>
      </w:r>
      <w:r w:rsidRPr="00B00FCB">
        <w:rPr>
          <w:rFonts w:ascii="Verdana" w:hAnsi="Verdana"/>
          <w:b/>
          <w:bCs/>
          <w:i/>
          <w:iCs/>
          <w:sz w:val="22"/>
          <w:szCs w:val="22"/>
        </w:rPr>
        <w:t xml:space="preserve"> </w:t>
      </w:r>
      <w:r w:rsidRPr="00B00FCB">
        <w:rPr>
          <w:rFonts w:ascii="Verdana" w:hAnsi="Verdana"/>
          <w:b/>
          <w:bCs/>
          <w:sz w:val="22"/>
          <w:szCs w:val="22"/>
        </w:rPr>
        <w:t>establece:</w:t>
      </w:r>
      <w:r w:rsidRPr="00B00FCB">
        <w:rPr>
          <w:rFonts w:ascii="Verdana" w:hAnsi="Verdana"/>
          <w:b/>
          <w:bCs/>
          <w:i/>
          <w:iCs/>
          <w:sz w:val="22"/>
          <w:szCs w:val="22"/>
        </w:rPr>
        <w:t xml:space="preserve"> </w:t>
      </w:r>
    </w:p>
    <w:p w14:paraId="227D714F" w14:textId="77777777" w:rsidR="00CD3E44" w:rsidRPr="00B00FCB" w:rsidRDefault="00CD3E44" w:rsidP="00B00FCB">
      <w:pPr>
        <w:pStyle w:val="Textoindependiente"/>
        <w:spacing w:after="0" w:line="276" w:lineRule="auto"/>
        <w:ind w:right="532"/>
        <w:jc w:val="both"/>
        <w:rPr>
          <w:rFonts w:ascii="Verdana" w:hAnsi="Verdana"/>
          <w:b/>
          <w:bCs/>
          <w:i/>
          <w:iCs/>
          <w:sz w:val="22"/>
          <w:szCs w:val="22"/>
        </w:rPr>
      </w:pPr>
    </w:p>
    <w:p w14:paraId="794FD3F9" w14:textId="4931B8B9" w:rsidR="00CD3E44" w:rsidRPr="00B00FCB" w:rsidRDefault="00CD3E44" w:rsidP="00B00FCB">
      <w:pPr>
        <w:pStyle w:val="Textoindependiente"/>
        <w:spacing w:after="0" w:line="276" w:lineRule="auto"/>
        <w:ind w:right="532"/>
        <w:jc w:val="both"/>
        <w:rPr>
          <w:rFonts w:ascii="Verdana" w:hAnsi="Verdana"/>
          <w:i/>
          <w:iCs/>
          <w:sz w:val="22"/>
          <w:szCs w:val="22"/>
        </w:rPr>
      </w:pPr>
      <w:r w:rsidRPr="00B00FCB">
        <w:rPr>
          <w:rFonts w:ascii="Verdana" w:hAnsi="Verdana"/>
          <w:b/>
          <w:bCs/>
          <w:i/>
          <w:iCs/>
          <w:sz w:val="22"/>
          <w:szCs w:val="22"/>
        </w:rPr>
        <w:t>“</w:t>
      </w:r>
      <w:r w:rsidRPr="00B00FCB">
        <w:rPr>
          <w:rFonts w:ascii="Verdana" w:hAnsi="Verdana"/>
          <w:i/>
          <w:iCs/>
          <w:sz w:val="22"/>
          <w:szCs w:val="22"/>
        </w:rPr>
        <w:t>Cuando la Constitución o la ley ordenen la realización de una consulta previa a la adopción de una decisión administrativa, dicha consulta deberá realizarse dentro de los términos señalados en las normas respectivas, so pena de nulidad de la decisión que se llegare a adoptar”</w:t>
      </w:r>
    </w:p>
    <w:p w14:paraId="571D019B" w14:textId="77777777" w:rsidR="00CD3E44" w:rsidRPr="00B00FCB" w:rsidRDefault="00CD3E44" w:rsidP="0075361B">
      <w:pPr>
        <w:pStyle w:val="Textoindependiente"/>
        <w:spacing w:line="276" w:lineRule="auto"/>
        <w:ind w:right="532"/>
        <w:jc w:val="both"/>
        <w:rPr>
          <w:rFonts w:ascii="Verdana" w:hAnsi="Verdana"/>
          <w:sz w:val="22"/>
          <w:szCs w:val="22"/>
        </w:rPr>
      </w:pPr>
    </w:p>
    <w:p w14:paraId="4C5811CF" w14:textId="28A846EA" w:rsidR="00BA4E98" w:rsidRPr="00B00FCB" w:rsidRDefault="00CD3E44" w:rsidP="00E52FE1">
      <w:pPr>
        <w:pStyle w:val="Textoindependiente"/>
        <w:spacing w:line="276" w:lineRule="auto"/>
        <w:ind w:right="532"/>
        <w:jc w:val="both"/>
        <w:rPr>
          <w:rFonts w:ascii="Verdana" w:hAnsi="Verdana"/>
          <w:sz w:val="22"/>
          <w:szCs w:val="22"/>
        </w:rPr>
      </w:pPr>
      <w:r w:rsidRPr="00B00FCB">
        <w:rPr>
          <w:rFonts w:ascii="Verdana" w:hAnsi="Verdana"/>
          <w:sz w:val="22"/>
          <w:szCs w:val="22"/>
        </w:rPr>
        <w:t xml:space="preserve">Por su parte la </w:t>
      </w:r>
      <w:r w:rsidR="0075361B" w:rsidRPr="00B00FCB">
        <w:rPr>
          <w:rFonts w:ascii="Verdana" w:hAnsi="Verdana"/>
          <w:sz w:val="22"/>
          <w:szCs w:val="22"/>
        </w:rPr>
        <w:t xml:space="preserve">Directiva Presidencial 01 de 2010 </w:t>
      </w:r>
      <w:r w:rsidR="00E52FE1" w:rsidRPr="00B00FCB">
        <w:rPr>
          <w:rFonts w:ascii="Verdana" w:hAnsi="Verdana"/>
          <w:sz w:val="22"/>
          <w:szCs w:val="22"/>
        </w:rPr>
        <w:tab/>
        <w:t>por medio del cual se garantiza el derecho fundamental a la consulta previa de los grupos étnicos nacionales.</w:t>
      </w:r>
    </w:p>
    <w:p w14:paraId="7FE556FB" w14:textId="66EE3537" w:rsidR="00A0682A" w:rsidRDefault="00A0682A" w:rsidP="00E42FDE">
      <w:pPr>
        <w:numPr>
          <w:ilvl w:val="0"/>
          <w:numId w:val="70"/>
        </w:numPr>
        <w:jc w:val="both"/>
        <w:rPr>
          <w:rFonts w:ascii="Verdana" w:hAnsi="Verdana" w:cs="Arial"/>
          <w:i/>
          <w:iCs/>
          <w:sz w:val="22"/>
          <w:szCs w:val="22"/>
        </w:rPr>
      </w:pPr>
      <w:r>
        <w:rPr>
          <w:rFonts w:ascii="Verdana" w:hAnsi="Verdana" w:cs="Arial"/>
          <w:i/>
          <w:iCs/>
          <w:sz w:val="22"/>
          <w:szCs w:val="22"/>
        </w:rPr>
        <w:t xml:space="preserve">Se ajustan los puntuables </w:t>
      </w:r>
      <w:r w:rsidR="000E6D98">
        <w:rPr>
          <w:rFonts w:ascii="Verdana" w:hAnsi="Verdana" w:cs="Arial"/>
          <w:i/>
          <w:iCs/>
          <w:sz w:val="22"/>
          <w:szCs w:val="22"/>
        </w:rPr>
        <w:t>incluyendo a la población pospenada, reinsertada reintegrada, con un valor de 0.25 por lo que se explica a continuación:</w:t>
      </w:r>
    </w:p>
    <w:p w14:paraId="43A551AC" w14:textId="77777777" w:rsidR="000539AC" w:rsidRDefault="000539AC" w:rsidP="000539AC">
      <w:pPr>
        <w:pStyle w:val="Prrafodelista"/>
        <w:rPr>
          <w:rFonts w:ascii="Verdana" w:hAnsi="Verdana" w:cs="Arial"/>
          <w:i/>
          <w:iCs/>
        </w:rPr>
      </w:pPr>
    </w:p>
    <w:p w14:paraId="5C3DE160" w14:textId="46B2B6AD" w:rsidR="00126FA2" w:rsidRDefault="00126FA2" w:rsidP="000539AC">
      <w:pPr>
        <w:jc w:val="both"/>
        <w:rPr>
          <w:rFonts w:ascii="Verdana" w:hAnsi="Verdana" w:cs="Arial"/>
          <w:i/>
          <w:iCs/>
          <w:sz w:val="22"/>
          <w:szCs w:val="22"/>
        </w:rPr>
      </w:pPr>
      <w:r w:rsidRPr="00536A53">
        <w:rPr>
          <w:rFonts w:ascii="Verdana" w:hAnsi="Verdana" w:cs="Arial"/>
          <w:sz w:val="22"/>
          <w:szCs w:val="22"/>
        </w:rPr>
        <w:t>Que mediante la Ley 2294 de 2023</w:t>
      </w:r>
      <w:r w:rsidRPr="00126FA2">
        <w:rPr>
          <w:rFonts w:ascii="Verdana" w:hAnsi="Verdana" w:cs="Arial"/>
          <w:i/>
          <w:iCs/>
          <w:sz w:val="22"/>
          <w:szCs w:val="22"/>
        </w:rPr>
        <w:t xml:space="preserve"> “Por el cual se expide el Plan Nacional de Desarrollo 2022-2026 "Colombia Potencia Mundial de la Vida” se modificó el artículo 4 del Decreto Ley 4138 de 2011, estableciendo que el objeto de la ARN es el de “gestionar, implementar, coordinar y evaluar, de forma articulada con las entidades e instancias competentes, las políticas de inclusión en la vida civil en el marco de los programas de reinserción, reintegración, reincorporación y de sometimiento o sujeción a la justicia de exintegrantes de grupos armados organizados, estructuras armadas organizadas de alto impacto, así como de las diseñadas para el acompañamiento a miembros activos y retirados de la Fuerza Pública que se encuentren sometidos y cumpliendo con las obligaciones derivadas del régimen de condicionalidad de la Jurisdicción Especial para la Paz, con el fin de promover la construcción de la paz, la seguridad humana y la reconciliación.”</w:t>
      </w:r>
    </w:p>
    <w:p w14:paraId="1C9EA761" w14:textId="77777777" w:rsidR="00AB2AFC" w:rsidRDefault="00AB2AFC" w:rsidP="000539AC">
      <w:pPr>
        <w:jc w:val="both"/>
        <w:rPr>
          <w:rFonts w:ascii="Verdana" w:hAnsi="Verdana" w:cs="Arial"/>
          <w:i/>
          <w:iCs/>
          <w:sz w:val="22"/>
          <w:szCs w:val="22"/>
        </w:rPr>
      </w:pPr>
    </w:p>
    <w:p w14:paraId="0262AF0A" w14:textId="77777777" w:rsidR="008B23E2" w:rsidRDefault="008B23E2" w:rsidP="000539AC">
      <w:pPr>
        <w:jc w:val="both"/>
        <w:rPr>
          <w:rFonts w:ascii="Verdana" w:hAnsi="Verdana" w:cs="Arial"/>
          <w:i/>
          <w:iCs/>
          <w:sz w:val="22"/>
          <w:szCs w:val="22"/>
        </w:rPr>
      </w:pPr>
    </w:p>
    <w:p w14:paraId="56FE2BE5" w14:textId="3635F096" w:rsidR="008B23E2" w:rsidRDefault="008B23E2" w:rsidP="000539AC">
      <w:pPr>
        <w:jc w:val="both"/>
        <w:rPr>
          <w:rFonts w:ascii="Verdana" w:hAnsi="Verdana" w:cs="Arial"/>
          <w:i/>
          <w:iCs/>
          <w:sz w:val="22"/>
          <w:szCs w:val="22"/>
        </w:rPr>
      </w:pPr>
      <w:r w:rsidRPr="008B23E2">
        <w:rPr>
          <w:rFonts w:ascii="Verdana" w:hAnsi="Verdana" w:cs="Arial"/>
          <w:i/>
          <w:iCs/>
          <w:sz w:val="22"/>
          <w:szCs w:val="22"/>
        </w:rPr>
        <w:t xml:space="preserve">Que el artículo 2.3.2.6.1 del Decreto 1081 de 2015 señala que “De conformidad con el artículo 3 del Decreto Ley 897 de 2017, modificado por el artículo 20 de la Ley 2294 de 2023, el Programa de Reincorporación Integral está dirigido a generar capacidades en sujetos y colectivos en proceso de reincorporación social, económica y comunitaria, orientadas hacia el alcance del buen vivir y la construcción de paz, por medio del acceso y goce efectivo de derechos, la vinculación a la oferta pública y el impulso de sus iniciativas contando para el efecto con las líneas transversales definidas en el artículo </w:t>
      </w:r>
      <w:r w:rsidRPr="008B23E2">
        <w:rPr>
          <w:rFonts w:ascii="Verdana" w:hAnsi="Verdana" w:cs="Arial"/>
          <w:i/>
          <w:iCs/>
          <w:sz w:val="22"/>
          <w:szCs w:val="22"/>
        </w:rPr>
        <w:lastRenderedPageBreak/>
        <w:t>2.3.2.6.1.1. del presente decreto y los principios que rigen el Sistema Nacional de Reincorporación establecidos en el presente Capítulo”</w:t>
      </w:r>
    </w:p>
    <w:p w14:paraId="78E99FF0" w14:textId="77777777" w:rsidR="008B23E2" w:rsidRDefault="008B23E2" w:rsidP="000539AC">
      <w:pPr>
        <w:jc w:val="both"/>
        <w:rPr>
          <w:rFonts w:ascii="Verdana" w:hAnsi="Verdana" w:cs="Arial"/>
          <w:i/>
          <w:iCs/>
          <w:sz w:val="22"/>
          <w:szCs w:val="22"/>
        </w:rPr>
      </w:pPr>
    </w:p>
    <w:p w14:paraId="4835C48B" w14:textId="77777777" w:rsidR="008B23E2" w:rsidRDefault="008B23E2" w:rsidP="000539AC">
      <w:pPr>
        <w:jc w:val="both"/>
        <w:rPr>
          <w:rFonts w:ascii="Verdana" w:hAnsi="Verdana" w:cs="Arial"/>
          <w:i/>
          <w:iCs/>
          <w:sz w:val="22"/>
          <w:szCs w:val="22"/>
        </w:rPr>
      </w:pPr>
    </w:p>
    <w:p w14:paraId="7E02E134" w14:textId="49F549CA" w:rsidR="00055B4C" w:rsidRDefault="00055B4C" w:rsidP="000539AC">
      <w:pPr>
        <w:jc w:val="both"/>
        <w:rPr>
          <w:rFonts w:ascii="Verdana" w:hAnsi="Verdana" w:cs="Arial"/>
          <w:sz w:val="22"/>
          <w:szCs w:val="22"/>
        </w:rPr>
      </w:pPr>
      <w:r w:rsidRPr="005E7310">
        <w:rPr>
          <w:rFonts w:ascii="Verdana" w:hAnsi="Verdana" w:cs="Arial"/>
          <w:sz w:val="22"/>
          <w:szCs w:val="22"/>
        </w:rPr>
        <w:t>“En Colombia, según la Agencia Colombiana para la Reintegración (ACR),</w:t>
      </w:r>
      <w:r w:rsidR="00433672" w:rsidRPr="005E7310">
        <w:rPr>
          <w:rFonts w:ascii="Verdana" w:hAnsi="Verdana" w:cs="Arial"/>
          <w:sz w:val="22"/>
          <w:szCs w:val="22"/>
        </w:rPr>
        <w:t xml:space="preserve"> para el mes de octubre de 2024</w:t>
      </w:r>
      <w:r w:rsidRPr="005E7310">
        <w:rPr>
          <w:rFonts w:ascii="Verdana" w:hAnsi="Verdana" w:cs="Arial"/>
          <w:sz w:val="22"/>
          <w:szCs w:val="22"/>
        </w:rPr>
        <w:t xml:space="preserve"> existen </w:t>
      </w:r>
      <w:r w:rsidR="001D0EA9" w:rsidRPr="005E7310">
        <w:rPr>
          <w:rFonts w:ascii="Verdana" w:hAnsi="Verdana" w:cs="Arial"/>
          <w:sz w:val="22"/>
          <w:szCs w:val="22"/>
        </w:rPr>
        <w:t>27.995 han culminado</w:t>
      </w:r>
      <w:r w:rsidR="00433672" w:rsidRPr="005E7310">
        <w:rPr>
          <w:rFonts w:ascii="Verdana" w:hAnsi="Verdana" w:cs="Arial"/>
          <w:sz w:val="22"/>
          <w:szCs w:val="22"/>
        </w:rPr>
        <w:t xml:space="preserve"> el proceso de reintegración</w:t>
      </w:r>
      <w:r w:rsidRPr="005E7310">
        <w:rPr>
          <w:rFonts w:ascii="Verdana" w:hAnsi="Verdana" w:cs="Arial"/>
          <w:sz w:val="22"/>
          <w:szCs w:val="22"/>
        </w:rPr>
        <w:t>, de las cuales</w:t>
      </w:r>
      <w:r w:rsidR="00A97F8F" w:rsidRPr="005E7310">
        <w:rPr>
          <w:rFonts w:ascii="Verdana" w:hAnsi="Verdana" w:cs="Arial"/>
          <w:sz w:val="22"/>
          <w:szCs w:val="22"/>
        </w:rPr>
        <w:t xml:space="preserve"> el 72% cuentan</w:t>
      </w:r>
      <w:r w:rsidR="00C633E6" w:rsidRPr="005E7310">
        <w:rPr>
          <w:rFonts w:ascii="Verdana" w:hAnsi="Verdana" w:cs="Arial"/>
          <w:sz w:val="22"/>
          <w:szCs w:val="22"/>
        </w:rPr>
        <w:t xml:space="preserve"> con formación para el trabajo</w:t>
      </w:r>
      <w:r w:rsidRPr="005E7310">
        <w:rPr>
          <w:rFonts w:ascii="Verdana" w:hAnsi="Verdana" w:cs="Arial"/>
          <w:sz w:val="22"/>
          <w:szCs w:val="22"/>
        </w:rPr>
        <w:t xml:space="preserve">. </w:t>
      </w:r>
      <w:r w:rsidRPr="00B00FCB">
        <w:rPr>
          <w:rFonts w:ascii="Verdana" w:hAnsi="Verdana" w:cs="Arial"/>
          <w:sz w:val="22"/>
          <w:szCs w:val="22"/>
        </w:rPr>
        <w:t>En cuanto a la participación empresarial, solo se han vinculado al proceso 115 empresas, en modalidades como empleo, capacitación y financiación de proyectos. Esta cifra no se acerca ni al 10 % de las 63.504 empresas constituidas en nuestro país ni a sectores como ~ 26 ~ la construcción (12,9 % del total de las empresas legalmente formadas), donde la mano de obra es vital.” (Subrayado fuera de texto) (J.A. M. Q.).</w:t>
      </w:r>
    </w:p>
    <w:p w14:paraId="0D2ED642" w14:textId="77777777" w:rsidR="00A0682A" w:rsidRDefault="00A0682A" w:rsidP="000539AC">
      <w:pPr>
        <w:jc w:val="both"/>
        <w:rPr>
          <w:rFonts w:ascii="Verdana" w:hAnsi="Verdana" w:cs="Arial"/>
          <w:sz w:val="22"/>
          <w:szCs w:val="22"/>
        </w:rPr>
      </w:pPr>
    </w:p>
    <w:p w14:paraId="679D50FD" w14:textId="77777777" w:rsidR="00A0682A" w:rsidRDefault="00A0682A" w:rsidP="000539AC">
      <w:pPr>
        <w:jc w:val="both"/>
        <w:rPr>
          <w:rFonts w:ascii="Verdana" w:hAnsi="Verdana" w:cs="Arial"/>
          <w:sz w:val="22"/>
          <w:szCs w:val="22"/>
        </w:rPr>
      </w:pPr>
    </w:p>
    <w:p w14:paraId="35764F08" w14:textId="4D56D283" w:rsidR="00A0682A" w:rsidRPr="00536A53" w:rsidRDefault="00A0682A" w:rsidP="000539AC">
      <w:pPr>
        <w:jc w:val="both"/>
        <w:rPr>
          <w:rFonts w:ascii="Verdana" w:hAnsi="Verdana" w:cs="Arial"/>
          <w:sz w:val="22"/>
          <w:szCs w:val="22"/>
        </w:rPr>
      </w:pPr>
      <w:r w:rsidRPr="00A0682A">
        <w:rPr>
          <w:rFonts w:ascii="Verdana" w:hAnsi="Verdana" w:cs="Arial"/>
          <w:noProof/>
          <w:sz w:val="22"/>
          <w:szCs w:val="22"/>
        </w:rPr>
        <w:drawing>
          <wp:inline distT="0" distB="0" distL="0" distR="0" wp14:anchorId="16D6CAE7" wp14:editId="449305EA">
            <wp:extent cx="5394960" cy="3220908"/>
            <wp:effectExtent l="0" t="0" r="0" b="0"/>
            <wp:docPr id="856143633" name="Imagen 1" descr="Interfaz de usuario gráfica, Texto,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43633" name="Imagen 1" descr="Interfaz de usuario gráfica, Texto, Correo electrónico&#10;&#10;Descripción generada automáticamente"/>
                    <pic:cNvPicPr/>
                  </pic:nvPicPr>
                  <pic:blipFill rotWithShape="1">
                    <a:blip r:embed="rId65"/>
                    <a:srcRect l="15006" t="22708" r="16851" b="-946"/>
                    <a:stretch/>
                  </pic:blipFill>
                  <pic:spPr bwMode="auto">
                    <a:xfrm>
                      <a:off x="0" y="0"/>
                      <a:ext cx="5405711" cy="3227326"/>
                    </a:xfrm>
                    <a:prstGeom prst="rect">
                      <a:avLst/>
                    </a:prstGeom>
                    <a:ln>
                      <a:noFill/>
                    </a:ln>
                    <a:extLst>
                      <a:ext uri="{53640926-AAD7-44D8-BBD7-CCE9431645EC}">
                        <a14:shadowObscured xmlns:a14="http://schemas.microsoft.com/office/drawing/2010/main"/>
                      </a:ext>
                    </a:extLst>
                  </pic:spPr>
                </pic:pic>
              </a:graphicData>
            </a:graphic>
          </wp:inline>
        </w:drawing>
      </w:r>
    </w:p>
    <w:p w14:paraId="585C1EF5" w14:textId="77777777" w:rsidR="00F315AD" w:rsidRDefault="00F315AD" w:rsidP="000539AC">
      <w:pPr>
        <w:jc w:val="both"/>
        <w:rPr>
          <w:rFonts w:ascii="Verdana" w:hAnsi="Verdana" w:cs="Arial"/>
          <w:i/>
          <w:iCs/>
          <w:sz w:val="22"/>
          <w:szCs w:val="22"/>
        </w:rPr>
      </w:pPr>
    </w:p>
    <w:p w14:paraId="1F5807FE" w14:textId="77777777" w:rsidR="00F315AD" w:rsidRDefault="00F315AD" w:rsidP="000539AC">
      <w:pPr>
        <w:jc w:val="both"/>
        <w:rPr>
          <w:rFonts w:ascii="Verdana" w:hAnsi="Verdana" w:cs="Arial"/>
          <w:i/>
          <w:iCs/>
          <w:sz w:val="22"/>
          <w:szCs w:val="22"/>
        </w:rPr>
      </w:pPr>
    </w:p>
    <w:p w14:paraId="2F9BC0F2" w14:textId="16313FA5" w:rsidR="001A7711" w:rsidRPr="00536A53" w:rsidRDefault="007C404B" w:rsidP="001A7711">
      <w:pPr>
        <w:jc w:val="both"/>
        <w:rPr>
          <w:rFonts w:ascii="Verdana" w:hAnsi="Verdana" w:cs="Arial"/>
          <w:sz w:val="22"/>
          <w:szCs w:val="22"/>
        </w:rPr>
      </w:pPr>
      <w:r w:rsidRPr="00536A53">
        <w:rPr>
          <w:rFonts w:ascii="Verdana" w:hAnsi="Verdana" w:cs="Arial"/>
          <w:b/>
          <w:bCs/>
          <w:sz w:val="22"/>
          <w:szCs w:val="22"/>
        </w:rPr>
        <w:t xml:space="preserve">Como se puede observar </w:t>
      </w:r>
      <w:r w:rsidRPr="00536A53">
        <w:rPr>
          <w:rFonts w:ascii="Verdana" w:hAnsi="Verdana" w:cs="Arial"/>
          <w:sz w:val="22"/>
          <w:szCs w:val="22"/>
        </w:rPr>
        <w:t>e</w:t>
      </w:r>
      <w:r w:rsidR="00F315AD" w:rsidRPr="00536A53">
        <w:rPr>
          <w:rFonts w:ascii="Verdana" w:hAnsi="Verdana" w:cs="Arial"/>
          <w:sz w:val="22"/>
          <w:szCs w:val="22"/>
        </w:rPr>
        <w:t xml:space="preserve">l proceso de reintegración a la vida civil de </w:t>
      </w:r>
      <w:r w:rsidR="00B33607" w:rsidRPr="00536A53">
        <w:rPr>
          <w:rFonts w:ascii="Verdana" w:hAnsi="Verdana" w:cs="Arial"/>
          <w:sz w:val="22"/>
          <w:szCs w:val="22"/>
        </w:rPr>
        <w:t xml:space="preserve">dichas personas, </w:t>
      </w:r>
      <w:r w:rsidR="00B85FC8" w:rsidRPr="00536A53">
        <w:rPr>
          <w:rFonts w:ascii="Verdana" w:hAnsi="Verdana" w:cs="Arial"/>
          <w:sz w:val="22"/>
          <w:szCs w:val="22"/>
        </w:rPr>
        <w:t xml:space="preserve">las cuales y de acuerdo con los reportes de la </w:t>
      </w:r>
      <w:r w:rsidR="001C1FD8" w:rsidRPr="00536A53">
        <w:rPr>
          <w:rFonts w:ascii="Verdana" w:hAnsi="Verdana" w:cs="Arial"/>
          <w:sz w:val="22"/>
          <w:szCs w:val="22"/>
        </w:rPr>
        <w:t>ARN el</w:t>
      </w:r>
      <w:r w:rsidR="00B85FC8" w:rsidRPr="00536A53">
        <w:rPr>
          <w:rFonts w:ascii="Verdana" w:hAnsi="Verdana" w:cs="Arial"/>
          <w:sz w:val="22"/>
          <w:szCs w:val="22"/>
        </w:rPr>
        <w:t xml:space="preserve"> 72 % de la población </w:t>
      </w:r>
      <w:r w:rsidR="001C1FD8" w:rsidRPr="00536A53">
        <w:rPr>
          <w:rFonts w:ascii="Verdana" w:hAnsi="Verdana" w:cs="Arial"/>
          <w:sz w:val="22"/>
          <w:szCs w:val="22"/>
        </w:rPr>
        <w:t xml:space="preserve">cuanta con formación laboral de ahí la </w:t>
      </w:r>
      <w:r w:rsidR="00AB2AFC" w:rsidRPr="00536A53">
        <w:rPr>
          <w:rFonts w:ascii="Verdana" w:hAnsi="Verdana" w:cs="Arial"/>
          <w:sz w:val="22"/>
          <w:szCs w:val="22"/>
        </w:rPr>
        <w:t>necesidad de</w:t>
      </w:r>
      <w:r w:rsidR="001C1FD8" w:rsidRPr="00536A53">
        <w:rPr>
          <w:rFonts w:ascii="Verdana" w:hAnsi="Verdana" w:cs="Arial"/>
          <w:sz w:val="22"/>
          <w:szCs w:val="22"/>
        </w:rPr>
        <w:t xml:space="preserve"> reforzar,</w:t>
      </w:r>
      <w:r w:rsidR="001A7711" w:rsidRPr="00536A53">
        <w:rPr>
          <w:rFonts w:ascii="Verdana" w:hAnsi="Verdana" w:cs="Arial"/>
          <w:sz w:val="22"/>
          <w:szCs w:val="22"/>
        </w:rPr>
        <w:t xml:space="preserve"> Este compromiso es esencial para mejorar las condiciones de vida y ofrecer mayores oportunidades laborales </w:t>
      </w:r>
      <w:r w:rsidR="001A7711" w:rsidRPr="00536A53">
        <w:rPr>
          <w:rFonts w:ascii="Verdana" w:hAnsi="Verdana" w:cs="Arial"/>
          <w:sz w:val="22"/>
          <w:szCs w:val="22"/>
        </w:rPr>
        <w:lastRenderedPageBreak/>
        <w:t>a estas personas.</w:t>
      </w:r>
      <w:r w:rsidR="00934882" w:rsidRPr="00536A53">
        <w:rPr>
          <w:rFonts w:ascii="Verdana" w:hAnsi="Verdana" w:cs="Arial"/>
          <w:sz w:val="22"/>
          <w:szCs w:val="22"/>
        </w:rPr>
        <w:t xml:space="preserve"> </w:t>
      </w:r>
      <w:r w:rsidR="001A7711" w:rsidRPr="00536A53">
        <w:rPr>
          <w:rFonts w:ascii="Verdana" w:hAnsi="Verdana" w:cs="Arial"/>
          <w:sz w:val="22"/>
          <w:szCs w:val="22"/>
        </w:rPr>
        <w:t xml:space="preserve">más allá de una mera obligación contractual la participación de dicho personal en los entornos de empleabilidad en Colombia </w:t>
      </w:r>
    </w:p>
    <w:p w14:paraId="05078625" w14:textId="77777777" w:rsidR="001A7711" w:rsidRPr="00536A53" w:rsidRDefault="001A7711" w:rsidP="001A7711">
      <w:pPr>
        <w:jc w:val="both"/>
        <w:rPr>
          <w:rFonts w:ascii="Verdana" w:hAnsi="Verdana" w:cs="Arial"/>
          <w:b/>
          <w:bCs/>
          <w:sz w:val="22"/>
          <w:szCs w:val="22"/>
        </w:rPr>
      </w:pPr>
    </w:p>
    <w:p w14:paraId="54D94E40" w14:textId="77777777" w:rsidR="001A7711" w:rsidRPr="00536A53" w:rsidRDefault="001A7711" w:rsidP="00F315AD">
      <w:pPr>
        <w:jc w:val="both"/>
        <w:rPr>
          <w:rFonts w:ascii="Verdana" w:hAnsi="Verdana" w:cs="Arial"/>
          <w:sz w:val="22"/>
          <w:szCs w:val="22"/>
        </w:rPr>
      </w:pPr>
    </w:p>
    <w:p w14:paraId="560AE097" w14:textId="0362A95F" w:rsidR="00F315AD" w:rsidRPr="00536A53" w:rsidRDefault="009D1666" w:rsidP="00F315AD">
      <w:pPr>
        <w:jc w:val="both"/>
        <w:rPr>
          <w:rFonts w:ascii="Verdana" w:hAnsi="Verdana" w:cs="Arial"/>
          <w:sz w:val="22"/>
          <w:szCs w:val="22"/>
        </w:rPr>
      </w:pPr>
      <w:r w:rsidRPr="00536A53">
        <w:rPr>
          <w:rFonts w:ascii="Verdana" w:hAnsi="Verdana" w:cs="Arial"/>
          <w:sz w:val="22"/>
          <w:szCs w:val="22"/>
        </w:rPr>
        <w:t xml:space="preserve">De acuerdo con la Resolución </w:t>
      </w:r>
      <w:r w:rsidR="00275C12" w:rsidRPr="00536A53">
        <w:rPr>
          <w:rFonts w:ascii="Verdana" w:hAnsi="Verdana" w:cs="Arial"/>
          <w:sz w:val="22"/>
          <w:szCs w:val="22"/>
        </w:rPr>
        <w:t>2319 del 2024</w:t>
      </w:r>
      <w:r w:rsidR="007B2A12" w:rsidRPr="00536A53">
        <w:t xml:space="preserve"> </w:t>
      </w:r>
      <w:r w:rsidR="007B2A12" w:rsidRPr="00536A53">
        <w:rPr>
          <w:rFonts w:ascii="Verdana" w:hAnsi="Verdana" w:cs="Arial"/>
          <w:sz w:val="22"/>
          <w:szCs w:val="22"/>
        </w:rPr>
        <w:t xml:space="preserve">Por la cual se regula el Programa de Reincorporación Integral -PRI-, se establecen lineamientos necesarios para su implementación y se dictan otras disposiciones </w:t>
      </w:r>
      <w:r w:rsidR="00F315AD" w:rsidRPr="00536A53">
        <w:rPr>
          <w:rFonts w:ascii="Verdana" w:hAnsi="Verdana" w:cs="Arial"/>
          <w:sz w:val="22"/>
          <w:szCs w:val="22"/>
        </w:rPr>
        <w:t>proteger los derechos fundamentales de las personas desmovilizadas. Estos retos requieren un esfuerzo conjunto del Estado, la sociedad y el sector privado.</w:t>
      </w:r>
      <w:r w:rsidR="001C1FD8" w:rsidRPr="00536A53">
        <w:rPr>
          <w:rFonts w:ascii="Verdana" w:hAnsi="Verdana" w:cs="Arial"/>
          <w:sz w:val="22"/>
          <w:szCs w:val="22"/>
        </w:rPr>
        <w:t xml:space="preserve"> </w:t>
      </w:r>
      <w:r w:rsidR="00F315AD" w:rsidRPr="00536A53">
        <w:rPr>
          <w:rFonts w:ascii="Verdana" w:hAnsi="Verdana" w:cs="Arial"/>
          <w:sz w:val="22"/>
          <w:szCs w:val="22"/>
        </w:rPr>
        <w:t xml:space="preserve"> Es crucial asegurar que los derechos de las personas desmovilizadas sean respetados y promovidos en su reintegración.</w:t>
      </w:r>
      <w:r w:rsidR="00944AB3" w:rsidRPr="00536A53">
        <w:rPr>
          <w:rFonts w:ascii="Verdana" w:hAnsi="Verdana" w:cs="Arial"/>
          <w:sz w:val="22"/>
          <w:szCs w:val="22"/>
        </w:rPr>
        <w:t xml:space="preserve"> </w:t>
      </w:r>
      <w:r w:rsidR="00F315AD" w:rsidRPr="00536A53">
        <w:rPr>
          <w:rFonts w:ascii="Verdana" w:hAnsi="Verdana" w:cs="Arial"/>
          <w:sz w:val="22"/>
          <w:szCs w:val="22"/>
        </w:rPr>
        <w:t xml:space="preserve">Para incrementar el involucramiento del sector privado, se proponen </w:t>
      </w:r>
      <w:r w:rsidR="00944AB3" w:rsidRPr="00536A53">
        <w:rPr>
          <w:rFonts w:ascii="Verdana" w:hAnsi="Verdana" w:cs="Arial"/>
          <w:sz w:val="22"/>
          <w:szCs w:val="22"/>
        </w:rPr>
        <w:t xml:space="preserve">incentivar mediante un puntaje de 0.25 en los ponderables por personal contratado referido a los reintegrados, reinsertados y pospenados estos últimos los desarrollaremos más adelante </w:t>
      </w:r>
      <w:r w:rsidR="00F315AD" w:rsidRPr="00536A53">
        <w:rPr>
          <w:rFonts w:ascii="Verdana" w:hAnsi="Verdana" w:cs="Arial"/>
          <w:sz w:val="22"/>
          <w:szCs w:val="22"/>
        </w:rPr>
        <w:t>medidas que podrían incentivar la participación y mejorar los resultados de los programas de reintegración.</w:t>
      </w:r>
    </w:p>
    <w:p w14:paraId="1A1FA484" w14:textId="602F695F" w:rsidR="00F315AD" w:rsidRPr="00536A53" w:rsidRDefault="00F315AD" w:rsidP="00944AB3">
      <w:pPr>
        <w:jc w:val="both"/>
        <w:rPr>
          <w:rFonts w:ascii="Verdana" w:hAnsi="Verdana" w:cs="Arial"/>
          <w:sz w:val="22"/>
          <w:szCs w:val="22"/>
        </w:rPr>
      </w:pPr>
    </w:p>
    <w:p w14:paraId="4AF70A2F" w14:textId="77777777" w:rsidR="00F315AD" w:rsidRPr="00536A53" w:rsidRDefault="00F315AD" w:rsidP="00F315AD">
      <w:pPr>
        <w:jc w:val="both"/>
        <w:rPr>
          <w:rFonts w:ascii="Verdana" w:hAnsi="Verdana" w:cs="Arial"/>
          <w:sz w:val="22"/>
          <w:szCs w:val="22"/>
        </w:rPr>
      </w:pPr>
      <w:r w:rsidRPr="00536A53">
        <w:rPr>
          <w:rFonts w:ascii="Verdana" w:hAnsi="Verdana" w:cs="Arial"/>
          <w:sz w:val="22"/>
          <w:szCs w:val="22"/>
        </w:rPr>
        <w:t xml:space="preserve">El éxito de la reintegración de las personas desmovilizadas depende en gran medida del compromiso y la colaboración de todos los sectores de la sociedad, incluida la </w:t>
      </w:r>
      <w:proofErr w:type="gramStart"/>
      <w:r w:rsidRPr="00536A53">
        <w:rPr>
          <w:rFonts w:ascii="Verdana" w:hAnsi="Verdana" w:cs="Arial"/>
          <w:sz w:val="22"/>
          <w:szCs w:val="22"/>
        </w:rPr>
        <w:t>participación activa</w:t>
      </w:r>
      <w:proofErr w:type="gramEnd"/>
      <w:r w:rsidRPr="00536A53">
        <w:rPr>
          <w:rFonts w:ascii="Verdana" w:hAnsi="Verdana" w:cs="Arial"/>
          <w:sz w:val="22"/>
          <w:szCs w:val="22"/>
        </w:rPr>
        <w:t xml:space="preserve"> del sector privado.</w:t>
      </w:r>
    </w:p>
    <w:p w14:paraId="598CB9A2" w14:textId="77777777" w:rsidR="00F315AD" w:rsidRPr="00536A53" w:rsidRDefault="00F315AD" w:rsidP="000539AC">
      <w:pPr>
        <w:jc w:val="both"/>
        <w:rPr>
          <w:rFonts w:ascii="Verdana" w:hAnsi="Verdana" w:cs="Arial"/>
          <w:sz w:val="22"/>
          <w:szCs w:val="22"/>
        </w:rPr>
      </w:pPr>
    </w:p>
    <w:p w14:paraId="4134911D" w14:textId="5A60D061" w:rsidR="00E513FE" w:rsidRPr="00536A53" w:rsidRDefault="00FC27A2" w:rsidP="00E513FE">
      <w:pPr>
        <w:jc w:val="both"/>
        <w:rPr>
          <w:rFonts w:ascii="Verdana" w:hAnsi="Verdana" w:cs="Arial"/>
          <w:sz w:val="22"/>
          <w:szCs w:val="22"/>
        </w:rPr>
      </w:pPr>
      <w:r w:rsidRPr="00536A53">
        <w:rPr>
          <w:rFonts w:ascii="Verdana" w:hAnsi="Verdana" w:cs="Arial"/>
          <w:sz w:val="22"/>
          <w:szCs w:val="22"/>
        </w:rPr>
        <w:t xml:space="preserve">Por ello </w:t>
      </w:r>
      <w:r w:rsidR="009428BB" w:rsidRPr="00536A53">
        <w:rPr>
          <w:rFonts w:ascii="Verdana" w:hAnsi="Verdana" w:cs="Arial"/>
          <w:sz w:val="22"/>
          <w:szCs w:val="22"/>
        </w:rPr>
        <w:t xml:space="preserve">es indispensable comprender que, para una </w:t>
      </w:r>
      <w:r w:rsidR="00E513FE" w:rsidRPr="00536A53">
        <w:rPr>
          <w:rFonts w:ascii="Verdana" w:hAnsi="Verdana" w:cs="Arial"/>
          <w:sz w:val="22"/>
          <w:szCs w:val="22"/>
        </w:rPr>
        <w:t>reintegración exitosa, es crucial ofrecer mayores posibilidades de trabajo a los desmovilizados. Sin embargo, el sector privado ha mostrado una participación limitada en este aspecto, lo que dificulta el proceso de inclusión social y económica de estas personas.</w:t>
      </w:r>
    </w:p>
    <w:p w14:paraId="50DEF261" w14:textId="77777777" w:rsidR="009428BB" w:rsidRPr="00536A53" w:rsidRDefault="009428BB" w:rsidP="00E513FE">
      <w:pPr>
        <w:jc w:val="both"/>
        <w:rPr>
          <w:rFonts w:ascii="Verdana" w:hAnsi="Verdana" w:cs="Arial"/>
          <w:sz w:val="22"/>
          <w:szCs w:val="22"/>
        </w:rPr>
      </w:pPr>
    </w:p>
    <w:p w14:paraId="1D3165A4" w14:textId="5D7EDEE7" w:rsidR="00D06FAD" w:rsidRDefault="001227DF" w:rsidP="000539AC">
      <w:pPr>
        <w:jc w:val="both"/>
        <w:rPr>
          <w:rFonts w:ascii="Verdana" w:hAnsi="Verdana" w:cs="Arial"/>
          <w:i/>
          <w:iCs/>
          <w:sz w:val="22"/>
          <w:szCs w:val="22"/>
        </w:rPr>
      </w:pPr>
      <w:r w:rsidRPr="00536A53">
        <w:rPr>
          <w:rFonts w:ascii="Verdana" w:hAnsi="Verdana" w:cs="Arial"/>
          <w:sz w:val="22"/>
          <w:szCs w:val="22"/>
        </w:rPr>
        <w:t xml:space="preserve">De acuerdo con </w:t>
      </w:r>
      <w:r w:rsidR="00D8028D" w:rsidRPr="00536A53">
        <w:rPr>
          <w:rFonts w:ascii="Verdana" w:hAnsi="Verdana" w:cs="Arial"/>
          <w:sz w:val="22"/>
          <w:szCs w:val="22"/>
        </w:rPr>
        <w:t>la SENTENCIA</w:t>
      </w:r>
      <w:r w:rsidRPr="00536A53">
        <w:rPr>
          <w:rFonts w:ascii="Verdana" w:hAnsi="Verdana" w:cs="Arial"/>
          <w:sz w:val="22"/>
          <w:szCs w:val="22"/>
        </w:rPr>
        <w:t xml:space="preserve"> C-107/02 DERECHO AL TRABAJO-Nueva orientación constitucional TRABAJO EN EL ESTADO SOCIAL DE DERECHO</w:t>
      </w:r>
      <w:proofErr w:type="gramStart"/>
      <w:r w:rsidRPr="00DD4DD4">
        <w:rPr>
          <w:rFonts w:ascii="Verdana" w:hAnsi="Verdana" w:cs="Arial"/>
          <w:i/>
          <w:iCs/>
          <w:sz w:val="22"/>
          <w:szCs w:val="22"/>
        </w:rPr>
        <w:t>-</w:t>
      </w:r>
      <w:r w:rsidR="001970B1" w:rsidRPr="00DD4DD4">
        <w:rPr>
          <w:rFonts w:ascii="Verdana" w:hAnsi="Verdana" w:cs="Arial"/>
          <w:i/>
          <w:iCs/>
          <w:sz w:val="22"/>
          <w:szCs w:val="22"/>
        </w:rPr>
        <w:t>“</w:t>
      </w:r>
      <w:proofErr w:type="gramEnd"/>
      <w:r w:rsidR="001970B1" w:rsidRPr="00DD4DD4">
        <w:rPr>
          <w:rFonts w:ascii="Verdana" w:hAnsi="Verdana" w:cs="Arial"/>
          <w:i/>
          <w:iCs/>
          <w:sz w:val="22"/>
          <w:szCs w:val="22"/>
        </w:rPr>
        <w:t>Este derecho comporta la exigencia de su ejercicio en condiciones dignas y justas, es decir, su realización en un entorno sin características humillantes o degradantes o que desconozca los principios mínimos fundamentales establecidos por la Constitución, y además que permita su desarrollo en condiciones equitativas para el trabajador”</w:t>
      </w:r>
    </w:p>
    <w:p w14:paraId="726E9592" w14:textId="77777777" w:rsidR="001970B1" w:rsidRDefault="001970B1" w:rsidP="000539AC">
      <w:pPr>
        <w:jc w:val="both"/>
        <w:rPr>
          <w:rFonts w:ascii="Verdana" w:hAnsi="Verdana" w:cs="Arial"/>
          <w:i/>
          <w:iCs/>
          <w:sz w:val="22"/>
          <w:szCs w:val="22"/>
        </w:rPr>
      </w:pPr>
    </w:p>
    <w:p w14:paraId="3F319B6F" w14:textId="28CF5ED6" w:rsidR="001970B1" w:rsidRPr="00536A53" w:rsidRDefault="001970B1" w:rsidP="001970B1">
      <w:pPr>
        <w:jc w:val="both"/>
        <w:rPr>
          <w:rFonts w:ascii="Verdana" w:hAnsi="Verdana" w:cs="Arial"/>
          <w:sz w:val="22"/>
          <w:szCs w:val="22"/>
        </w:rPr>
      </w:pPr>
      <w:r w:rsidRPr="00536A53">
        <w:rPr>
          <w:rFonts w:ascii="Verdana" w:hAnsi="Verdana" w:cs="Arial"/>
          <w:sz w:val="22"/>
          <w:szCs w:val="22"/>
        </w:rPr>
        <w:t xml:space="preserve">Teniendo en cuenta que el </w:t>
      </w:r>
      <w:r w:rsidR="00B6557E" w:rsidRPr="00536A53">
        <w:rPr>
          <w:rFonts w:ascii="Verdana" w:hAnsi="Verdana" w:cs="Arial"/>
          <w:sz w:val="22"/>
          <w:szCs w:val="22"/>
        </w:rPr>
        <w:t>trabajo</w:t>
      </w:r>
      <w:r w:rsidRPr="00536A53">
        <w:rPr>
          <w:rFonts w:ascii="Verdana" w:hAnsi="Verdana" w:cs="Arial"/>
          <w:sz w:val="22"/>
          <w:szCs w:val="22"/>
        </w:rPr>
        <w:t xml:space="preserve"> </w:t>
      </w:r>
      <w:r w:rsidR="00B6557E" w:rsidRPr="00536A53">
        <w:rPr>
          <w:rFonts w:ascii="Verdana" w:hAnsi="Verdana" w:cs="Arial"/>
          <w:sz w:val="22"/>
          <w:szCs w:val="22"/>
        </w:rPr>
        <w:t xml:space="preserve">es un derecho, es vital ahondar en el desarrollo de este </w:t>
      </w:r>
      <w:r w:rsidR="00DD4DD4" w:rsidRPr="00536A53">
        <w:rPr>
          <w:rFonts w:ascii="Verdana" w:hAnsi="Verdana" w:cs="Arial"/>
          <w:sz w:val="22"/>
          <w:szCs w:val="22"/>
        </w:rPr>
        <w:t>principio en</w:t>
      </w:r>
      <w:r w:rsidR="00B6557E" w:rsidRPr="00536A53">
        <w:rPr>
          <w:rFonts w:ascii="Verdana" w:hAnsi="Verdana" w:cs="Arial"/>
          <w:sz w:val="22"/>
          <w:szCs w:val="22"/>
        </w:rPr>
        <w:t xml:space="preserve"> e</w:t>
      </w:r>
      <w:r w:rsidRPr="00536A53">
        <w:rPr>
          <w:rFonts w:ascii="Verdana" w:hAnsi="Verdana" w:cs="Arial"/>
          <w:sz w:val="22"/>
          <w:szCs w:val="22"/>
        </w:rPr>
        <w:t>l camino hacia una sociedad más inclusiva y pacífica requiere un esfuerzo colaborativo. Tanto el Estado como la sociedad deben estar comprometidos en crear un entorno que no solo acepte, sino que también valore la diversidad y las experiencias de aquellos que buscan reconstruir sus vidas después del conflicto.</w:t>
      </w:r>
    </w:p>
    <w:p w14:paraId="6D24D31A" w14:textId="77777777" w:rsidR="001970B1" w:rsidRPr="00536A53" w:rsidRDefault="001970B1" w:rsidP="001970B1">
      <w:pPr>
        <w:jc w:val="both"/>
        <w:rPr>
          <w:rFonts w:ascii="Verdana" w:hAnsi="Verdana" w:cs="Arial"/>
          <w:sz w:val="22"/>
          <w:szCs w:val="22"/>
        </w:rPr>
      </w:pPr>
    </w:p>
    <w:p w14:paraId="491ED72C" w14:textId="77777777" w:rsidR="001970B1" w:rsidRPr="00536A53" w:rsidRDefault="001970B1" w:rsidP="008F5570">
      <w:pPr>
        <w:jc w:val="both"/>
        <w:rPr>
          <w:rFonts w:ascii="Verdana" w:hAnsi="Verdana" w:cs="Arial"/>
          <w:sz w:val="22"/>
          <w:szCs w:val="22"/>
        </w:rPr>
      </w:pPr>
    </w:p>
    <w:p w14:paraId="1CE098D5" w14:textId="77777777" w:rsidR="008F5570" w:rsidRPr="00536A53" w:rsidRDefault="00D06FAD" w:rsidP="008F5570">
      <w:pPr>
        <w:jc w:val="both"/>
        <w:rPr>
          <w:rFonts w:ascii="Verdana" w:hAnsi="Verdana" w:cs="Arial"/>
          <w:sz w:val="22"/>
          <w:szCs w:val="22"/>
        </w:rPr>
      </w:pPr>
      <w:r w:rsidRPr="00536A53">
        <w:rPr>
          <w:rFonts w:ascii="Verdana" w:hAnsi="Verdana" w:cs="Arial"/>
          <w:sz w:val="22"/>
          <w:szCs w:val="22"/>
        </w:rPr>
        <w:lastRenderedPageBreak/>
        <w:t xml:space="preserve">Aunado a lo anterior y partiendo del </w:t>
      </w:r>
      <w:r w:rsidR="007A491C" w:rsidRPr="00536A53">
        <w:rPr>
          <w:rFonts w:ascii="Verdana" w:hAnsi="Verdana" w:cs="Arial"/>
          <w:sz w:val="22"/>
          <w:szCs w:val="22"/>
        </w:rPr>
        <w:t>principio</w:t>
      </w:r>
      <w:r w:rsidRPr="00536A53">
        <w:rPr>
          <w:rFonts w:ascii="Verdana" w:hAnsi="Verdana" w:cs="Arial"/>
          <w:sz w:val="22"/>
          <w:szCs w:val="22"/>
        </w:rPr>
        <w:t xml:space="preserve"> básico del código penal </w:t>
      </w:r>
      <w:r w:rsidR="00310074" w:rsidRPr="00536A53">
        <w:rPr>
          <w:rFonts w:ascii="Verdana" w:hAnsi="Verdana" w:cs="Arial"/>
          <w:sz w:val="22"/>
          <w:szCs w:val="22"/>
        </w:rPr>
        <w:t>colombiano, la</w:t>
      </w:r>
      <w:r w:rsidR="00512E9F" w:rsidRPr="00536A53">
        <w:rPr>
          <w:rFonts w:ascii="Verdana" w:hAnsi="Verdana" w:cs="Arial"/>
          <w:sz w:val="22"/>
          <w:szCs w:val="22"/>
        </w:rPr>
        <w:t xml:space="preserve"> resocialización es un pilar fundamental del sistema penitenciario en Colombia, como lo establece la Ley 65 de 1993. Este enfoque busca transformar la vida de los internos y facilitar su reintegración en la sociedad. El </w:t>
      </w:r>
      <w:r w:rsidR="00512E9F" w:rsidRPr="00536A53">
        <w:rPr>
          <w:rFonts w:ascii="Verdana" w:hAnsi="Verdana" w:cs="Arial"/>
          <w:bCs/>
          <w:sz w:val="22"/>
          <w:szCs w:val="22"/>
        </w:rPr>
        <w:t>Instituto Nacional Penitenciario y Carcelario (Inpec)</w:t>
      </w:r>
      <w:r w:rsidR="00512E9F" w:rsidRPr="00536A53">
        <w:rPr>
          <w:rFonts w:ascii="Verdana" w:hAnsi="Verdana" w:cs="Arial"/>
          <w:sz w:val="22"/>
          <w:szCs w:val="22"/>
        </w:rPr>
        <w:t xml:space="preserve"> desempeña un papel crucial en este proceso a través de diversas estrategias</w:t>
      </w:r>
      <w:r w:rsidR="00310074" w:rsidRPr="00536A53">
        <w:rPr>
          <w:rFonts w:ascii="Verdana" w:hAnsi="Verdana" w:cs="Arial"/>
          <w:sz w:val="22"/>
          <w:szCs w:val="22"/>
        </w:rPr>
        <w:t xml:space="preserve"> con quienes se han realizado mesas de trabajo en pro de la inclusión del personal po</w:t>
      </w:r>
      <w:r w:rsidR="009879C2" w:rsidRPr="00536A53">
        <w:rPr>
          <w:rFonts w:ascii="Verdana" w:hAnsi="Verdana" w:cs="Arial"/>
          <w:sz w:val="22"/>
          <w:szCs w:val="22"/>
        </w:rPr>
        <w:t>s</w:t>
      </w:r>
      <w:r w:rsidR="00310074" w:rsidRPr="00536A53">
        <w:rPr>
          <w:rFonts w:ascii="Verdana" w:hAnsi="Verdana" w:cs="Arial"/>
          <w:sz w:val="22"/>
          <w:szCs w:val="22"/>
        </w:rPr>
        <w:t>penado</w:t>
      </w:r>
      <w:r w:rsidR="009150F4" w:rsidRPr="00536A53">
        <w:rPr>
          <w:rFonts w:ascii="Verdana" w:hAnsi="Verdana" w:cs="Arial"/>
          <w:sz w:val="22"/>
          <w:szCs w:val="22"/>
        </w:rPr>
        <w:t>, con suspensión condicional de pena</w:t>
      </w:r>
      <w:r w:rsidR="009879C2" w:rsidRPr="00536A53">
        <w:rPr>
          <w:rFonts w:ascii="Verdana" w:hAnsi="Verdana" w:cs="Arial"/>
          <w:sz w:val="22"/>
          <w:szCs w:val="22"/>
        </w:rPr>
        <w:t xml:space="preserve">, libertad condicional, suspensión provisional de </w:t>
      </w:r>
      <w:r w:rsidR="00851899" w:rsidRPr="00536A53">
        <w:rPr>
          <w:rFonts w:ascii="Verdana" w:hAnsi="Verdana" w:cs="Arial"/>
          <w:sz w:val="22"/>
          <w:szCs w:val="22"/>
        </w:rPr>
        <w:t>pena, para ello se expidió la resolución</w:t>
      </w:r>
      <w:r w:rsidR="00B91F4B" w:rsidRPr="00536A53">
        <w:rPr>
          <w:rFonts w:ascii="Verdana" w:hAnsi="Verdana" w:cs="Arial"/>
          <w:sz w:val="22"/>
          <w:szCs w:val="22"/>
        </w:rPr>
        <w:t xml:space="preserve"> 4290 de 2024 </w:t>
      </w:r>
      <w:r w:rsidR="008F5570" w:rsidRPr="00536A53">
        <w:rPr>
          <w:rFonts w:ascii="Verdana" w:hAnsi="Verdana" w:cs="Arial"/>
          <w:sz w:val="22"/>
          <w:szCs w:val="22"/>
        </w:rPr>
        <w:t xml:space="preserve">la cual establece lo siguiente: </w:t>
      </w:r>
    </w:p>
    <w:p w14:paraId="01BC1AD3" w14:textId="77777777" w:rsidR="008F5570" w:rsidRDefault="008F5570" w:rsidP="008F5570">
      <w:pPr>
        <w:jc w:val="both"/>
        <w:rPr>
          <w:rFonts w:ascii="Verdana" w:hAnsi="Verdana" w:cs="Arial"/>
          <w:i/>
          <w:iCs/>
          <w:sz w:val="22"/>
          <w:szCs w:val="22"/>
        </w:rPr>
      </w:pPr>
    </w:p>
    <w:p w14:paraId="11A63A03" w14:textId="4B6B784F" w:rsidR="00536A53" w:rsidRDefault="008F5570" w:rsidP="008F5570">
      <w:pPr>
        <w:jc w:val="both"/>
        <w:rPr>
          <w:rFonts w:ascii="Verdana" w:hAnsi="Verdana" w:cs="Arial"/>
          <w:i/>
          <w:iCs/>
          <w:sz w:val="22"/>
          <w:szCs w:val="22"/>
        </w:rPr>
      </w:pPr>
      <w:r>
        <w:rPr>
          <w:rFonts w:ascii="Verdana" w:hAnsi="Verdana" w:cs="Arial"/>
          <w:i/>
          <w:iCs/>
          <w:sz w:val="22"/>
          <w:szCs w:val="22"/>
        </w:rPr>
        <w:t>(…) “</w:t>
      </w:r>
      <w:r w:rsidRPr="008F5570">
        <w:rPr>
          <w:rFonts w:ascii="Verdana" w:hAnsi="Verdana" w:cs="Arial"/>
          <w:i/>
          <w:iCs/>
          <w:sz w:val="22"/>
          <w:szCs w:val="22"/>
        </w:rPr>
        <w:t xml:space="preserve">Que el 17 de mayo de 2022, el Congreso de Colombia expidió la Ley 2208 de 2022, “Por medio de la cual se establecen incentivos económicos para fortalecer el acceso y las oportunidades de empleo y formación para la población pospenada y se dictan otras disposiciones - Ley de Segundas Oportunidades”, cuyo objeto es crear mayores oportunidades de acceso al mercado laboral para la población pospenada, así como para aquellas personas que se encuentren cumpliendo pena con permiso de trabajo, libertad condicional o suspensión provisional de pena con autorización de trabajo, mediante la creación de beneficios tributarios, económicos, corporativos y otros que impacten positivamente la estructura de costos de las empresas en la contratación de este tipo de talento humano. </w:t>
      </w:r>
      <w:r w:rsidR="00D91E3B" w:rsidRPr="008F5570">
        <w:rPr>
          <w:rFonts w:ascii="Verdana" w:hAnsi="Verdana" w:cs="Arial"/>
          <w:i/>
          <w:iCs/>
          <w:sz w:val="22"/>
          <w:szCs w:val="22"/>
        </w:rPr>
        <w:t>Que,</w:t>
      </w:r>
      <w:r w:rsidRPr="008F5570">
        <w:rPr>
          <w:rFonts w:ascii="Verdana" w:hAnsi="Verdana" w:cs="Arial"/>
          <w:i/>
          <w:iCs/>
          <w:sz w:val="22"/>
          <w:szCs w:val="22"/>
        </w:rPr>
        <w:t xml:space="preserve"> en el marco del objeto legal, el capítulo II “Responsabilidad Corporativa e Institucional” creó en el artículo 4 el sello “Segundas Oportunidades”, el cual tiene por finalidad identificar a las empresas que incorporen dentro de su planta laboral a por lo menos un (1) trabajador que haga parte de la población objeto contemplada en el artículo 2 de la citada Ley, con el fin de otorgar reconocimiento reputacional a estas personas jurídicas</w:t>
      </w:r>
      <w:r>
        <w:rPr>
          <w:rFonts w:ascii="Verdana" w:hAnsi="Verdana" w:cs="Arial"/>
          <w:i/>
          <w:iCs/>
          <w:sz w:val="22"/>
          <w:szCs w:val="22"/>
        </w:rPr>
        <w:t xml:space="preserve">”. </w:t>
      </w:r>
    </w:p>
    <w:p w14:paraId="3D8F5C97" w14:textId="77777777" w:rsidR="00536A53" w:rsidRDefault="00536A53" w:rsidP="008F5570">
      <w:pPr>
        <w:jc w:val="both"/>
        <w:rPr>
          <w:rFonts w:ascii="Verdana" w:hAnsi="Verdana" w:cs="Arial"/>
          <w:i/>
          <w:iCs/>
          <w:sz w:val="22"/>
          <w:szCs w:val="22"/>
        </w:rPr>
      </w:pPr>
    </w:p>
    <w:p w14:paraId="09016A9A" w14:textId="77777777" w:rsidR="00536A53" w:rsidRDefault="00536A53" w:rsidP="008F5570">
      <w:pPr>
        <w:jc w:val="both"/>
        <w:rPr>
          <w:rFonts w:ascii="Verdana" w:hAnsi="Verdana" w:cs="Arial"/>
          <w:i/>
          <w:iCs/>
          <w:sz w:val="22"/>
          <w:szCs w:val="22"/>
        </w:rPr>
      </w:pPr>
    </w:p>
    <w:p w14:paraId="6E83F047" w14:textId="77777777" w:rsidR="00C349BB" w:rsidRPr="00C349BB" w:rsidRDefault="00536A53" w:rsidP="007361FC">
      <w:pPr>
        <w:jc w:val="both"/>
        <w:rPr>
          <w:rFonts w:ascii="Verdana" w:hAnsi="Verdana" w:cs="Arial"/>
          <w:sz w:val="22"/>
          <w:szCs w:val="22"/>
        </w:rPr>
      </w:pPr>
      <w:r>
        <w:rPr>
          <w:rFonts w:ascii="Verdana" w:hAnsi="Verdana" w:cs="Arial"/>
          <w:sz w:val="22"/>
          <w:szCs w:val="22"/>
        </w:rPr>
        <w:t xml:space="preserve">En virtud de lo anterior, y con el fin de </w:t>
      </w:r>
      <w:r w:rsidR="00BD5126">
        <w:rPr>
          <w:rFonts w:ascii="Verdana" w:hAnsi="Verdana" w:cs="Arial"/>
          <w:sz w:val="22"/>
          <w:szCs w:val="22"/>
        </w:rPr>
        <w:t>promover la incorporación de la población pospenada, reintegrados, reinsertados, etc, de acuerdo con lo manifestado en est</w:t>
      </w:r>
      <w:r w:rsidR="00B70573">
        <w:rPr>
          <w:rFonts w:ascii="Verdana" w:hAnsi="Verdana" w:cs="Arial"/>
          <w:sz w:val="22"/>
          <w:szCs w:val="22"/>
        </w:rPr>
        <w:t xml:space="preserve">e </w:t>
      </w:r>
      <w:r w:rsidR="00B06AEE">
        <w:rPr>
          <w:rFonts w:ascii="Verdana" w:hAnsi="Verdana" w:cs="Arial"/>
          <w:sz w:val="22"/>
          <w:szCs w:val="22"/>
        </w:rPr>
        <w:t>análisis es</w:t>
      </w:r>
      <w:r w:rsidR="000E6D98">
        <w:rPr>
          <w:rFonts w:ascii="Verdana" w:hAnsi="Verdana" w:cs="Arial"/>
          <w:sz w:val="22"/>
          <w:szCs w:val="22"/>
        </w:rPr>
        <w:t xml:space="preserve"> </w:t>
      </w:r>
      <w:r w:rsidR="0099049E">
        <w:rPr>
          <w:rFonts w:ascii="Verdana" w:hAnsi="Verdana" w:cs="Arial"/>
          <w:sz w:val="22"/>
          <w:szCs w:val="22"/>
        </w:rPr>
        <w:t xml:space="preserve">indispensable velar por la generación de empleo en un estado social de derecho como es el </w:t>
      </w:r>
      <w:r w:rsidR="00B06AEE">
        <w:rPr>
          <w:rFonts w:ascii="Verdana" w:hAnsi="Verdana" w:cs="Arial"/>
          <w:sz w:val="22"/>
          <w:szCs w:val="22"/>
        </w:rPr>
        <w:t>colombiano</w:t>
      </w:r>
      <w:r w:rsidR="0099049E">
        <w:rPr>
          <w:rFonts w:ascii="Verdana" w:hAnsi="Verdana" w:cs="Arial"/>
          <w:sz w:val="22"/>
          <w:szCs w:val="22"/>
        </w:rPr>
        <w:t xml:space="preserve"> donde la </w:t>
      </w:r>
      <w:r w:rsidR="008D0E77">
        <w:rPr>
          <w:rFonts w:ascii="Verdana" w:hAnsi="Verdana" w:cs="Arial"/>
          <w:sz w:val="22"/>
          <w:szCs w:val="22"/>
        </w:rPr>
        <w:t>resocialización es indispensable en el desarrollo de la sociedad</w:t>
      </w:r>
      <w:r w:rsidR="00C349BB">
        <w:rPr>
          <w:rFonts w:ascii="Verdana" w:hAnsi="Verdana" w:cs="Arial"/>
          <w:sz w:val="22"/>
          <w:szCs w:val="22"/>
        </w:rPr>
        <w:t xml:space="preserve">. </w:t>
      </w:r>
      <w:r w:rsidR="00C349BB" w:rsidRPr="00C349BB">
        <w:rPr>
          <w:rFonts w:ascii="Verdana" w:hAnsi="Verdana" w:cs="Arial"/>
          <w:sz w:val="22"/>
          <w:szCs w:val="22"/>
        </w:rPr>
        <w:t>La reintegración de personas que han cumplido su condena es un tema crucial para el desarrollo de una sociedad justa y equitativa. En Colombia, como estado social de derecho, es imperativo facilitar la resocialización de esta población para asegurar una convivencia armónica y reducir la reincidencia delictiva.</w:t>
      </w:r>
    </w:p>
    <w:p w14:paraId="7ABC7DA0" w14:textId="56A5B50D" w:rsidR="00536A53" w:rsidRDefault="008D0E77" w:rsidP="008F5570">
      <w:pPr>
        <w:jc w:val="both"/>
        <w:rPr>
          <w:rFonts w:ascii="Verdana" w:hAnsi="Verdana" w:cs="Arial"/>
          <w:sz w:val="22"/>
          <w:szCs w:val="22"/>
        </w:rPr>
      </w:pPr>
      <w:r>
        <w:rPr>
          <w:rFonts w:ascii="Verdana" w:hAnsi="Verdana" w:cs="Arial"/>
          <w:sz w:val="22"/>
          <w:szCs w:val="22"/>
        </w:rPr>
        <w:t xml:space="preserve"> </w:t>
      </w:r>
    </w:p>
    <w:p w14:paraId="2E91CAC5" w14:textId="77777777" w:rsidR="00635BA6" w:rsidRDefault="00635BA6" w:rsidP="008F5570">
      <w:pPr>
        <w:jc w:val="both"/>
        <w:rPr>
          <w:rFonts w:ascii="Verdana" w:hAnsi="Verdana" w:cs="Arial"/>
          <w:sz w:val="22"/>
          <w:szCs w:val="22"/>
        </w:rPr>
      </w:pPr>
    </w:p>
    <w:p w14:paraId="076A9E5D" w14:textId="71356D4E" w:rsidR="00512E9F" w:rsidRPr="00512E9F" w:rsidRDefault="00635BA6" w:rsidP="00635BA6">
      <w:pPr>
        <w:jc w:val="both"/>
        <w:rPr>
          <w:rFonts w:ascii="Verdana" w:hAnsi="Verdana" w:cs="Arial"/>
          <w:i/>
          <w:iCs/>
          <w:sz w:val="22"/>
          <w:szCs w:val="22"/>
        </w:rPr>
      </w:pPr>
      <w:r w:rsidRPr="00635BA6">
        <w:rPr>
          <w:rFonts w:ascii="Verdana" w:hAnsi="Verdana" w:cs="Arial"/>
          <w:sz w:val="22"/>
          <w:szCs w:val="22"/>
        </w:rPr>
        <w:lastRenderedPageBreak/>
        <w:t xml:space="preserve">El empleo es un pilar fundamental para la reintegración social. Proporcionar oportunidades laborales no solo les otorga un medio de subsistencia, sino que también les permite reconstruir su identidad social y contribuir positivamente a la comunidad. </w:t>
      </w:r>
    </w:p>
    <w:p w14:paraId="7BBC63ED" w14:textId="53E8689A" w:rsidR="009029AF" w:rsidRPr="001F5F0A" w:rsidRDefault="009029AF" w:rsidP="4B6F30B9">
      <w:pPr>
        <w:pStyle w:val="Ttulo2"/>
        <w:numPr>
          <w:ilvl w:val="0"/>
          <w:numId w:val="46"/>
        </w:numPr>
        <w:rPr>
          <w:rFonts w:ascii="Verdana" w:hAnsi="Verdana" w:cs="Arial"/>
          <w:color w:val="auto"/>
        </w:rPr>
      </w:pPr>
      <w:bookmarkStart w:id="28" w:name="_Toc196716369"/>
      <w:r w:rsidRPr="4B6F30B9">
        <w:rPr>
          <w:rFonts w:ascii="Verdana" w:hAnsi="Verdana" w:cs="Arial"/>
          <w:color w:val="auto"/>
        </w:rPr>
        <w:t xml:space="preserve">Capacidad </w:t>
      </w:r>
      <w:r w:rsidR="00FE049D" w:rsidRPr="4B6F30B9">
        <w:rPr>
          <w:rFonts w:ascii="Verdana" w:hAnsi="Verdana" w:cs="Arial"/>
          <w:color w:val="auto"/>
        </w:rPr>
        <w:t>técnica</w:t>
      </w:r>
      <w:bookmarkEnd w:id="28"/>
    </w:p>
    <w:p w14:paraId="4ECFC9C3" w14:textId="77777777" w:rsidR="003D0FDF" w:rsidRPr="001F5F0A" w:rsidRDefault="003D0FDF" w:rsidP="4B6F30B9">
      <w:pPr>
        <w:rPr>
          <w:rFonts w:ascii="Verdana" w:hAnsi="Verdana" w:cs="Arial"/>
          <w:sz w:val="22"/>
          <w:szCs w:val="22"/>
        </w:rPr>
      </w:pPr>
    </w:p>
    <w:p w14:paraId="628588D1" w14:textId="5CD17D5A" w:rsidR="00E7045E" w:rsidRPr="001F5F0A" w:rsidRDefault="00E7045E" w:rsidP="4B6F30B9">
      <w:pPr>
        <w:jc w:val="both"/>
        <w:rPr>
          <w:rFonts w:ascii="Verdana" w:hAnsi="Verdana" w:cs="Arial"/>
          <w:b/>
          <w:bCs/>
          <w:sz w:val="22"/>
          <w:szCs w:val="22"/>
          <w:u w:val="single"/>
        </w:rPr>
      </w:pPr>
      <w:r w:rsidRPr="4B6F30B9">
        <w:rPr>
          <w:rFonts w:ascii="Verdana" w:eastAsia="Arial" w:hAnsi="Verdana" w:cs="Arial"/>
          <w:b/>
          <w:bCs/>
          <w:sz w:val="22"/>
          <w:szCs w:val="22"/>
        </w:rPr>
        <w:t>Experiencia</w:t>
      </w:r>
    </w:p>
    <w:p w14:paraId="37DE94D1" w14:textId="77777777" w:rsidR="00E7045E" w:rsidRPr="001F5F0A" w:rsidRDefault="00E7045E" w:rsidP="4B6F30B9">
      <w:pPr>
        <w:jc w:val="both"/>
        <w:rPr>
          <w:rFonts w:ascii="Verdana" w:hAnsi="Verdana" w:cs="Arial"/>
          <w:sz w:val="22"/>
          <w:szCs w:val="22"/>
        </w:rPr>
      </w:pPr>
    </w:p>
    <w:p w14:paraId="21C4103C" w14:textId="20A86215" w:rsidR="00E7045E" w:rsidRPr="001F5F0A" w:rsidRDefault="00E7045E" w:rsidP="4B6F30B9">
      <w:pPr>
        <w:jc w:val="both"/>
        <w:rPr>
          <w:rFonts w:ascii="Verdana" w:hAnsi="Verdana" w:cs="Arial"/>
          <w:sz w:val="22"/>
          <w:szCs w:val="22"/>
        </w:rPr>
      </w:pPr>
      <w:r w:rsidRPr="4B6F30B9">
        <w:rPr>
          <w:rFonts w:ascii="Verdana" w:hAnsi="Verdana" w:cs="Arial"/>
          <w:sz w:val="22"/>
          <w:szCs w:val="22"/>
        </w:rPr>
        <w:t>El Docu</w:t>
      </w:r>
      <w:bookmarkStart w:id="29" w:name="_Hlk173249932"/>
      <w:r w:rsidRPr="4B6F30B9">
        <w:rPr>
          <w:rFonts w:ascii="Verdana" w:hAnsi="Verdana" w:cs="Arial"/>
          <w:sz w:val="22"/>
          <w:szCs w:val="22"/>
        </w:rPr>
        <w:t xml:space="preserve">mento base de infraestructura </w:t>
      </w:r>
      <w:r w:rsidR="1D5339B4" w:rsidRPr="4B6F30B9">
        <w:rPr>
          <w:rFonts w:ascii="Verdana" w:hAnsi="Verdana" w:cs="Arial"/>
          <w:sz w:val="22"/>
          <w:szCs w:val="22"/>
        </w:rPr>
        <w:t>social</w:t>
      </w:r>
      <w:r w:rsidR="7B326BDA" w:rsidRPr="4B6F30B9">
        <w:rPr>
          <w:rFonts w:ascii="Verdana" w:hAnsi="Verdana" w:cs="Arial"/>
          <w:sz w:val="22"/>
          <w:szCs w:val="22"/>
        </w:rPr>
        <w:t xml:space="preserve"> vigente</w:t>
      </w:r>
      <w:r w:rsidR="160BED2F" w:rsidRPr="4B6F30B9">
        <w:rPr>
          <w:rFonts w:ascii="Verdana" w:hAnsi="Verdana" w:cs="Arial"/>
          <w:sz w:val="22"/>
          <w:szCs w:val="22"/>
        </w:rPr>
        <w:t xml:space="preserve"> </w:t>
      </w:r>
      <w:r w:rsidR="1568E601" w:rsidRPr="4B6F30B9">
        <w:rPr>
          <w:rFonts w:ascii="Verdana" w:hAnsi="Verdana" w:cs="Arial"/>
          <w:sz w:val="22"/>
          <w:szCs w:val="22"/>
        </w:rPr>
        <w:t xml:space="preserve">de </w:t>
      </w:r>
      <w:r w:rsidR="160BED2F" w:rsidRPr="4B6F30B9">
        <w:rPr>
          <w:rFonts w:ascii="Verdana" w:hAnsi="Verdana" w:cs="Arial"/>
          <w:sz w:val="22"/>
          <w:szCs w:val="22"/>
        </w:rPr>
        <w:t>licitación pública</w:t>
      </w:r>
      <w:r w:rsidRPr="4B6F30B9">
        <w:rPr>
          <w:rFonts w:ascii="Verdana" w:hAnsi="Verdana" w:cs="Arial"/>
          <w:sz w:val="22"/>
          <w:szCs w:val="22"/>
        </w:rPr>
        <w:t xml:space="preserve">, establece en el capítulo III los requisitos </w:t>
      </w:r>
      <w:bookmarkEnd w:id="29"/>
      <w:r w:rsidRPr="4B6F30B9">
        <w:rPr>
          <w:rFonts w:ascii="Verdana" w:hAnsi="Verdana" w:cs="Arial"/>
          <w:sz w:val="22"/>
          <w:szCs w:val="22"/>
        </w:rPr>
        <w:t xml:space="preserve">habilitantes que deben cumplir los proponentes y en su numeral 3.5. establece las condiciones para Acreditar la Experiencia, en tal sentido y con ocasión de la modificación de este Documento Tipo, se realizaron los siguientes ajustes sobre la Matriz </w:t>
      </w:r>
      <w:r w:rsidR="05F2859B" w:rsidRPr="4B6F30B9">
        <w:rPr>
          <w:rFonts w:ascii="Verdana" w:hAnsi="Verdana" w:cs="Arial"/>
          <w:sz w:val="22"/>
          <w:szCs w:val="22"/>
        </w:rPr>
        <w:t xml:space="preserve">- </w:t>
      </w:r>
      <w:r w:rsidRPr="4B6F30B9">
        <w:rPr>
          <w:rFonts w:ascii="Verdana" w:hAnsi="Verdana" w:cs="Arial"/>
          <w:sz w:val="22"/>
          <w:szCs w:val="22"/>
        </w:rPr>
        <w:t xml:space="preserve">Experiencia y </w:t>
      </w:r>
      <w:r w:rsidR="41EE004B" w:rsidRPr="4B6F30B9">
        <w:rPr>
          <w:rFonts w:ascii="Verdana" w:hAnsi="Verdana" w:cs="Arial"/>
          <w:sz w:val="22"/>
          <w:szCs w:val="22"/>
        </w:rPr>
        <w:t xml:space="preserve">Anexo 3- </w:t>
      </w:r>
      <w:r w:rsidRPr="4B6F30B9">
        <w:rPr>
          <w:rFonts w:ascii="Verdana" w:hAnsi="Verdana" w:cs="Arial"/>
          <w:sz w:val="22"/>
          <w:szCs w:val="22"/>
        </w:rPr>
        <w:t xml:space="preserve">Glosario, basados en </w:t>
      </w:r>
      <w:r w:rsidR="255FAB68" w:rsidRPr="4B6F30B9">
        <w:rPr>
          <w:rFonts w:ascii="Verdana" w:hAnsi="Verdana" w:cs="Arial"/>
          <w:sz w:val="22"/>
          <w:szCs w:val="22"/>
        </w:rPr>
        <w:t>observaciones realizadas por parte de los</w:t>
      </w:r>
      <w:r w:rsidR="0042542A" w:rsidRPr="4B6F30B9">
        <w:rPr>
          <w:rFonts w:ascii="Verdana" w:hAnsi="Verdana" w:cs="Arial"/>
          <w:sz w:val="22"/>
          <w:szCs w:val="22"/>
        </w:rPr>
        <w:t xml:space="preserve"> </w:t>
      </w:r>
      <w:r w:rsidRPr="4B6F30B9">
        <w:rPr>
          <w:rFonts w:ascii="Verdana" w:hAnsi="Verdana" w:cs="Arial"/>
          <w:sz w:val="22"/>
          <w:szCs w:val="22"/>
        </w:rPr>
        <w:t>ciudadanos, entidades</w:t>
      </w:r>
      <w:r w:rsidR="0042542A" w:rsidRPr="4B6F30B9">
        <w:rPr>
          <w:rFonts w:ascii="Verdana" w:hAnsi="Verdana" w:cs="Arial"/>
          <w:sz w:val="22"/>
          <w:szCs w:val="22"/>
        </w:rPr>
        <w:t xml:space="preserve"> </w:t>
      </w:r>
      <w:r w:rsidR="2D4ECBB0" w:rsidRPr="4B6F30B9">
        <w:rPr>
          <w:rFonts w:ascii="Verdana" w:hAnsi="Verdana" w:cs="Arial"/>
          <w:sz w:val="22"/>
          <w:szCs w:val="22"/>
        </w:rPr>
        <w:t xml:space="preserve">estatales </w:t>
      </w:r>
      <w:r w:rsidRPr="4B6F30B9">
        <w:rPr>
          <w:rFonts w:ascii="Verdana" w:hAnsi="Verdana" w:cs="Arial"/>
          <w:sz w:val="22"/>
          <w:szCs w:val="22"/>
        </w:rPr>
        <w:t xml:space="preserve">Especializadas y observaciones internas realizadas por </w:t>
      </w:r>
      <w:r w:rsidR="2BCCFF21" w:rsidRPr="4B6F30B9">
        <w:rPr>
          <w:rFonts w:ascii="Verdana" w:hAnsi="Verdana" w:cs="Arial"/>
          <w:sz w:val="22"/>
          <w:szCs w:val="22"/>
        </w:rPr>
        <w:t>parte del Grupo Interno</w:t>
      </w:r>
      <w:r w:rsidRPr="4B6F30B9">
        <w:rPr>
          <w:rFonts w:ascii="Verdana" w:hAnsi="Verdana" w:cs="Arial"/>
          <w:sz w:val="22"/>
          <w:szCs w:val="22"/>
        </w:rPr>
        <w:t xml:space="preserve"> </w:t>
      </w:r>
      <w:r w:rsidR="64F9D9B4" w:rsidRPr="4B6F30B9">
        <w:rPr>
          <w:rFonts w:ascii="Verdana" w:hAnsi="Verdana" w:cs="Arial"/>
          <w:sz w:val="22"/>
          <w:szCs w:val="22"/>
        </w:rPr>
        <w:t>de Trabajo de</w:t>
      </w:r>
      <w:r w:rsidRPr="4B6F30B9">
        <w:rPr>
          <w:rFonts w:ascii="Verdana" w:hAnsi="Verdana" w:cs="Arial"/>
          <w:sz w:val="22"/>
          <w:szCs w:val="22"/>
        </w:rPr>
        <w:t xml:space="preserve"> Documentos Tipo</w:t>
      </w:r>
      <w:r w:rsidR="535F98F9" w:rsidRPr="4B6F30B9">
        <w:rPr>
          <w:rFonts w:ascii="Verdana" w:hAnsi="Verdana" w:cs="Arial"/>
          <w:sz w:val="22"/>
          <w:szCs w:val="22"/>
        </w:rPr>
        <w:t xml:space="preserve">. Adicionalmente, se recibieron observaciones </w:t>
      </w:r>
      <w:r w:rsidR="4DC0F756" w:rsidRPr="4B6F30B9">
        <w:rPr>
          <w:rFonts w:ascii="Verdana" w:hAnsi="Verdana" w:cs="Arial"/>
          <w:sz w:val="22"/>
          <w:szCs w:val="22"/>
        </w:rPr>
        <w:t xml:space="preserve">y/o propuestas en </w:t>
      </w:r>
      <w:r w:rsidRPr="4B6F30B9">
        <w:rPr>
          <w:rFonts w:ascii="Verdana" w:hAnsi="Verdana" w:cs="Arial"/>
          <w:sz w:val="22"/>
          <w:szCs w:val="22"/>
        </w:rPr>
        <w:t>las mesas de trabajo que se desarrollaron</w:t>
      </w:r>
      <w:r w:rsidR="13535E95" w:rsidRPr="4B6F30B9">
        <w:rPr>
          <w:rFonts w:ascii="Verdana" w:hAnsi="Verdana" w:cs="Arial"/>
          <w:sz w:val="22"/>
          <w:szCs w:val="22"/>
        </w:rPr>
        <w:t xml:space="preserve">, las cuales </w:t>
      </w:r>
      <w:r w:rsidR="205ABD6F" w:rsidRPr="4B6F30B9">
        <w:rPr>
          <w:rFonts w:ascii="Verdana" w:hAnsi="Verdana" w:cs="Arial"/>
          <w:sz w:val="22"/>
          <w:szCs w:val="22"/>
        </w:rPr>
        <w:t>se analizaron al in</w:t>
      </w:r>
      <w:r w:rsidR="2552C088" w:rsidRPr="4B6F30B9">
        <w:rPr>
          <w:rFonts w:ascii="Verdana" w:hAnsi="Verdana" w:cs="Arial"/>
          <w:sz w:val="22"/>
          <w:szCs w:val="22"/>
        </w:rPr>
        <w:t xml:space="preserve">terior de esta Agencia. </w:t>
      </w:r>
    </w:p>
    <w:p w14:paraId="24AFF54F" w14:textId="4ED87A89" w:rsidR="4B6F30B9" w:rsidRDefault="4B6F30B9" w:rsidP="4B6F30B9">
      <w:pPr>
        <w:jc w:val="both"/>
        <w:rPr>
          <w:rFonts w:ascii="Verdana" w:hAnsi="Verdana" w:cs="Arial"/>
          <w:sz w:val="22"/>
          <w:szCs w:val="22"/>
        </w:rPr>
      </w:pPr>
    </w:p>
    <w:p w14:paraId="05F52611" w14:textId="2BC11011" w:rsidR="68628062" w:rsidRDefault="68628062" w:rsidP="4B6F30B9">
      <w:pPr>
        <w:jc w:val="both"/>
        <w:rPr>
          <w:rFonts w:ascii="Verdana" w:hAnsi="Verdana" w:cs="Arial"/>
          <w:sz w:val="22"/>
          <w:szCs w:val="22"/>
        </w:rPr>
      </w:pPr>
      <w:r w:rsidRPr="0DFDB792">
        <w:rPr>
          <w:rFonts w:ascii="Verdana" w:hAnsi="Verdana" w:cs="Arial"/>
          <w:sz w:val="22"/>
          <w:szCs w:val="22"/>
        </w:rPr>
        <w:t xml:space="preserve">Adicionalmente, y basados en los datos obtenidos de la Subdirección EMAE para el análisis de los recursos de inversión en sectores importantes, </w:t>
      </w:r>
      <w:r w:rsidR="2343055A" w:rsidRPr="0DFDB792">
        <w:rPr>
          <w:rFonts w:ascii="Verdana" w:hAnsi="Verdana" w:cs="Arial"/>
          <w:sz w:val="22"/>
          <w:szCs w:val="22"/>
        </w:rPr>
        <w:t xml:space="preserve">se analizó la gran relevancia que tienen las Edificaciones </w:t>
      </w:r>
      <w:r w:rsidR="68E0ECA0" w:rsidRPr="0DFDB792">
        <w:rPr>
          <w:rFonts w:ascii="Verdana" w:hAnsi="Verdana" w:cs="Arial"/>
          <w:sz w:val="22"/>
          <w:szCs w:val="22"/>
        </w:rPr>
        <w:t>Institucionales</w:t>
      </w:r>
      <w:r w:rsidR="2343055A" w:rsidRPr="0DFDB792">
        <w:rPr>
          <w:rFonts w:ascii="Verdana" w:hAnsi="Verdana" w:cs="Arial"/>
          <w:sz w:val="22"/>
          <w:szCs w:val="22"/>
        </w:rPr>
        <w:t xml:space="preserve"> y de Seguridad pública, así como las modalidades de contratación para </w:t>
      </w:r>
      <w:r w:rsidR="01371B68" w:rsidRPr="0DFDB792">
        <w:rPr>
          <w:rFonts w:ascii="Verdana" w:hAnsi="Verdana" w:cs="Arial"/>
          <w:sz w:val="22"/>
          <w:szCs w:val="22"/>
        </w:rPr>
        <w:t xml:space="preserve">estos </w:t>
      </w:r>
      <w:r w:rsidR="2343055A" w:rsidRPr="0DFDB792">
        <w:rPr>
          <w:rFonts w:ascii="Verdana" w:hAnsi="Verdana" w:cs="Arial"/>
          <w:sz w:val="22"/>
          <w:szCs w:val="22"/>
        </w:rPr>
        <w:t>sectores</w:t>
      </w:r>
      <w:r w:rsidR="5C0B4008" w:rsidRPr="0DFDB792">
        <w:rPr>
          <w:rFonts w:ascii="Verdana" w:hAnsi="Verdana" w:cs="Arial"/>
          <w:sz w:val="22"/>
          <w:szCs w:val="22"/>
        </w:rPr>
        <w:t xml:space="preserve"> y los que ya hacen parte del sector social, es decir i) salud, ii) cultura, recreación y deporte y iii) educación como son </w:t>
      </w:r>
    </w:p>
    <w:p w14:paraId="2EB74556" w14:textId="1C02B0C8" w:rsidR="4B6F30B9" w:rsidRDefault="4B6F30B9" w:rsidP="4B6F30B9">
      <w:pPr>
        <w:jc w:val="both"/>
        <w:rPr>
          <w:rFonts w:ascii="Verdana" w:hAnsi="Verdana" w:cs="Arial"/>
          <w:sz w:val="22"/>
          <w:szCs w:val="22"/>
          <w:highlight w:val="yellow"/>
        </w:rPr>
      </w:pPr>
    </w:p>
    <w:p w14:paraId="79AFA157" w14:textId="57694667" w:rsidR="00E7045E" w:rsidRPr="001F5F0A" w:rsidRDefault="00E7045E" w:rsidP="0DFDB792">
      <w:pPr>
        <w:jc w:val="both"/>
        <w:rPr>
          <w:rFonts w:ascii="Verdana" w:hAnsi="Verdana" w:cs="Arial"/>
          <w:sz w:val="22"/>
          <w:szCs w:val="22"/>
        </w:rPr>
      </w:pPr>
      <w:r w:rsidRPr="0DFDB792">
        <w:rPr>
          <w:rFonts w:ascii="Verdana" w:hAnsi="Verdana" w:cs="Arial"/>
          <w:sz w:val="22"/>
          <w:szCs w:val="22"/>
        </w:rPr>
        <w:t xml:space="preserve">Las siguientes fueron las </w:t>
      </w:r>
      <w:r w:rsidR="7AC18F4B" w:rsidRPr="0DFDB792">
        <w:rPr>
          <w:rFonts w:ascii="Verdana" w:hAnsi="Verdana" w:cs="Arial"/>
          <w:sz w:val="22"/>
          <w:szCs w:val="22"/>
        </w:rPr>
        <w:t xml:space="preserve">mesas de trabajo técnicas </w:t>
      </w:r>
      <w:r w:rsidRPr="0DFDB792">
        <w:rPr>
          <w:rFonts w:ascii="Verdana" w:hAnsi="Verdana" w:cs="Arial"/>
          <w:sz w:val="22"/>
          <w:szCs w:val="22"/>
        </w:rPr>
        <w:t xml:space="preserve">que se realizaron con las </w:t>
      </w:r>
      <w:r w:rsidR="3BFCF23B" w:rsidRPr="0DFDB792">
        <w:rPr>
          <w:rFonts w:ascii="Verdana" w:hAnsi="Verdana" w:cs="Arial"/>
          <w:sz w:val="22"/>
          <w:szCs w:val="22"/>
        </w:rPr>
        <w:t xml:space="preserve">Entidades Estales </w:t>
      </w:r>
      <w:r w:rsidRPr="0DFDB792">
        <w:rPr>
          <w:rFonts w:ascii="Verdana" w:hAnsi="Verdana" w:cs="Arial"/>
          <w:sz w:val="22"/>
          <w:szCs w:val="22"/>
        </w:rPr>
        <w:t>para analizar y/o aclarar o complementar las observaciones recibidas</w:t>
      </w:r>
      <w:r w:rsidR="00D94B51">
        <w:rPr>
          <w:rFonts w:ascii="Verdana" w:hAnsi="Verdana" w:cs="Arial"/>
          <w:sz w:val="22"/>
          <w:szCs w:val="22"/>
        </w:rPr>
        <w:t xml:space="preserve"> durante la vigencia 2024</w:t>
      </w:r>
      <w:r w:rsidRPr="0DFDB792">
        <w:rPr>
          <w:rFonts w:ascii="Verdana" w:hAnsi="Verdana" w:cs="Arial"/>
          <w:sz w:val="22"/>
          <w:szCs w:val="22"/>
        </w:rPr>
        <w:t>:</w:t>
      </w:r>
    </w:p>
    <w:p w14:paraId="1000A770" w14:textId="2B9D09C0" w:rsidR="7C5E3D4E" w:rsidRPr="001F5F0A" w:rsidRDefault="7C5E3D4E" w:rsidP="0DFDB792">
      <w:pPr>
        <w:jc w:val="both"/>
        <w:rPr>
          <w:rFonts w:ascii="Verdana" w:hAnsi="Verdana" w:cs="Arial"/>
          <w:sz w:val="22"/>
          <w:szCs w:val="22"/>
          <w:highlight w:val="yellow"/>
        </w:rPr>
      </w:pPr>
    </w:p>
    <w:tbl>
      <w:tblPr>
        <w:tblW w:w="9764" w:type="dxa"/>
        <w:tblLayout w:type="fixed"/>
        <w:tblLook w:val="06A0" w:firstRow="1" w:lastRow="0" w:firstColumn="1" w:lastColumn="0" w:noHBand="1" w:noVBand="1"/>
      </w:tblPr>
      <w:tblGrid>
        <w:gridCol w:w="1080"/>
        <w:gridCol w:w="4305"/>
        <w:gridCol w:w="4379"/>
      </w:tblGrid>
      <w:tr w:rsidR="0DFDB792" w14:paraId="3A8CBBCA" w14:textId="77777777" w:rsidTr="00D94B51">
        <w:trPr>
          <w:trHeight w:val="315"/>
        </w:trPr>
        <w:tc>
          <w:tcPr>
            <w:tcW w:w="1080"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tcMar>
              <w:top w:w="15" w:type="dxa"/>
              <w:left w:w="15" w:type="dxa"/>
              <w:right w:w="15" w:type="dxa"/>
            </w:tcMar>
            <w:vAlign w:val="bottom"/>
          </w:tcPr>
          <w:p w14:paraId="5026BB3B" w14:textId="6CEBCFD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No. </w:t>
            </w:r>
          </w:p>
        </w:tc>
        <w:tc>
          <w:tcPr>
            <w:tcW w:w="4305"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tcMar>
              <w:top w:w="15" w:type="dxa"/>
              <w:left w:w="15" w:type="dxa"/>
              <w:right w:w="15" w:type="dxa"/>
            </w:tcMar>
            <w:vAlign w:val="bottom"/>
          </w:tcPr>
          <w:p w14:paraId="5C68AF4F" w14:textId="2187FF8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fecha mesa</w:t>
            </w:r>
          </w:p>
        </w:tc>
        <w:tc>
          <w:tcPr>
            <w:tcW w:w="4379"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tcMar>
              <w:top w:w="15" w:type="dxa"/>
              <w:left w:w="15" w:type="dxa"/>
              <w:right w:w="15" w:type="dxa"/>
            </w:tcMar>
            <w:vAlign w:val="bottom"/>
          </w:tcPr>
          <w:p w14:paraId="7D33FB54" w14:textId="6182C43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Entidad</w:t>
            </w:r>
          </w:p>
        </w:tc>
      </w:tr>
      <w:tr w:rsidR="0DFDB792" w14:paraId="390403DF" w14:textId="77777777" w:rsidTr="00D94B51">
        <w:trPr>
          <w:trHeight w:val="300"/>
        </w:trPr>
        <w:tc>
          <w:tcPr>
            <w:tcW w:w="1080" w:type="dxa"/>
            <w:tcBorders>
              <w:top w:val="single" w:sz="8"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1B965D4" w14:textId="2C86797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w:t>
            </w:r>
          </w:p>
        </w:tc>
        <w:tc>
          <w:tcPr>
            <w:tcW w:w="4305" w:type="dxa"/>
            <w:tcBorders>
              <w:top w:val="single" w:sz="8"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E962FEE" w14:textId="04F85F5D"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31 de julio de 202</w:t>
            </w:r>
            <w:r w:rsidR="00D94B51">
              <w:rPr>
                <w:rFonts w:ascii="Verdana Pro" w:eastAsia="Verdana Pro" w:hAnsi="Verdana Pro" w:cs="Verdana Pro"/>
                <w:sz w:val="22"/>
                <w:szCs w:val="22"/>
              </w:rPr>
              <w:t>4</w:t>
            </w:r>
          </w:p>
        </w:tc>
        <w:tc>
          <w:tcPr>
            <w:tcW w:w="4379" w:type="dxa"/>
            <w:tcBorders>
              <w:top w:val="single" w:sz="8"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A6927DC" w14:textId="20CD2D5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Mincultura</w:t>
            </w:r>
          </w:p>
        </w:tc>
      </w:tr>
      <w:tr w:rsidR="0DFDB792" w14:paraId="29227356"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0F1A8DC" w14:textId="7E9ACC82"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468E2B1" w14:textId="476F2E5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31 de julio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91CD2CF" w14:textId="13E386A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Mindeporte</w:t>
            </w:r>
          </w:p>
        </w:tc>
      </w:tr>
      <w:tr w:rsidR="0DFDB792" w14:paraId="4BC1C8B8"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7A607B2" w14:textId="1FA40F1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3</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E80B13A" w14:textId="0F521C0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viernes, 1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9A38F21" w14:textId="6CE30AC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IDRD</w:t>
            </w:r>
          </w:p>
        </w:tc>
      </w:tr>
      <w:tr w:rsidR="0DFDB792" w14:paraId="4BC7C952" w14:textId="77777777" w:rsidTr="00D94B51">
        <w:trPr>
          <w:trHeight w:val="54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61D2819" w14:textId="0004E82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4</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F0923F6" w14:textId="5C0ABAA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sábado, 9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D677D18" w14:textId="0CAE39A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GOBERNACION - SECRETARIAS DE EDUCACIÓN - VALLE</w:t>
            </w:r>
          </w:p>
        </w:tc>
      </w:tr>
      <w:tr w:rsidR="0DFDB792" w14:paraId="1A61F635"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4273451" w14:textId="5DAC1D9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5</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069C1CD" w14:textId="22A828CF"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13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56E4146" w14:textId="534F73D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SECRETARIAS DE CULTURA</w:t>
            </w:r>
          </w:p>
        </w:tc>
      </w:tr>
      <w:tr w:rsidR="0DFDB792" w14:paraId="005631A4"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C66ED52" w14:textId="0E1094B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6</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29867D6" w14:textId="28325C40"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13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EAF52E8" w14:textId="1767223D" w:rsidR="1EF545A4" w:rsidRDefault="432ECEE9"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Min educación</w:t>
            </w:r>
          </w:p>
        </w:tc>
      </w:tr>
      <w:tr w:rsidR="0DFDB792" w14:paraId="35AD9E5F"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D113122" w14:textId="00A52168"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lastRenderedPageBreak/>
              <w:t>7</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E1CEA56" w14:textId="2F09CEEE"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14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08A4331" w14:textId="77F85A5D" w:rsidR="34C7C5F1" w:rsidRDefault="13D7500D"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E</w:t>
            </w:r>
            <w:r w:rsidR="73527744" w:rsidRPr="3BCD5C0E">
              <w:rPr>
                <w:rFonts w:ascii="Verdana Pro" w:eastAsia="Verdana Pro" w:hAnsi="Verdana Pro" w:cs="Verdana Pro"/>
                <w:sz w:val="22"/>
                <w:szCs w:val="22"/>
              </w:rPr>
              <w:t>jército</w:t>
            </w:r>
            <w:r w:rsidR="6BE48C0A" w:rsidRPr="3BCD5C0E">
              <w:rPr>
                <w:rFonts w:ascii="Verdana Pro" w:eastAsia="Verdana Pro" w:hAnsi="Verdana Pro" w:cs="Verdana Pro"/>
                <w:sz w:val="22"/>
                <w:szCs w:val="22"/>
              </w:rPr>
              <w:t xml:space="preserve"> nacional</w:t>
            </w:r>
          </w:p>
        </w:tc>
      </w:tr>
      <w:tr w:rsidR="0DFDB792" w14:paraId="3B15571E"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4A9011C" w14:textId="1F9343C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8</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B767103" w14:textId="2654457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14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794E3D3" w14:textId="50686E20" w:rsidR="00FB100B" w:rsidRDefault="50D48D04"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P</w:t>
            </w:r>
            <w:r w:rsidR="3BF47046" w:rsidRPr="3BCD5C0E">
              <w:rPr>
                <w:rFonts w:ascii="Verdana Pro" w:eastAsia="Verdana Pro" w:hAnsi="Verdana Pro" w:cs="Verdana Pro"/>
                <w:sz w:val="22"/>
                <w:szCs w:val="22"/>
              </w:rPr>
              <w:t>olicía</w:t>
            </w:r>
            <w:r w:rsidR="6BE48C0A" w:rsidRPr="3BCD5C0E">
              <w:rPr>
                <w:rFonts w:ascii="Verdana Pro" w:eastAsia="Verdana Pro" w:hAnsi="Verdana Pro" w:cs="Verdana Pro"/>
                <w:sz w:val="22"/>
                <w:szCs w:val="22"/>
              </w:rPr>
              <w:t xml:space="preserve"> nacional</w:t>
            </w:r>
          </w:p>
        </w:tc>
      </w:tr>
      <w:tr w:rsidR="0DFDB792" w14:paraId="1F0F1624"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29AF563" w14:textId="53A4732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9</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59ADEC7" w14:textId="09F9F19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14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B68AB1B" w14:textId="6F25122E" w:rsidR="2760D4FC" w:rsidRDefault="48A6C810"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w:t>
            </w:r>
            <w:r w:rsidR="6BE48C0A" w:rsidRPr="3BCD5C0E">
              <w:rPr>
                <w:rFonts w:ascii="Verdana Pro" w:eastAsia="Verdana Pro" w:hAnsi="Verdana Pro" w:cs="Verdana Pro"/>
                <w:sz w:val="22"/>
                <w:szCs w:val="22"/>
              </w:rPr>
              <w:t>ectores defensa</w:t>
            </w:r>
          </w:p>
        </w:tc>
      </w:tr>
      <w:tr w:rsidR="0DFDB792" w14:paraId="464BE6C5"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24681A2" w14:textId="01133DC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10</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4019E5A" w14:textId="54B64EB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14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9413581" w14:textId="39C8CD47" w:rsidR="4682B1AD" w:rsidRDefault="0F4220AB"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A</w:t>
            </w:r>
            <w:r w:rsidR="6BE48C0A" w:rsidRPr="3BCD5C0E">
              <w:rPr>
                <w:rFonts w:ascii="Verdana Pro" w:eastAsia="Verdana Pro" w:hAnsi="Verdana Pro" w:cs="Verdana Pro"/>
                <w:sz w:val="22"/>
                <w:szCs w:val="22"/>
              </w:rPr>
              <w:t>rmada nacional</w:t>
            </w:r>
          </w:p>
        </w:tc>
      </w:tr>
      <w:tr w:rsidR="0DFDB792" w14:paraId="78F81843"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536E265" w14:textId="4D1FE86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11</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3C18B48" w14:textId="70F70EB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viernes, 15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86384E9" w14:textId="79038E1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ENTIDADES DEL SECTOR DEFENSA</w:t>
            </w:r>
          </w:p>
        </w:tc>
      </w:tr>
      <w:tr w:rsidR="0DFDB792" w14:paraId="2BD7A32B"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BD6C979" w14:textId="22D7AF7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12</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7B1282E" w14:textId="50FD21F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8A08E3C" w14:textId="497338B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USPEC</w:t>
            </w:r>
          </w:p>
        </w:tc>
      </w:tr>
      <w:tr w:rsidR="0DFDB792" w14:paraId="74BCBD4F"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78B7BA5" w14:textId="5A7E249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13</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95F98A5" w14:textId="1A0D7260"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3A8C03F" w14:textId="6C3196D6" w:rsidR="333F2271" w:rsidRDefault="73BC0975"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w:t>
            </w:r>
            <w:r w:rsidR="6BE48C0A" w:rsidRPr="3BCD5C0E">
              <w:rPr>
                <w:rFonts w:ascii="Verdana Pro" w:eastAsia="Verdana Pro" w:hAnsi="Verdana Pro" w:cs="Verdana Pro"/>
                <w:sz w:val="22"/>
                <w:szCs w:val="22"/>
              </w:rPr>
              <w:t>ociedad colombiana de Ingenieros</w:t>
            </w:r>
          </w:p>
        </w:tc>
      </w:tr>
      <w:tr w:rsidR="0DFDB792" w14:paraId="6EAC1863"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7456BE6" w14:textId="45CB24BF"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14</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9B7E062" w14:textId="10E99EB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83C5747" w14:textId="709161FF"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Servicio Nacional de Aprendizaje (Sena) </w:t>
            </w:r>
          </w:p>
        </w:tc>
      </w:tr>
      <w:tr w:rsidR="0DFDB792" w14:paraId="63DF22F3" w14:textId="77777777" w:rsidTr="00D94B51">
        <w:trPr>
          <w:trHeight w:val="54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FFDD4C7" w14:textId="0BC39FB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15</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927E54D" w14:textId="6D79F9FD"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E0756CD" w14:textId="1E08C01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Instituto Colombiano de Bienestar Familiar (ICBF) </w:t>
            </w:r>
          </w:p>
        </w:tc>
      </w:tr>
      <w:tr w:rsidR="0DFDB792" w14:paraId="24EBF753"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779C34D" w14:textId="30E20EA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16</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941AB91" w14:textId="7B784B4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44BB927" w14:textId="1F02E94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Cámara Colombiana de la Infraestructura</w:t>
            </w:r>
          </w:p>
        </w:tc>
      </w:tr>
      <w:tr w:rsidR="0DFDB792" w14:paraId="015C258D"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3976C91" w14:textId="1E058E5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17</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7D1E5F0" w14:textId="50EBEFA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21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735D0A2" w14:textId="3621BC78"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secretaria de </w:t>
            </w:r>
            <w:r w:rsidR="3771A4DB" w:rsidRPr="3BCD5C0E">
              <w:rPr>
                <w:rFonts w:ascii="Verdana Pro" w:eastAsia="Verdana Pro" w:hAnsi="Verdana Pro" w:cs="Verdana Pro"/>
                <w:sz w:val="22"/>
                <w:szCs w:val="22"/>
              </w:rPr>
              <w:t>hábitat</w:t>
            </w:r>
            <w:r w:rsidRPr="3BCD5C0E">
              <w:rPr>
                <w:rFonts w:ascii="Verdana Pro" w:eastAsia="Verdana Pro" w:hAnsi="Verdana Pro" w:cs="Verdana Pro"/>
                <w:sz w:val="22"/>
                <w:szCs w:val="22"/>
              </w:rPr>
              <w:t xml:space="preserve"> </w:t>
            </w:r>
          </w:p>
        </w:tc>
      </w:tr>
      <w:tr w:rsidR="00D94B51" w14:paraId="1B0DFD7E"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CCDE5BB" w14:textId="0654C670" w:rsidR="00D94B51" w:rsidRDefault="00D94B51" w:rsidP="00D94B51">
            <w:pPr>
              <w:jc w:val="center"/>
              <w:rPr>
                <w:rFonts w:ascii="Verdana Pro" w:eastAsia="Verdana Pro" w:hAnsi="Verdana Pro" w:cs="Verdana Pro"/>
                <w:sz w:val="22"/>
                <w:szCs w:val="22"/>
              </w:rPr>
            </w:pPr>
            <w:r w:rsidRPr="3BCD5C0E">
              <w:rPr>
                <w:rFonts w:ascii="Verdana Pro" w:eastAsia="Verdana Pro" w:hAnsi="Verdana Pro" w:cs="Verdana Pro"/>
                <w:sz w:val="22"/>
                <w:szCs w:val="22"/>
              </w:rPr>
              <w:t>17</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74544B5" w14:textId="7D4D6D15" w:rsidR="00D94B51" w:rsidRDefault="00D94B51" w:rsidP="00D94B51">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21 de agosto de 202</w:t>
            </w:r>
            <w:r>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999566A" w14:textId="291622FD" w:rsidR="00D94B51" w:rsidRDefault="00D94B51" w:rsidP="00D94B51">
            <w:pPr>
              <w:jc w:val="center"/>
              <w:rPr>
                <w:rFonts w:ascii="Verdana Pro" w:eastAsia="Verdana Pro" w:hAnsi="Verdana Pro" w:cs="Verdana Pro"/>
                <w:sz w:val="22"/>
                <w:szCs w:val="22"/>
              </w:rPr>
            </w:pPr>
            <w:r w:rsidRPr="3BCD5C0E">
              <w:rPr>
                <w:rFonts w:ascii="Verdana Pro" w:eastAsia="Verdana Pro" w:hAnsi="Verdana Pro" w:cs="Verdana Pro"/>
                <w:sz w:val="22"/>
                <w:szCs w:val="22"/>
              </w:rPr>
              <w:t>Caja de vivienda Bogotá</w:t>
            </w:r>
          </w:p>
        </w:tc>
      </w:tr>
      <w:tr w:rsidR="0DFDB792" w14:paraId="30C7D355"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635205F" w14:textId="41658BBE"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18</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FAC0B16" w14:textId="1E5EB9E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27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E86D975" w14:textId="5819CF7D"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INPEC</w:t>
            </w:r>
          </w:p>
        </w:tc>
      </w:tr>
      <w:tr w:rsidR="0DFDB792" w14:paraId="296F2A05"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190D6B5" w14:textId="5C0A9782"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19</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F42B7AD" w14:textId="330E0BA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sábado, 30 de agosto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8DE6F2F" w14:textId="44A47170"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Camacol</w:t>
            </w:r>
          </w:p>
        </w:tc>
      </w:tr>
      <w:tr w:rsidR="0DFDB792" w14:paraId="1174A412"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41C03B3" w14:textId="63B428EE"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20</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5F54EAA" w14:textId="3CE2363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martes, 9 de septiembre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020B455" w14:textId="4FA2AAD4" w:rsidR="0D71DE01" w:rsidRDefault="3ACC2BD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A</w:t>
            </w:r>
            <w:r w:rsidR="6BE48C0A" w:rsidRPr="3BCD5C0E">
              <w:rPr>
                <w:rFonts w:ascii="Verdana Pro" w:eastAsia="Verdana Pro" w:hAnsi="Verdana Pro" w:cs="Verdana Pro"/>
                <w:sz w:val="22"/>
                <w:szCs w:val="22"/>
              </w:rPr>
              <w:t>rmada nacional</w:t>
            </w:r>
          </w:p>
        </w:tc>
      </w:tr>
      <w:tr w:rsidR="0DFDB792" w14:paraId="7687419D" w14:textId="77777777" w:rsidTr="00D94B51">
        <w:trPr>
          <w:trHeight w:val="54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5286433" w14:textId="02870490"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21</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F21E794" w14:textId="4D461A4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17 de septiembre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11809E7" w14:textId="2A86B36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Consejo Colombiano de Construcción Sostenible – CCCS.</w:t>
            </w:r>
          </w:p>
        </w:tc>
      </w:tr>
      <w:tr w:rsidR="0DFDB792" w14:paraId="5CE9E676" w14:textId="77777777" w:rsidTr="00D94B51">
        <w:trPr>
          <w:trHeight w:val="54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F02224D" w14:textId="5881DFC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22</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305255E" w14:textId="156A9772"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18 de septiembre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5752BF8" w14:textId="58D19A4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Alcaldía de Medellín, Universidad Javeriana y GIZ.</w:t>
            </w:r>
          </w:p>
        </w:tc>
      </w:tr>
      <w:tr w:rsidR="0DFDB792" w14:paraId="0A31BF41"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F0A79B6" w14:textId="2036F43B"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23</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9634FB3" w14:textId="3540A3BE"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sábado, 20 de septiembre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64D3B73" w14:textId="6C6679ED"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Ministerio de Salud y protección social.</w:t>
            </w:r>
          </w:p>
        </w:tc>
      </w:tr>
      <w:tr w:rsidR="0DFDB792" w14:paraId="43BCAE2B"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D46463D" w14:textId="7AF9FD9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24</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B004549" w14:textId="0BD673C3"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8 de octubre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B9565F0" w14:textId="14A1CEA3" w:rsidR="717D5775" w:rsidRDefault="2BFCD068"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Min ambiente</w:t>
            </w:r>
          </w:p>
        </w:tc>
      </w:tr>
      <w:tr w:rsidR="0DFDB792" w14:paraId="09F97E81"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586995D" w14:textId="38E1C39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25</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7B6D9BB" w14:textId="3D23BB1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miércoles, 8 de octubre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42D3B25" w14:textId="69BE186F"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GIZ y Alcaldía de Medellín</w:t>
            </w:r>
          </w:p>
        </w:tc>
      </w:tr>
      <w:tr w:rsidR="0DFDB792" w14:paraId="6FA172B9"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D706E62" w14:textId="57A975A2"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26</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25FA28D" w14:textId="1ECDEEA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16 de octubre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2BBA93D" w14:textId="2400107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Agencia de </w:t>
            </w:r>
            <w:r w:rsidR="05590CF0" w:rsidRPr="3BCD5C0E">
              <w:rPr>
                <w:rFonts w:ascii="Verdana Pro" w:eastAsia="Verdana Pro" w:hAnsi="Verdana Pro" w:cs="Verdana Pro"/>
                <w:sz w:val="22"/>
                <w:szCs w:val="22"/>
              </w:rPr>
              <w:t>Reincorporación</w:t>
            </w:r>
            <w:r w:rsidRPr="3BCD5C0E">
              <w:rPr>
                <w:rFonts w:ascii="Verdana Pro" w:eastAsia="Verdana Pro" w:hAnsi="Verdana Pro" w:cs="Verdana Pro"/>
                <w:sz w:val="22"/>
                <w:szCs w:val="22"/>
              </w:rPr>
              <w:t xml:space="preserve"> - ARN</w:t>
            </w:r>
          </w:p>
        </w:tc>
      </w:tr>
      <w:tr w:rsidR="0DFDB792" w14:paraId="21A13D7B"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2CB3BA3" w14:textId="47864FB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27</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ECDE18D" w14:textId="5D49291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23 de octubre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6D73D17B" w14:textId="5D4A82FC"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 reunión INPEC</w:t>
            </w:r>
          </w:p>
        </w:tc>
      </w:tr>
      <w:tr w:rsidR="0DFDB792" w14:paraId="358D38F7"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050695F6" w14:textId="4E988BD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28</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8385413" w14:textId="5ABA994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sábado, 8 de noviembre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C3A7BC5" w14:textId="04778227"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3° reunión INPEC</w:t>
            </w:r>
          </w:p>
        </w:tc>
      </w:tr>
      <w:tr w:rsidR="0DFDB792" w14:paraId="522F358C"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528EEC22" w14:textId="2E51C9E1"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29</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7A49C8B6" w14:textId="4396C93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viernes, 31 de octubre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B55068B" w14:textId="039DFC9A"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Agencia de </w:t>
            </w:r>
            <w:r w:rsidR="23F2EAF7" w:rsidRPr="3BCD5C0E">
              <w:rPr>
                <w:rFonts w:ascii="Verdana Pro" w:eastAsia="Verdana Pro" w:hAnsi="Verdana Pro" w:cs="Verdana Pro"/>
                <w:sz w:val="22"/>
                <w:szCs w:val="22"/>
              </w:rPr>
              <w:t>Reincorporación</w:t>
            </w:r>
            <w:r w:rsidRPr="3BCD5C0E">
              <w:rPr>
                <w:rFonts w:ascii="Verdana Pro" w:eastAsia="Verdana Pro" w:hAnsi="Verdana Pro" w:cs="Verdana Pro"/>
                <w:sz w:val="22"/>
                <w:szCs w:val="22"/>
              </w:rPr>
              <w:t xml:space="preserve"> - ARN</w:t>
            </w:r>
          </w:p>
        </w:tc>
      </w:tr>
      <w:tr w:rsidR="0DFDB792" w14:paraId="225C7D8C" w14:textId="77777777" w:rsidTr="00D94B51">
        <w:trPr>
          <w:trHeight w:val="300"/>
        </w:trPr>
        <w:tc>
          <w:tcPr>
            <w:tcW w:w="1080" w:type="dxa"/>
            <w:tcBorders>
              <w:top w:val="dashed" w:sz="4" w:space="0" w:color="000000" w:themeColor="text1"/>
              <w:left w:val="single" w:sz="8"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E0E4427" w14:textId="5B1DD7E6"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30</w:t>
            </w:r>
          </w:p>
        </w:tc>
        <w:tc>
          <w:tcPr>
            <w:tcW w:w="4305"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34554D38" w14:textId="0AB1A144"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viernes, 21 de noviembre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dashed" w:sz="4"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2CB2EF41" w14:textId="47F8E299"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Agencia de </w:t>
            </w:r>
            <w:r w:rsidR="38295CEC" w:rsidRPr="3BCD5C0E">
              <w:rPr>
                <w:rFonts w:ascii="Verdana Pro" w:eastAsia="Verdana Pro" w:hAnsi="Verdana Pro" w:cs="Verdana Pro"/>
                <w:sz w:val="22"/>
                <w:szCs w:val="22"/>
              </w:rPr>
              <w:t>Reincorporación</w:t>
            </w:r>
            <w:r w:rsidRPr="3BCD5C0E">
              <w:rPr>
                <w:rFonts w:ascii="Verdana Pro" w:eastAsia="Verdana Pro" w:hAnsi="Verdana Pro" w:cs="Verdana Pro"/>
                <w:sz w:val="22"/>
                <w:szCs w:val="22"/>
              </w:rPr>
              <w:t xml:space="preserve"> - ARN</w:t>
            </w:r>
          </w:p>
        </w:tc>
      </w:tr>
      <w:tr w:rsidR="0DFDB792" w14:paraId="7ECA4B1D" w14:textId="77777777" w:rsidTr="00D94B51">
        <w:trPr>
          <w:trHeight w:val="315"/>
        </w:trPr>
        <w:tc>
          <w:tcPr>
            <w:tcW w:w="1080" w:type="dxa"/>
            <w:tcBorders>
              <w:top w:val="dashed" w:sz="4" w:space="0" w:color="000000" w:themeColor="text1"/>
              <w:left w:val="single" w:sz="8" w:space="0" w:color="000000" w:themeColor="text1"/>
              <w:bottom w:val="single" w:sz="8"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EE7B9DC" w14:textId="2240C5F5"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31</w:t>
            </w:r>
          </w:p>
        </w:tc>
        <w:tc>
          <w:tcPr>
            <w:tcW w:w="4305" w:type="dxa"/>
            <w:tcBorders>
              <w:top w:val="dashed" w:sz="4" w:space="0" w:color="000000" w:themeColor="text1"/>
              <w:left w:val="dashed" w:sz="4" w:space="0" w:color="000000" w:themeColor="text1"/>
              <w:bottom w:val="single" w:sz="8"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40064AF1" w14:textId="5B846B38"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jueves, 11 de diciembre de 202</w:t>
            </w:r>
            <w:r w:rsidR="00D94B51">
              <w:rPr>
                <w:rFonts w:ascii="Verdana Pro" w:eastAsia="Verdana Pro" w:hAnsi="Verdana Pro" w:cs="Verdana Pro"/>
                <w:sz w:val="22"/>
                <w:szCs w:val="22"/>
              </w:rPr>
              <w:t>4</w:t>
            </w:r>
          </w:p>
        </w:tc>
        <w:tc>
          <w:tcPr>
            <w:tcW w:w="4379" w:type="dxa"/>
            <w:tcBorders>
              <w:top w:val="dashed" w:sz="4" w:space="0" w:color="000000" w:themeColor="text1"/>
              <w:left w:val="dashed" w:sz="4" w:space="0" w:color="000000" w:themeColor="text1"/>
              <w:bottom w:val="single" w:sz="8" w:space="0" w:color="000000" w:themeColor="text1"/>
              <w:right w:val="dashed" w:sz="4" w:space="0" w:color="000000" w:themeColor="text1"/>
            </w:tcBorders>
            <w:shd w:val="clear" w:color="auto" w:fill="FFFFFF" w:themeFill="background1"/>
            <w:tcMar>
              <w:top w:w="15" w:type="dxa"/>
              <w:left w:w="15" w:type="dxa"/>
              <w:right w:w="15" w:type="dxa"/>
            </w:tcMar>
            <w:vAlign w:val="bottom"/>
          </w:tcPr>
          <w:p w14:paraId="1A1909A5" w14:textId="4893D30F" w:rsidR="0DFDB792" w:rsidRDefault="6BE48C0A" w:rsidP="3BCD5C0E">
            <w:pPr>
              <w:jc w:val="center"/>
              <w:rPr>
                <w:rFonts w:ascii="Verdana Pro" w:eastAsia="Verdana Pro" w:hAnsi="Verdana Pro" w:cs="Verdana Pro"/>
                <w:sz w:val="22"/>
                <w:szCs w:val="22"/>
              </w:rPr>
            </w:pPr>
            <w:r w:rsidRPr="3BCD5C0E">
              <w:rPr>
                <w:rFonts w:ascii="Verdana Pro" w:eastAsia="Verdana Pro" w:hAnsi="Verdana Pro" w:cs="Verdana Pro"/>
                <w:sz w:val="22"/>
                <w:szCs w:val="22"/>
              </w:rPr>
              <w:t xml:space="preserve">Agencia de </w:t>
            </w:r>
            <w:r w:rsidR="4E56B6C9" w:rsidRPr="3BCD5C0E">
              <w:rPr>
                <w:rFonts w:ascii="Verdana Pro" w:eastAsia="Verdana Pro" w:hAnsi="Verdana Pro" w:cs="Verdana Pro"/>
                <w:sz w:val="22"/>
                <w:szCs w:val="22"/>
              </w:rPr>
              <w:t>Reincorporación</w:t>
            </w:r>
            <w:r w:rsidRPr="3BCD5C0E">
              <w:rPr>
                <w:rFonts w:ascii="Verdana Pro" w:eastAsia="Verdana Pro" w:hAnsi="Verdana Pro" w:cs="Verdana Pro"/>
                <w:sz w:val="22"/>
                <w:szCs w:val="22"/>
              </w:rPr>
              <w:t xml:space="preserve"> - ARN</w:t>
            </w:r>
          </w:p>
        </w:tc>
      </w:tr>
    </w:tbl>
    <w:p w14:paraId="4C2F4A6B" w14:textId="757660E8" w:rsidR="7C5E3D4E" w:rsidRDefault="7C5E3D4E" w:rsidP="0DFDB792">
      <w:pPr>
        <w:jc w:val="both"/>
        <w:rPr>
          <w:rFonts w:ascii="Verdana" w:hAnsi="Verdana" w:cs="Arial"/>
          <w:sz w:val="22"/>
          <w:szCs w:val="22"/>
        </w:rPr>
      </w:pPr>
    </w:p>
    <w:p w14:paraId="1437B388" w14:textId="101BCB24" w:rsidR="00D94B51" w:rsidRDefault="00D94B51" w:rsidP="0DFDB792">
      <w:pPr>
        <w:jc w:val="both"/>
        <w:rPr>
          <w:rFonts w:ascii="Verdana" w:hAnsi="Verdana" w:cs="Arial"/>
          <w:sz w:val="22"/>
          <w:szCs w:val="22"/>
        </w:rPr>
      </w:pPr>
      <w:r>
        <w:rPr>
          <w:rFonts w:ascii="Verdana" w:hAnsi="Verdana" w:cs="Arial"/>
          <w:sz w:val="22"/>
          <w:szCs w:val="22"/>
        </w:rPr>
        <w:t xml:space="preserve">Y durante la vigencia 2025 se llevaron a cabo las siguientes mesas de trabajo con las entidades especializadas: </w:t>
      </w:r>
    </w:p>
    <w:p w14:paraId="4A0DF305" w14:textId="77777777" w:rsidR="00D94B51" w:rsidRDefault="00D94B51" w:rsidP="0DFDB792">
      <w:pPr>
        <w:jc w:val="both"/>
        <w:rPr>
          <w:rFonts w:ascii="Verdana" w:hAnsi="Verdana" w:cs="Arial"/>
          <w:sz w:val="22"/>
          <w:szCs w:val="22"/>
        </w:rPr>
      </w:pPr>
    </w:p>
    <w:tbl>
      <w:tblPr>
        <w:tblW w:w="9634" w:type="dxa"/>
        <w:tblCellMar>
          <w:top w:w="15" w:type="dxa"/>
          <w:left w:w="70" w:type="dxa"/>
          <w:bottom w:w="15" w:type="dxa"/>
          <w:right w:w="70" w:type="dxa"/>
        </w:tblCellMar>
        <w:tblLook w:val="04A0" w:firstRow="1" w:lastRow="0" w:firstColumn="1" w:lastColumn="0" w:noHBand="0" w:noVBand="1"/>
      </w:tblPr>
      <w:tblGrid>
        <w:gridCol w:w="777"/>
        <w:gridCol w:w="6448"/>
        <w:gridCol w:w="2409"/>
      </w:tblGrid>
      <w:tr w:rsidR="00CF5BAC" w14:paraId="3203D592" w14:textId="77777777" w:rsidTr="00B00FCB">
        <w:trPr>
          <w:trHeight w:val="365"/>
        </w:trPr>
        <w:tc>
          <w:tcPr>
            <w:tcW w:w="777" w:type="dxa"/>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5E5E2E7B" w14:textId="77777777" w:rsidR="005B0222" w:rsidRDefault="005B0222">
            <w:pPr>
              <w:jc w:val="center"/>
              <w:rPr>
                <w:rFonts w:ascii="Aptos Narrow" w:hAnsi="Aptos Narrow" w:cs="Calibri"/>
                <w:b/>
                <w:bCs/>
                <w:color w:val="FFFFFF"/>
                <w:sz w:val="20"/>
                <w:szCs w:val="20"/>
                <w:lang w:eastAsia="es-CO"/>
              </w:rPr>
            </w:pPr>
            <w:r>
              <w:rPr>
                <w:rFonts w:ascii="Aptos Narrow" w:hAnsi="Aptos Narrow" w:cs="Calibri"/>
                <w:b/>
                <w:bCs/>
                <w:color w:val="FFFFFF"/>
                <w:sz w:val="20"/>
                <w:szCs w:val="20"/>
              </w:rPr>
              <w:t>No.</w:t>
            </w:r>
          </w:p>
        </w:tc>
        <w:tc>
          <w:tcPr>
            <w:tcW w:w="6448" w:type="dxa"/>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5E2A003F" w14:textId="77777777" w:rsidR="005B0222" w:rsidRDefault="005B0222">
            <w:pPr>
              <w:jc w:val="center"/>
              <w:rPr>
                <w:rFonts w:ascii="Aptos Narrow" w:hAnsi="Aptos Narrow" w:cs="Calibri"/>
                <w:b/>
                <w:bCs/>
                <w:color w:val="FFFFFF"/>
                <w:sz w:val="20"/>
                <w:szCs w:val="20"/>
              </w:rPr>
            </w:pPr>
            <w:r>
              <w:rPr>
                <w:rFonts w:ascii="Aptos Narrow" w:hAnsi="Aptos Narrow" w:cs="Calibri"/>
                <w:b/>
                <w:bCs/>
                <w:color w:val="FFFFFF"/>
                <w:sz w:val="20"/>
                <w:szCs w:val="20"/>
              </w:rPr>
              <w:t>Entidad</w:t>
            </w:r>
          </w:p>
        </w:tc>
        <w:tc>
          <w:tcPr>
            <w:tcW w:w="2409" w:type="dxa"/>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0C584961" w14:textId="77777777" w:rsidR="005B0222" w:rsidRDefault="005B0222">
            <w:pPr>
              <w:jc w:val="center"/>
              <w:rPr>
                <w:rFonts w:ascii="Aptos Narrow" w:hAnsi="Aptos Narrow" w:cs="Calibri"/>
                <w:b/>
                <w:bCs/>
                <w:color w:val="FFFFFF"/>
                <w:sz w:val="20"/>
                <w:szCs w:val="20"/>
              </w:rPr>
            </w:pPr>
            <w:r>
              <w:rPr>
                <w:rFonts w:ascii="Aptos Narrow" w:hAnsi="Aptos Narrow" w:cs="Calibri"/>
                <w:b/>
                <w:bCs/>
                <w:color w:val="FFFFFF"/>
                <w:sz w:val="20"/>
                <w:szCs w:val="20"/>
              </w:rPr>
              <w:t xml:space="preserve">fecha estimada reunión </w:t>
            </w:r>
          </w:p>
        </w:tc>
      </w:tr>
      <w:tr w:rsidR="005B0222" w14:paraId="22385D96"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582518E1"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Sector Salud</w:t>
            </w:r>
          </w:p>
        </w:tc>
      </w:tr>
      <w:tr w:rsidR="00CF5BAC" w14:paraId="7C238C0B" w14:textId="77777777" w:rsidTr="00B00FCB">
        <w:trPr>
          <w:trHeight w:val="333"/>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76B01E8"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F3506E3"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Ministerio de Salud y protección social.</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055F1A2"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17-mar</w:t>
            </w:r>
          </w:p>
        </w:tc>
      </w:tr>
      <w:tr w:rsidR="00CF5BAC" w14:paraId="7DF64B4A" w14:textId="77777777" w:rsidTr="00B00FCB">
        <w:trPr>
          <w:trHeight w:val="466"/>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7AC08B0A"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7A2EF66"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 Distrital de Salud y principales ciudades</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0C70421"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17-mar</w:t>
            </w:r>
          </w:p>
        </w:tc>
      </w:tr>
      <w:tr w:rsidR="005B0222" w14:paraId="348D77AD"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6CB345E6"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Sector Educación</w:t>
            </w:r>
          </w:p>
        </w:tc>
      </w:tr>
      <w:tr w:rsidR="00CF5BAC" w14:paraId="3F338327" w14:textId="77777777" w:rsidTr="00B00FCB">
        <w:trPr>
          <w:trHeight w:val="182"/>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234E9B6"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3</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2F6B7FF"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Mineducación</w:t>
            </w:r>
          </w:p>
        </w:tc>
        <w:tc>
          <w:tcPr>
            <w:tcW w:w="2409" w:type="dxa"/>
            <w:vMerge w:val="restart"/>
            <w:tcBorders>
              <w:top w:val="dashed" w:sz="4" w:space="0" w:color="000000"/>
              <w:left w:val="dashed" w:sz="4" w:space="0" w:color="000000"/>
              <w:bottom w:val="dashed" w:sz="4" w:space="0" w:color="000000"/>
              <w:right w:val="dashed" w:sz="4" w:space="0" w:color="000000"/>
            </w:tcBorders>
            <w:vAlign w:val="center"/>
            <w:hideMark/>
          </w:tcPr>
          <w:p w14:paraId="3DFD730D"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25-mar</w:t>
            </w:r>
          </w:p>
        </w:tc>
      </w:tr>
      <w:tr w:rsidR="00CF5BAC" w14:paraId="08367974" w14:textId="77777777" w:rsidTr="00B00FCB">
        <w:trPr>
          <w:trHeight w:val="324"/>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63B494F"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B7822E2"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Servicio Nacional de Aprendizaje (Sena) </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6ADF0101" w14:textId="77777777" w:rsidR="005B0222" w:rsidRDefault="005B0222">
            <w:pPr>
              <w:rPr>
                <w:rFonts w:ascii="Aptos Narrow" w:hAnsi="Aptos Narrow" w:cs="Calibri"/>
                <w:color w:val="000000"/>
                <w:sz w:val="20"/>
                <w:szCs w:val="20"/>
              </w:rPr>
            </w:pPr>
          </w:p>
        </w:tc>
      </w:tr>
      <w:tr w:rsidR="00CF5BAC" w14:paraId="17937C44" w14:textId="77777777" w:rsidTr="00B00FCB">
        <w:trPr>
          <w:trHeight w:val="324"/>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2CDE14CF"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ED10F7B"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Instituto Colombiano de Bienestar Familiar (ICBF) </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154BCA10" w14:textId="77777777" w:rsidR="005B0222" w:rsidRDefault="005B0222">
            <w:pPr>
              <w:rPr>
                <w:rFonts w:ascii="Aptos Narrow" w:hAnsi="Aptos Narrow" w:cs="Calibri"/>
                <w:color w:val="000000"/>
                <w:sz w:val="20"/>
                <w:szCs w:val="20"/>
              </w:rPr>
            </w:pPr>
          </w:p>
        </w:tc>
      </w:tr>
      <w:tr w:rsidR="00CF5BAC" w14:paraId="0AC1ABEA" w14:textId="77777777" w:rsidTr="00B00FCB">
        <w:trPr>
          <w:trHeight w:val="243"/>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012F5E0"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4</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26F5C8E"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Universidades distritales a nivel nacional</w:t>
            </w:r>
          </w:p>
        </w:tc>
        <w:tc>
          <w:tcPr>
            <w:tcW w:w="2409" w:type="dxa"/>
            <w:tcBorders>
              <w:top w:val="dashed" w:sz="4" w:space="0" w:color="000000"/>
              <w:left w:val="dashed" w:sz="4" w:space="0" w:color="000000"/>
              <w:bottom w:val="dashed" w:sz="4" w:space="0" w:color="000000"/>
              <w:right w:val="dashed" w:sz="4" w:space="0" w:color="000000"/>
            </w:tcBorders>
            <w:vAlign w:val="center"/>
            <w:hideMark/>
          </w:tcPr>
          <w:p w14:paraId="453E86AE"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25-mar</w:t>
            </w:r>
          </w:p>
        </w:tc>
      </w:tr>
      <w:tr w:rsidR="00CF5BAC" w14:paraId="41436956" w14:textId="77777777" w:rsidTr="00B00FCB">
        <w:trPr>
          <w:trHeight w:val="247"/>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2ECD64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5</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2E5F47C"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Secretarias de educación municipales o Distritales Ciudades principales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AE0E87B"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19-mar</w:t>
            </w:r>
          </w:p>
        </w:tc>
      </w:tr>
      <w:tr w:rsidR="00CF5BAC" w14:paraId="70CB381C" w14:textId="77777777" w:rsidTr="00B00FCB">
        <w:trPr>
          <w:trHeight w:val="392"/>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522CD9FD"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DB39F45"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 xml:space="preserve">SECRETARIAS DE </w:t>
            </w:r>
            <w:proofErr w:type="gramStart"/>
            <w:r>
              <w:rPr>
                <w:rFonts w:ascii="Aptos Narrow" w:hAnsi="Aptos Narrow" w:cs="Calibri"/>
                <w:color w:val="000000"/>
                <w:sz w:val="20"/>
                <w:szCs w:val="20"/>
              </w:rPr>
              <w:t>EDUCACIÓN  GOBERNACIONES</w:t>
            </w:r>
            <w:proofErr w:type="gramEnd"/>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EF1E42C" w14:textId="77777777" w:rsidR="005B0222" w:rsidRDefault="005B0222">
            <w:pPr>
              <w:rPr>
                <w:rFonts w:ascii="Aptos Narrow" w:hAnsi="Aptos Narrow" w:cs="Calibri"/>
                <w:color w:val="000000"/>
                <w:sz w:val="20"/>
                <w:szCs w:val="20"/>
              </w:rPr>
            </w:pPr>
          </w:p>
        </w:tc>
      </w:tr>
      <w:tr w:rsidR="005B0222" w14:paraId="5B1274A0"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3F3478FE"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Sector Cultura, recreación y deporte</w:t>
            </w:r>
          </w:p>
        </w:tc>
      </w:tr>
      <w:tr w:rsidR="00CF5BAC" w14:paraId="4DD5A4D3" w14:textId="77777777" w:rsidTr="00B00FCB">
        <w:trPr>
          <w:trHeight w:val="191"/>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E10FB7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6</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C8CAA54"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Mincultura</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B6F09BE"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19-mar</w:t>
            </w:r>
          </w:p>
        </w:tc>
      </w:tr>
      <w:tr w:rsidR="00CF5BAC" w14:paraId="38A0BFF6" w14:textId="77777777" w:rsidTr="00B00FCB">
        <w:trPr>
          <w:trHeight w:val="238"/>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18211496"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81F817A"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SECRETARIAS DE CULTURA Gobernaciones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7BB70DFE" w14:textId="77777777" w:rsidR="005B0222" w:rsidRDefault="005B0222">
            <w:pPr>
              <w:rPr>
                <w:rFonts w:ascii="Aptos Narrow" w:hAnsi="Aptos Narrow" w:cs="Calibri"/>
                <w:color w:val="000000"/>
                <w:sz w:val="20"/>
                <w:szCs w:val="20"/>
              </w:rPr>
            </w:pPr>
          </w:p>
        </w:tc>
      </w:tr>
      <w:tr w:rsidR="00CF5BAC" w14:paraId="1F1E0984" w14:textId="77777777" w:rsidTr="00B00FCB">
        <w:trPr>
          <w:trHeight w:val="327"/>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09F10F6C"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7FE9478C"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SECRETARIAS DE CULTURA Municipales o Distritales Ciudades principales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336AB13C" w14:textId="77777777" w:rsidR="005B0222" w:rsidRDefault="005B0222">
            <w:pPr>
              <w:rPr>
                <w:rFonts w:ascii="Aptos Narrow" w:hAnsi="Aptos Narrow" w:cs="Calibri"/>
                <w:color w:val="000000"/>
                <w:sz w:val="20"/>
                <w:szCs w:val="20"/>
              </w:rPr>
            </w:pPr>
          </w:p>
        </w:tc>
      </w:tr>
      <w:tr w:rsidR="00CF5BAC" w14:paraId="771D4131" w14:textId="77777777" w:rsidTr="00B00FCB">
        <w:trPr>
          <w:trHeight w:val="104"/>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E5FC1B3"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7</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A96EB70"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Mindeporte</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AD2E162"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20-mar</w:t>
            </w:r>
          </w:p>
        </w:tc>
      </w:tr>
      <w:tr w:rsidR="00CF5BAC" w14:paraId="7537641E" w14:textId="77777777" w:rsidTr="00B00FCB">
        <w:trPr>
          <w:trHeight w:val="251"/>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85AF7C7"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4E05441"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Secretarias del deporte departamentales y municipales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7D0CF59C" w14:textId="77777777" w:rsidR="005B0222" w:rsidRDefault="005B0222">
            <w:pPr>
              <w:rPr>
                <w:rFonts w:ascii="Aptos Narrow" w:hAnsi="Aptos Narrow" w:cs="Calibri"/>
                <w:color w:val="000000"/>
                <w:sz w:val="20"/>
                <w:szCs w:val="20"/>
              </w:rPr>
            </w:pPr>
          </w:p>
        </w:tc>
      </w:tr>
      <w:tr w:rsidR="00CF5BAC" w14:paraId="7F584DBC" w14:textId="77777777" w:rsidTr="00B00FCB">
        <w:trPr>
          <w:trHeight w:val="240"/>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908DC3D"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3F60E6B"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IDRD</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6193D4D1" w14:textId="77777777" w:rsidR="005B0222" w:rsidRDefault="005B0222">
            <w:pPr>
              <w:rPr>
                <w:rFonts w:ascii="Aptos Narrow" w:hAnsi="Aptos Narrow" w:cs="Calibri"/>
                <w:color w:val="000000"/>
                <w:sz w:val="20"/>
                <w:szCs w:val="20"/>
              </w:rPr>
            </w:pPr>
          </w:p>
        </w:tc>
      </w:tr>
      <w:tr w:rsidR="005B0222" w14:paraId="3297362E"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79AB1024"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Sector Defensa</w:t>
            </w:r>
          </w:p>
        </w:tc>
      </w:tr>
      <w:tr w:rsidR="00CF5BAC" w14:paraId="2412EEDA" w14:textId="77777777" w:rsidTr="00B00FCB">
        <w:trPr>
          <w:trHeight w:val="348"/>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E065B59"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8</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4EB60F8"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policia nacional</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4F3B27B"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20-mar</w:t>
            </w:r>
          </w:p>
        </w:tc>
      </w:tr>
      <w:tr w:rsidR="00CF5BAC" w14:paraId="1256FF05" w14:textId="77777777" w:rsidTr="00B00FCB">
        <w:trPr>
          <w:trHeight w:val="240"/>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561F6B1"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9</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A41A172"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ejercito nacional</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2DB4E48"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21-mar</w:t>
            </w:r>
          </w:p>
        </w:tc>
      </w:tr>
      <w:tr w:rsidR="00CF5BAC" w14:paraId="7B645E9A" w14:textId="77777777" w:rsidTr="00B00FCB">
        <w:trPr>
          <w:trHeight w:val="231"/>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E8214A5"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10</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F5ECFC3"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Fuerza aerea</w:t>
            </w:r>
          </w:p>
        </w:tc>
        <w:tc>
          <w:tcPr>
            <w:tcW w:w="2409" w:type="dxa"/>
            <w:vMerge w:val="restart"/>
            <w:tcBorders>
              <w:top w:val="dashed" w:sz="4" w:space="0" w:color="000000"/>
              <w:left w:val="dashed" w:sz="4" w:space="0" w:color="000000"/>
              <w:bottom w:val="nil"/>
              <w:right w:val="dashed" w:sz="4" w:space="0" w:color="000000"/>
            </w:tcBorders>
            <w:shd w:val="clear" w:color="000000" w:fill="FFFFFF"/>
            <w:vAlign w:val="center"/>
            <w:hideMark/>
          </w:tcPr>
          <w:p w14:paraId="0355532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21-mar</w:t>
            </w:r>
          </w:p>
        </w:tc>
      </w:tr>
      <w:tr w:rsidR="00CF5BAC" w14:paraId="431546D5" w14:textId="77777777" w:rsidTr="00B00FCB">
        <w:trPr>
          <w:trHeight w:val="376"/>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548E2CD0"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D5A037F"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sectores defensa</w:t>
            </w:r>
          </w:p>
        </w:tc>
        <w:tc>
          <w:tcPr>
            <w:tcW w:w="2409" w:type="dxa"/>
            <w:vMerge/>
            <w:tcBorders>
              <w:top w:val="dashed" w:sz="4" w:space="0" w:color="000000"/>
              <w:left w:val="dashed" w:sz="4" w:space="0" w:color="000000"/>
              <w:bottom w:val="nil"/>
              <w:right w:val="dashed" w:sz="4" w:space="0" w:color="000000"/>
            </w:tcBorders>
            <w:vAlign w:val="center"/>
            <w:hideMark/>
          </w:tcPr>
          <w:p w14:paraId="31451A78" w14:textId="77777777" w:rsidR="005B0222" w:rsidRDefault="005B0222">
            <w:pPr>
              <w:rPr>
                <w:rFonts w:ascii="Aptos Narrow" w:hAnsi="Aptos Narrow" w:cs="Calibri"/>
                <w:color w:val="000000"/>
                <w:sz w:val="20"/>
                <w:szCs w:val="20"/>
              </w:rPr>
            </w:pPr>
          </w:p>
        </w:tc>
      </w:tr>
      <w:tr w:rsidR="00CF5BAC" w14:paraId="4CCA8E5E" w14:textId="77777777" w:rsidTr="00B00FCB">
        <w:trPr>
          <w:trHeight w:val="241"/>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24B4008"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11</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BE446E7"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armada nacional</w:t>
            </w:r>
          </w:p>
        </w:tc>
        <w:tc>
          <w:tcPr>
            <w:tcW w:w="2409" w:type="dxa"/>
            <w:vMerge/>
            <w:tcBorders>
              <w:top w:val="dashed" w:sz="4" w:space="0" w:color="000000"/>
              <w:left w:val="dashed" w:sz="4" w:space="0" w:color="000000"/>
              <w:bottom w:val="nil"/>
              <w:right w:val="dashed" w:sz="4" w:space="0" w:color="000000"/>
            </w:tcBorders>
            <w:vAlign w:val="center"/>
            <w:hideMark/>
          </w:tcPr>
          <w:p w14:paraId="3F80D725" w14:textId="77777777" w:rsidR="005B0222" w:rsidRDefault="005B0222">
            <w:pPr>
              <w:rPr>
                <w:rFonts w:ascii="Aptos Narrow" w:hAnsi="Aptos Narrow" w:cs="Calibri"/>
                <w:color w:val="000000"/>
                <w:sz w:val="20"/>
                <w:szCs w:val="20"/>
              </w:rPr>
            </w:pPr>
          </w:p>
        </w:tc>
      </w:tr>
      <w:tr w:rsidR="005B0222" w14:paraId="3AF630DA"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11C48385"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Sitios de reclusión</w:t>
            </w:r>
          </w:p>
        </w:tc>
      </w:tr>
      <w:tr w:rsidR="00CF5BAC" w14:paraId="1C792C51" w14:textId="77777777" w:rsidTr="00B00FCB">
        <w:trPr>
          <w:trHeight w:val="207"/>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1BCE321"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12</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6622ADA"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INPEC</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F12BA12"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25-mar</w:t>
            </w:r>
          </w:p>
        </w:tc>
      </w:tr>
      <w:tr w:rsidR="00CF5BAC" w14:paraId="7FEE7D64" w14:textId="77777777" w:rsidTr="00CF5BAC">
        <w:trPr>
          <w:trHeight w:val="34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FA5E8DA"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AE2F3B2"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Agencia de Reincorporacion - ARN</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7FABE148" w14:textId="77777777" w:rsidR="005B0222" w:rsidRDefault="005B0222">
            <w:pPr>
              <w:rPr>
                <w:rFonts w:ascii="Aptos Narrow" w:hAnsi="Aptos Narrow" w:cs="Calibri"/>
                <w:color w:val="000000"/>
                <w:sz w:val="20"/>
                <w:szCs w:val="20"/>
              </w:rPr>
            </w:pPr>
          </w:p>
        </w:tc>
      </w:tr>
      <w:tr w:rsidR="00CF5BAC" w14:paraId="4758DAE6" w14:textId="77777777" w:rsidTr="00CF5BAC">
        <w:trPr>
          <w:trHeight w:val="34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7B4D5771"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1207C77"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 xml:space="preserve">Ministerio de Trabajo </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3653C928" w14:textId="77777777" w:rsidR="005B0222" w:rsidRDefault="005B0222">
            <w:pPr>
              <w:rPr>
                <w:rFonts w:ascii="Aptos Narrow" w:hAnsi="Aptos Narrow" w:cs="Calibri"/>
                <w:color w:val="000000"/>
                <w:sz w:val="20"/>
                <w:szCs w:val="20"/>
              </w:rPr>
            </w:pPr>
          </w:p>
        </w:tc>
      </w:tr>
      <w:tr w:rsidR="00CF5BAC" w14:paraId="09967F15" w14:textId="77777777" w:rsidTr="00CF5BAC">
        <w:trPr>
          <w:trHeight w:val="34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6D27B74"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3D6D912"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Ministerio de Justicia</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24526FC4" w14:textId="77777777" w:rsidR="005B0222" w:rsidRDefault="005B0222">
            <w:pPr>
              <w:rPr>
                <w:rFonts w:ascii="Aptos Narrow" w:hAnsi="Aptos Narrow" w:cs="Calibri"/>
                <w:color w:val="000000"/>
                <w:sz w:val="20"/>
                <w:szCs w:val="20"/>
              </w:rPr>
            </w:pPr>
          </w:p>
        </w:tc>
      </w:tr>
      <w:tr w:rsidR="005B0222" w14:paraId="300C116D" w14:textId="77777777" w:rsidTr="00B00FCB">
        <w:trPr>
          <w:trHeight w:val="285"/>
        </w:trPr>
        <w:tc>
          <w:tcPr>
            <w:tcW w:w="9634" w:type="dxa"/>
            <w:gridSpan w:val="3"/>
            <w:tcBorders>
              <w:top w:val="dashed" w:sz="4" w:space="0" w:color="000000"/>
              <w:left w:val="dashed" w:sz="4" w:space="0" w:color="000000"/>
              <w:bottom w:val="dashed" w:sz="4" w:space="0" w:color="000000"/>
              <w:right w:val="dashed" w:sz="4" w:space="0" w:color="000000"/>
            </w:tcBorders>
            <w:shd w:val="clear" w:color="000000" w:fill="595959"/>
            <w:vAlign w:val="center"/>
            <w:hideMark/>
          </w:tcPr>
          <w:p w14:paraId="6D960A0A" w14:textId="77777777" w:rsidR="005B0222" w:rsidRDefault="005B0222">
            <w:pPr>
              <w:jc w:val="center"/>
              <w:rPr>
                <w:rFonts w:ascii="Aptos Narrow" w:hAnsi="Aptos Narrow" w:cs="Calibri"/>
                <w:b/>
                <w:bCs/>
                <w:color w:val="FFFF00"/>
                <w:sz w:val="20"/>
                <w:szCs w:val="20"/>
              </w:rPr>
            </w:pPr>
            <w:r>
              <w:rPr>
                <w:rFonts w:ascii="Aptos Narrow" w:hAnsi="Aptos Narrow" w:cs="Calibri"/>
                <w:b/>
                <w:bCs/>
                <w:color w:val="FFFF00"/>
                <w:sz w:val="20"/>
                <w:szCs w:val="20"/>
              </w:rPr>
              <w:t>Sector Institucional</w:t>
            </w:r>
          </w:p>
        </w:tc>
      </w:tr>
      <w:tr w:rsidR="00CF5BAC" w14:paraId="4600CA99" w14:textId="77777777" w:rsidTr="00B00FCB">
        <w:trPr>
          <w:trHeight w:val="133"/>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A055CB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lastRenderedPageBreak/>
              <w:t>13</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AC385D8"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Secretaria de habitat Bogota</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9F2785F"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26-mar</w:t>
            </w:r>
          </w:p>
        </w:tc>
      </w:tr>
      <w:tr w:rsidR="00CF5BAC" w14:paraId="38260649" w14:textId="77777777" w:rsidTr="00B00FCB">
        <w:trPr>
          <w:trHeight w:val="256"/>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2769339D"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9EDD452"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 xml:space="preserve">SECRETARIA DE GOBIERNO DISTRITAL </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3F70FCE" w14:textId="77777777" w:rsidR="005B0222" w:rsidRDefault="005B0222">
            <w:pPr>
              <w:rPr>
                <w:rFonts w:ascii="Aptos Narrow" w:hAnsi="Aptos Narrow" w:cs="Calibri"/>
                <w:color w:val="000000"/>
                <w:sz w:val="20"/>
                <w:szCs w:val="20"/>
              </w:rPr>
            </w:pPr>
          </w:p>
        </w:tc>
      </w:tr>
      <w:tr w:rsidR="00CF5BAC" w14:paraId="6BACC4CE" w14:textId="77777777" w:rsidTr="00B00FCB">
        <w:trPr>
          <w:trHeight w:val="242"/>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25CBFE0E"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DDE2944"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caja de vivienda bogota</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6EE1E8CC" w14:textId="77777777" w:rsidR="005B0222" w:rsidRDefault="005B0222">
            <w:pPr>
              <w:rPr>
                <w:rFonts w:ascii="Aptos Narrow" w:hAnsi="Aptos Narrow" w:cs="Calibri"/>
                <w:color w:val="000000"/>
                <w:sz w:val="20"/>
                <w:szCs w:val="20"/>
              </w:rPr>
            </w:pPr>
          </w:p>
        </w:tc>
      </w:tr>
      <w:tr w:rsidR="00CF5BAC" w14:paraId="063DB101" w14:textId="77777777" w:rsidTr="00B00FCB">
        <w:trPr>
          <w:trHeight w:val="233"/>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E0705D9"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14</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E784F24"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Consejo Colombiano de Construcción Sostenible – CCCS.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7880F4D6"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27-mar</w:t>
            </w:r>
          </w:p>
        </w:tc>
      </w:tr>
      <w:tr w:rsidR="00CF5BAC" w14:paraId="41FF011E" w14:textId="77777777" w:rsidTr="00B00FCB">
        <w:trPr>
          <w:trHeight w:val="378"/>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07BC1F33"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705A4F8"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Alcaldía de Medellín, Universidad Javeriana y GIZ.</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E9695D7" w14:textId="77777777" w:rsidR="005B0222" w:rsidRDefault="005B0222">
            <w:pPr>
              <w:rPr>
                <w:rFonts w:ascii="Aptos Narrow" w:hAnsi="Aptos Narrow" w:cs="Calibri"/>
                <w:color w:val="000000"/>
                <w:sz w:val="20"/>
                <w:szCs w:val="20"/>
              </w:rPr>
            </w:pPr>
          </w:p>
        </w:tc>
      </w:tr>
      <w:tr w:rsidR="00CF5BAC" w14:paraId="7E9CCFE2" w14:textId="77777777" w:rsidTr="00B00FCB">
        <w:trPr>
          <w:trHeight w:val="242"/>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EDAB596"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7752597"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Minambiente</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442FF37D" w14:textId="77777777" w:rsidR="005B0222" w:rsidRDefault="005B0222">
            <w:pPr>
              <w:rPr>
                <w:rFonts w:ascii="Aptos Narrow" w:hAnsi="Aptos Narrow" w:cs="Calibri"/>
                <w:color w:val="000000"/>
                <w:sz w:val="20"/>
                <w:szCs w:val="20"/>
              </w:rPr>
            </w:pPr>
          </w:p>
        </w:tc>
      </w:tr>
      <w:tr w:rsidR="00CF5BAC" w14:paraId="6B9D78F4" w14:textId="77777777" w:rsidTr="006E0786">
        <w:trPr>
          <w:trHeight w:val="130"/>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0E00A42"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DF67B3E"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GIZ</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43E2B744" w14:textId="77777777" w:rsidR="005B0222" w:rsidRDefault="005B0222">
            <w:pPr>
              <w:rPr>
                <w:rFonts w:ascii="Aptos Narrow" w:hAnsi="Aptos Narrow" w:cs="Calibri"/>
                <w:color w:val="000000"/>
                <w:sz w:val="20"/>
                <w:szCs w:val="20"/>
              </w:rPr>
            </w:pPr>
          </w:p>
        </w:tc>
      </w:tr>
      <w:tr w:rsidR="00CF5BAC" w14:paraId="5E88BFF8" w14:textId="77777777" w:rsidTr="006E0786">
        <w:trPr>
          <w:trHeight w:val="135"/>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3360CE6"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15</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B998888"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CGR nacional y regional</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C178CFD"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28-mar</w:t>
            </w:r>
          </w:p>
        </w:tc>
      </w:tr>
      <w:tr w:rsidR="00CF5BAC" w14:paraId="439B0B52" w14:textId="77777777" w:rsidTr="00CF5BAC">
        <w:trPr>
          <w:trHeight w:val="34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F3962E3"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793777C"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Defensoria del Pueblo nacional y regional</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F5B7B6F" w14:textId="77777777" w:rsidR="005B0222" w:rsidRDefault="005B0222">
            <w:pPr>
              <w:rPr>
                <w:rFonts w:ascii="Aptos Narrow" w:hAnsi="Aptos Narrow" w:cs="Calibri"/>
                <w:color w:val="000000"/>
                <w:sz w:val="20"/>
                <w:szCs w:val="20"/>
              </w:rPr>
            </w:pPr>
          </w:p>
        </w:tc>
      </w:tr>
      <w:tr w:rsidR="00CF5BAC" w14:paraId="299AE63E" w14:textId="77777777" w:rsidTr="006E0786">
        <w:trPr>
          <w:trHeight w:val="182"/>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2E0E12E5"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CF7A751"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Fiscalia Nacional y regional</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73DABD3E" w14:textId="77777777" w:rsidR="005B0222" w:rsidRDefault="005B0222">
            <w:pPr>
              <w:rPr>
                <w:rFonts w:ascii="Aptos Narrow" w:hAnsi="Aptos Narrow" w:cs="Calibri"/>
                <w:color w:val="000000"/>
                <w:sz w:val="20"/>
                <w:szCs w:val="20"/>
              </w:rPr>
            </w:pPr>
          </w:p>
        </w:tc>
      </w:tr>
      <w:tr w:rsidR="00CF5BAC" w14:paraId="0E5A0156" w14:textId="77777777" w:rsidTr="00B00FCB">
        <w:trPr>
          <w:trHeight w:val="121"/>
        </w:trPr>
        <w:tc>
          <w:tcPr>
            <w:tcW w:w="777"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67F8F99"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16</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6B4A777"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Camacol</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B8953A0"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31-mar</w:t>
            </w:r>
          </w:p>
        </w:tc>
      </w:tr>
      <w:tr w:rsidR="00CF5BAC" w14:paraId="418B15B7" w14:textId="77777777" w:rsidTr="006E0786">
        <w:trPr>
          <w:trHeight w:val="219"/>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DF1FC69"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17</w:t>
            </w:r>
          </w:p>
        </w:tc>
        <w:tc>
          <w:tcPr>
            <w:tcW w:w="6448" w:type="dxa"/>
            <w:tcBorders>
              <w:top w:val="dashed" w:sz="4" w:space="0" w:color="000000"/>
              <w:left w:val="dashed" w:sz="4" w:space="0" w:color="000000"/>
              <w:bottom w:val="dashed" w:sz="4" w:space="0" w:color="000000"/>
              <w:right w:val="dashed" w:sz="4" w:space="0" w:color="000000"/>
            </w:tcBorders>
            <w:vAlign w:val="center"/>
            <w:hideMark/>
          </w:tcPr>
          <w:p w14:paraId="376D1C84"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 xml:space="preserve">Agencia de Renovación del </w:t>
            </w:r>
            <w:proofErr w:type="gramStart"/>
            <w:r>
              <w:rPr>
                <w:rFonts w:ascii="Aptos Narrow" w:hAnsi="Aptos Narrow" w:cs="Calibri"/>
                <w:color w:val="000000"/>
                <w:sz w:val="20"/>
                <w:szCs w:val="20"/>
              </w:rPr>
              <w:t>Territorio  -</w:t>
            </w:r>
            <w:proofErr w:type="gramEnd"/>
            <w:r>
              <w:rPr>
                <w:rFonts w:ascii="Aptos Narrow" w:hAnsi="Aptos Narrow" w:cs="Calibri"/>
                <w:color w:val="000000"/>
                <w:sz w:val="20"/>
                <w:szCs w:val="20"/>
              </w:rPr>
              <w:t xml:space="preserve"> ART</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6FEBBBA8"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31-mar</w:t>
            </w:r>
          </w:p>
        </w:tc>
      </w:tr>
      <w:tr w:rsidR="00CF5BAC" w14:paraId="20194E95" w14:textId="77777777" w:rsidTr="006E0786">
        <w:trPr>
          <w:trHeight w:val="17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0FCCE6B9"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2BC077F"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Fondo Paz</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42786722" w14:textId="77777777" w:rsidR="005B0222" w:rsidRDefault="005B0222">
            <w:pPr>
              <w:rPr>
                <w:rFonts w:ascii="Aptos Narrow" w:hAnsi="Aptos Narrow" w:cs="Calibri"/>
                <w:color w:val="000000"/>
                <w:sz w:val="20"/>
                <w:szCs w:val="20"/>
              </w:rPr>
            </w:pPr>
          </w:p>
        </w:tc>
      </w:tr>
      <w:tr w:rsidR="00CF5BAC" w14:paraId="53A40DBF" w14:textId="77777777" w:rsidTr="006E0786">
        <w:trPr>
          <w:trHeight w:val="178"/>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05E86BB2"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0783CAB"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Departamento de la Prosperidad Social - DPS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5FBC3E04" w14:textId="77777777" w:rsidR="005B0222" w:rsidRDefault="005B0222">
            <w:pPr>
              <w:rPr>
                <w:rFonts w:ascii="Aptos Narrow" w:hAnsi="Aptos Narrow" w:cs="Calibri"/>
                <w:color w:val="000000"/>
                <w:sz w:val="20"/>
                <w:szCs w:val="20"/>
              </w:rPr>
            </w:pPr>
          </w:p>
        </w:tc>
      </w:tr>
      <w:tr w:rsidR="00CF5BAC" w14:paraId="4AE5ADAA" w14:textId="77777777" w:rsidTr="006E0786">
        <w:trPr>
          <w:trHeight w:val="183"/>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7B0409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18</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FAB93EA"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Rama Judicial y juzgados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456396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31-mar</w:t>
            </w:r>
          </w:p>
        </w:tc>
      </w:tr>
      <w:tr w:rsidR="00CF5BAC" w14:paraId="1DA5E367" w14:textId="77777777" w:rsidTr="006E0786">
        <w:trPr>
          <w:trHeight w:val="172"/>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8442CE5"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A7B3ABD"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Procuraduria nacional y regional</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4892D92" w14:textId="77777777" w:rsidR="005B0222" w:rsidRDefault="005B0222">
            <w:pPr>
              <w:rPr>
                <w:rFonts w:ascii="Aptos Narrow" w:hAnsi="Aptos Narrow" w:cs="Calibri"/>
                <w:color w:val="000000"/>
                <w:sz w:val="20"/>
                <w:szCs w:val="20"/>
              </w:rPr>
            </w:pPr>
          </w:p>
        </w:tc>
      </w:tr>
      <w:tr w:rsidR="00CF5BAC" w14:paraId="6B09CE49" w14:textId="77777777" w:rsidTr="006E0786">
        <w:trPr>
          <w:trHeight w:val="177"/>
        </w:trPr>
        <w:tc>
          <w:tcPr>
            <w:tcW w:w="777" w:type="dxa"/>
            <w:tcBorders>
              <w:top w:val="nil"/>
              <w:left w:val="nil"/>
              <w:bottom w:val="nil"/>
              <w:right w:val="nil"/>
            </w:tcBorders>
            <w:noWrap/>
            <w:vAlign w:val="center"/>
            <w:hideMark/>
          </w:tcPr>
          <w:p w14:paraId="0011A417" w14:textId="77777777" w:rsidR="005B0222" w:rsidRDefault="005B0222">
            <w:pPr>
              <w:jc w:val="center"/>
              <w:rPr>
                <w:rFonts w:ascii="Calibri" w:hAnsi="Calibri" w:cs="Calibri"/>
                <w:color w:val="000000"/>
                <w:sz w:val="22"/>
                <w:szCs w:val="22"/>
              </w:rPr>
            </w:pPr>
            <w:r>
              <w:rPr>
                <w:rFonts w:ascii="Calibri" w:hAnsi="Calibri" w:cs="Calibri"/>
                <w:color w:val="000000"/>
                <w:sz w:val="22"/>
                <w:szCs w:val="22"/>
              </w:rPr>
              <w:t>19</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FD0A646"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USPEC</w:t>
            </w:r>
          </w:p>
        </w:tc>
        <w:tc>
          <w:tcPr>
            <w:tcW w:w="2409"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287B3CE"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01-abr</w:t>
            </w:r>
          </w:p>
        </w:tc>
      </w:tr>
      <w:tr w:rsidR="00CF5BAC" w14:paraId="6E55BCB9" w14:textId="77777777" w:rsidTr="006E0786">
        <w:trPr>
          <w:trHeight w:val="152"/>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723BA84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20</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75B46D75"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Alcaldias nacionales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5D81977"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01-abr</w:t>
            </w:r>
          </w:p>
        </w:tc>
      </w:tr>
      <w:tr w:rsidR="00CF5BAC" w14:paraId="67EA2D3B" w14:textId="77777777" w:rsidTr="006E0786">
        <w:trPr>
          <w:trHeight w:val="157"/>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A3604E2"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5663FB9"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Federación Nacional de Municipios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2EA76C15" w14:textId="77777777" w:rsidR="005B0222" w:rsidRDefault="005B0222">
            <w:pPr>
              <w:rPr>
                <w:rFonts w:ascii="Aptos Narrow" w:hAnsi="Aptos Narrow" w:cs="Calibri"/>
                <w:color w:val="000000"/>
                <w:sz w:val="20"/>
                <w:szCs w:val="20"/>
              </w:rPr>
            </w:pPr>
          </w:p>
        </w:tc>
      </w:tr>
      <w:tr w:rsidR="00CF5BAC" w14:paraId="341C4B8F" w14:textId="77777777" w:rsidTr="006E0786">
        <w:trPr>
          <w:trHeight w:val="302"/>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1DD614D7"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21</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8EA3EDE"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Federación Nacional de Departamentos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D7A9E6C"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01-abr</w:t>
            </w:r>
          </w:p>
        </w:tc>
      </w:tr>
      <w:tr w:rsidR="00CF5BAC" w14:paraId="0A4CDD4F" w14:textId="77777777" w:rsidTr="006E0786">
        <w:trPr>
          <w:trHeight w:val="237"/>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C8B7AE0"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DF5B99E"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Gobernaciones</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66DEBEDC" w14:textId="77777777" w:rsidR="005B0222" w:rsidRDefault="005B0222">
            <w:pPr>
              <w:rPr>
                <w:rFonts w:ascii="Aptos Narrow" w:hAnsi="Aptos Narrow" w:cs="Calibri"/>
                <w:color w:val="000000"/>
                <w:sz w:val="20"/>
                <w:szCs w:val="20"/>
              </w:rPr>
            </w:pPr>
          </w:p>
        </w:tc>
      </w:tr>
      <w:tr w:rsidR="00CF5BAC" w14:paraId="003E2B35" w14:textId="77777777" w:rsidTr="00CF5BAC">
        <w:trPr>
          <w:trHeight w:val="285"/>
        </w:trPr>
        <w:tc>
          <w:tcPr>
            <w:tcW w:w="777"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41D2DBF1"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22</w:t>
            </w: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514C87E3"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sociedad colombiana de Ingenieros</w:t>
            </w:r>
          </w:p>
        </w:tc>
        <w:tc>
          <w:tcPr>
            <w:tcW w:w="2409" w:type="dxa"/>
            <w:vMerge w:val="restart"/>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0005F96B" w14:textId="77777777" w:rsidR="005B0222" w:rsidRDefault="005B0222">
            <w:pPr>
              <w:jc w:val="center"/>
              <w:rPr>
                <w:rFonts w:ascii="Aptos Narrow" w:hAnsi="Aptos Narrow" w:cs="Calibri"/>
                <w:color w:val="000000"/>
                <w:sz w:val="20"/>
                <w:szCs w:val="20"/>
              </w:rPr>
            </w:pPr>
            <w:r>
              <w:rPr>
                <w:rFonts w:ascii="Aptos Narrow" w:hAnsi="Aptos Narrow" w:cs="Calibri"/>
                <w:color w:val="000000"/>
                <w:sz w:val="20"/>
                <w:szCs w:val="20"/>
              </w:rPr>
              <w:t>01-abr</w:t>
            </w:r>
          </w:p>
        </w:tc>
      </w:tr>
      <w:tr w:rsidR="00CF5BAC" w14:paraId="6A435A9E" w14:textId="77777777" w:rsidTr="00CF5BAC">
        <w:trPr>
          <w:trHeight w:val="28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6C0C3F9C"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2CF12360"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sociedad colombiana de Arquitectura</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39E6E747" w14:textId="77777777" w:rsidR="005B0222" w:rsidRDefault="005B0222">
            <w:pPr>
              <w:rPr>
                <w:rFonts w:ascii="Aptos Narrow" w:hAnsi="Aptos Narrow" w:cs="Calibri"/>
                <w:color w:val="000000"/>
                <w:sz w:val="20"/>
                <w:szCs w:val="20"/>
              </w:rPr>
            </w:pPr>
          </w:p>
        </w:tc>
      </w:tr>
      <w:tr w:rsidR="00CF5BAC" w14:paraId="3E3896F4" w14:textId="77777777" w:rsidTr="00CF5BAC">
        <w:trPr>
          <w:trHeight w:val="285"/>
        </w:trPr>
        <w:tc>
          <w:tcPr>
            <w:tcW w:w="777" w:type="dxa"/>
            <w:vMerge/>
            <w:tcBorders>
              <w:top w:val="dashed" w:sz="4" w:space="0" w:color="000000"/>
              <w:left w:val="dashed" w:sz="4" w:space="0" w:color="000000"/>
              <w:bottom w:val="dashed" w:sz="4" w:space="0" w:color="000000"/>
              <w:right w:val="dashed" w:sz="4" w:space="0" w:color="000000"/>
            </w:tcBorders>
            <w:vAlign w:val="center"/>
            <w:hideMark/>
          </w:tcPr>
          <w:p w14:paraId="34F858B5" w14:textId="77777777" w:rsidR="005B0222" w:rsidRDefault="005B0222">
            <w:pPr>
              <w:rPr>
                <w:rFonts w:ascii="Aptos Narrow" w:hAnsi="Aptos Narrow" w:cs="Calibri"/>
                <w:color w:val="000000"/>
                <w:sz w:val="20"/>
                <w:szCs w:val="20"/>
              </w:rPr>
            </w:pPr>
          </w:p>
        </w:tc>
        <w:tc>
          <w:tcPr>
            <w:tcW w:w="6448" w:type="dxa"/>
            <w:tcBorders>
              <w:top w:val="dashed" w:sz="4" w:space="0" w:color="000000"/>
              <w:left w:val="dashed" w:sz="4" w:space="0" w:color="000000"/>
              <w:bottom w:val="dashed" w:sz="4" w:space="0" w:color="000000"/>
              <w:right w:val="dashed" w:sz="4" w:space="0" w:color="000000"/>
            </w:tcBorders>
            <w:shd w:val="clear" w:color="000000" w:fill="FFFFFF"/>
            <w:vAlign w:val="center"/>
            <w:hideMark/>
          </w:tcPr>
          <w:p w14:paraId="366FF484" w14:textId="77777777" w:rsidR="005B0222" w:rsidRDefault="005B0222">
            <w:pPr>
              <w:rPr>
                <w:rFonts w:ascii="Aptos Narrow" w:hAnsi="Aptos Narrow" w:cs="Calibri"/>
                <w:color w:val="000000"/>
                <w:sz w:val="20"/>
                <w:szCs w:val="20"/>
              </w:rPr>
            </w:pPr>
            <w:r>
              <w:rPr>
                <w:rFonts w:ascii="Aptos Narrow" w:hAnsi="Aptos Narrow" w:cs="Calibri"/>
                <w:color w:val="000000"/>
                <w:sz w:val="20"/>
                <w:szCs w:val="20"/>
              </w:rPr>
              <w:t>Cámara Colombiana de la Infraestructura</w:t>
            </w:r>
          </w:p>
        </w:tc>
        <w:tc>
          <w:tcPr>
            <w:tcW w:w="2409" w:type="dxa"/>
            <w:vMerge/>
            <w:tcBorders>
              <w:top w:val="dashed" w:sz="4" w:space="0" w:color="000000"/>
              <w:left w:val="dashed" w:sz="4" w:space="0" w:color="000000"/>
              <w:bottom w:val="dashed" w:sz="4" w:space="0" w:color="000000"/>
              <w:right w:val="dashed" w:sz="4" w:space="0" w:color="000000"/>
            </w:tcBorders>
            <w:vAlign w:val="center"/>
            <w:hideMark/>
          </w:tcPr>
          <w:p w14:paraId="000440DA" w14:textId="77777777" w:rsidR="005B0222" w:rsidRDefault="005B0222">
            <w:pPr>
              <w:rPr>
                <w:rFonts w:ascii="Aptos Narrow" w:hAnsi="Aptos Narrow" w:cs="Calibri"/>
                <w:color w:val="000000"/>
                <w:sz w:val="20"/>
                <w:szCs w:val="20"/>
              </w:rPr>
            </w:pPr>
          </w:p>
        </w:tc>
      </w:tr>
    </w:tbl>
    <w:p w14:paraId="6BD22B93" w14:textId="77777777" w:rsidR="005B0222" w:rsidRPr="001F5F0A" w:rsidRDefault="005B0222" w:rsidP="0DFDB792">
      <w:pPr>
        <w:jc w:val="both"/>
        <w:rPr>
          <w:rFonts w:ascii="Verdana" w:hAnsi="Verdana" w:cs="Arial"/>
          <w:sz w:val="22"/>
          <w:szCs w:val="22"/>
        </w:rPr>
      </w:pPr>
    </w:p>
    <w:p w14:paraId="3B8FFA49" w14:textId="433F28B2" w:rsidR="5C9EF55E" w:rsidRPr="001F5F0A" w:rsidRDefault="5C9EF55E" w:rsidP="0DFDB792">
      <w:pPr>
        <w:jc w:val="both"/>
        <w:rPr>
          <w:rFonts w:ascii="Verdana" w:hAnsi="Verdana" w:cs="Arial"/>
          <w:sz w:val="22"/>
          <w:szCs w:val="22"/>
        </w:rPr>
      </w:pPr>
      <w:r w:rsidRPr="0DFDB792">
        <w:rPr>
          <w:rFonts w:ascii="Verdana" w:hAnsi="Verdana" w:cs="Arial"/>
          <w:sz w:val="22"/>
          <w:szCs w:val="22"/>
        </w:rPr>
        <w:t xml:space="preserve">En las mesas de trabajo realizadas para socializar los principales aspectos </w:t>
      </w:r>
      <w:r w:rsidR="123E1709" w:rsidRPr="0DFDB792">
        <w:rPr>
          <w:rFonts w:ascii="Verdana" w:hAnsi="Verdana" w:cs="Arial"/>
          <w:sz w:val="22"/>
          <w:szCs w:val="22"/>
        </w:rPr>
        <w:t xml:space="preserve">a </w:t>
      </w:r>
      <w:r w:rsidRPr="0DFDB792">
        <w:rPr>
          <w:rFonts w:ascii="Verdana" w:hAnsi="Verdana" w:cs="Arial"/>
          <w:sz w:val="22"/>
          <w:szCs w:val="22"/>
        </w:rPr>
        <w:t>modifica</w:t>
      </w:r>
      <w:r w:rsidR="1588C747" w:rsidRPr="0DFDB792">
        <w:rPr>
          <w:rFonts w:ascii="Verdana" w:hAnsi="Verdana" w:cs="Arial"/>
          <w:sz w:val="22"/>
          <w:szCs w:val="22"/>
        </w:rPr>
        <w:t>r</w:t>
      </w:r>
      <w:r w:rsidRPr="0DFDB792">
        <w:rPr>
          <w:rFonts w:ascii="Verdana" w:hAnsi="Verdana" w:cs="Arial"/>
          <w:sz w:val="22"/>
          <w:szCs w:val="22"/>
        </w:rPr>
        <w:t xml:space="preserve"> en los Documentos Tipo de Infraestructura </w:t>
      </w:r>
      <w:r w:rsidR="608FA7EA" w:rsidRPr="0DFDB792">
        <w:rPr>
          <w:rFonts w:ascii="Verdana" w:hAnsi="Verdana" w:cs="Arial"/>
          <w:sz w:val="22"/>
          <w:szCs w:val="22"/>
        </w:rPr>
        <w:t xml:space="preserve">Social, se citaron </w:t>
      </w:r>
      <w:r w:rsidR="50741C6B" w:rsidRPr="0DFDB792">
        <w:rPr>
          <w:rFonts w:ascii="Verdana" w:hAnsi="Verdana" w:cs="Arial"/>
          <w:sz w:val="22"/>
          <w:szCs w:val="22"/>
        </w:rPr>
        <w:t>entidades del Orden Nacional y del orden Distrital</w:t>
      </w:r>
      <w:r w:rsidR="0F223E69" w:rsidRPr="0DFDB792">
        <w:rPr>
          <w:rFonts w:ascii="Verdana" w:hAnsi="Verdana" w:cs="Arial"/>
          <w:sz w:val="22"/>
          <w:szCs w:val="22"/>
        </w:rPr>
        <w:t>, entre otras.</w:t>
      </w:r>
    </w:p>
    <w:p w14:paraId="51A28150" w14:textId="39EED1D4" w:rsidR="331720D0" w:rsidRPr="001F5F0A" w:rsidRDefault="331720D0" w:rsidP="331720D0">
      <w:pPr>
        <w:jc w:val="both"/>
        <w:rPr>
          <w:rFonts w:ascii="Verdana" w:hAnsi="Verdana" w:cs="Arial"/>
          <w:sz w:val="22"/>
          <w:szCs w:val="22"/>
          <w:highlight w:val="yellow"/>
        </w:rPr>
      </w:pPr>
    </w:p>
    <w:p w14:paraId="2FC72F6E" w14:textId="6582EE9F" w:rsidR="00E7045E" w:rsidRPr="001F5F0A" w:rsidRDefault="00E7045E" w:rsidP="0DFDB792">
      <w:pPr>
        <w:jc w:val="both"/>
        <w:rPr>
          <w:rFonts w:ascii="Verdana" w:hAnsi="Verdana" w:cs="Arial"/>
          <w:sz w:val="22"/>
          <w:szCs w:val="22"/>
        </w:rPr>
      </w:pPr>
      <w:r w:rsidRPr="0DFDB792">
        <w:rPr>
          <w:rFonts w:ascii="Verdana" w:hAnsi="Verdana" w:cs="Arial"/>
          <w:sz w:val="22"/>
          <w:szCs w:val="22"/>
        </w:rPr>
        <w:t xml:space="preserve">De acuerdo con las observaciones, peticiones o solicitudes de aclaración recibidas de ciudadanos, de Entidades Públicas Especializadas y observaciones internas realizadas por el equipo técnico,  jurídico y financiero de la Subdirección de Gestión Contractual, se efectúo su revisión para aquellas recibidos entre la vigencia 2022 </w:t>
      </w:r>
      <w:r w:rsidR="20ECDC82" w:rsidRPr="0DFDB792">
        <w:rPr>
          <w:rFonts w:ascii="Verdana" w:hAnsi="Verdana" w:cs="Arial"/>
          <w:sz w:val="22"/>
          <w:szCs w:val="22"/>
        </w:rPr>
        <w:t>a</w:t>
      </w:r>
      <w:r w:rsidRPr="0DFDB792">
        <w:rPr>
          <w:rFonts w:ascii="Verdana" w:hAnsi="Verdana" w:cs="Arial"/>
          <w:sz w:val="22"/>
          <w:szCs w:val="22"/>
        </w:rPr>
        <w:t xml:space="preserve"> </w:t>
      </w:r>
      <w:r w:rsidR="66536A74" w:rsidRPr="0DFDB792">
        <w:rPr>
          <w:rFonts w:ascii="Verdana" w:hAnsi="Verdana" w:cs="Arial"/>
          <w:sz w:val="22"/>
          <w:szCs w:val="22"/>
        </w:rPr>
        <w:t>diciembre</w:t>
      </w:r>
      <w:r w:rsidR="156D3EDA" w:rsidRPr="0DFDB792">
        <w:rPr>
          <w:rFonts w:ascii="Verdana" w:hAnsi="Verdana" w:cs="Arial"/>
          <w:sz w:val="22"/>
          <w:szCs w:val="22"/>
        </w:rPr>
        <w:t xml:space="preserve"> </w:t>
      </w:r>
      <w:r w:rsidRPr="0DFDB792">
        <w:rPr>
          <w:rFonts w:ascii="Verdana" w:hAnsi="Verdana" w:cs="Arial"/>
          <w:sz w:val="22"/>
          <w:szCs w:val="22"/>
        </w:rPr>
        <w:t>202</w:t>
      </w:r>
      <w:r w:rsidR="653C55EA" w:rsidRPr="0DFDB792">
        <w:rPr>
          <w:rFonts w:ascii="Verdana" w:hAnsi="Verdana" w:cs="Arial"/>
          <w:sz w:val="22"/>
          <w:szCs w:val="22"/>
        </w:rPr>
        <w:t>4</w:t>
      </w:r>
      <w:r w:rsidRPr="0DFDB792">
        <w:rPr>
          <w:rFonts w:ascii="Verdana" w:hAnsi="Verdana" w:cs="Arial"/>
          <w:sz w:val="22"/>
          <w:szCs w:val="22"/>
        </w:rPr>
        <w:t xml:space="preserve">, y se clasificaron en tres segmentos: </w:t>
      </w:r>
      <w:r w:rsidRPr="0DFDB792">
        <w:rPr>
          <w:rFonts w:ascii="Verdana" w:hAnsi="Verdana" w:cs="Arial"/>
          <w:b/>
          <w:bCs/>
          <w:sz w:val="22"/>
          <w:szCs w:val="22"/>
        </w:rPr>
        <w:t xml:space="preserve">a) </w:t>
      </w:r>
      <w:r w:rsidRPr="0DFDB792">
        <w:rPr>
          <w:rFonts w:ascii="Verdana" w:hAnsi="Verdana" w:cs="Arial"/>
          <w:sz w:val="22"/>
          <w:szCs w:val="22"/>
        </w:rPr>
        <w:t xml:space="preserve">observaciones directas de ciudadanos, </w:t>
      </w:r>
      <w:r w:rsidRPr="0DFDB792">
        <w:rPr>
          <w:rFonts w:ascii="Verdana" w:hAnsi="Verdana" w:cs="Arial"/>
          <w:b/>
          <w:bCs/>
          <w:sz w:val="22"/>
          <w:szCs w:val="22"/>
        </w:rPr>
        <w:t>b)</w:t>
      </w:r>
      <w:r w:rsidRPr="0DFDB792">
        <w:rPr>
          <w:rFonts w:ascii="Verdana" w:hAnsi="Verdana" w:cs="Arial"/>
          <w:sz w:val="22"/>
          <w:szCs w:val="22"/>
        </w:rPr>
        <w:t xml:space="preserve"> observaciones de Entidades Estatales y </w:t>
      </w:r>
      <w:r w:rsidRPr="0DFDB792">
        <w:rPr>
          <w:rFonts w:ascii="Verdana" w:hAnsi="Verdana" w:cs="Arial"/>
          <w:b/>
          <w:bCs/>
          <w:sz w:val="22"/>
          <w:szCs w:val="22"/>
        </w:rPr>
        <w:t>c)</w:t>
      </w:r>
      <w:r w:rsidRPr="0DFDB792">
        <w:rPr>
          <w:rFonts w:ascii="Verdana" w:hAnsi="Verdana" w:cs="Arial"/>
          <w:sz w:val="22"/>
          <w:szCs w:val="22"/>
        </w:rPr>
        <w:t xml:space="preserve"> observaciones internas, realizadas por el equipo técnico, jurídico y financiero.</w:t>
      </w:r>
    </w:p>
    <w:p w14:paraId="0773576C" w14:textId="77777777" w:rsidR="00E7045E" w:rsidRPr="001F5F0A" w:rsidRDefault="00E7045E" w:rsidP="00E7045E">
      <w:pPr>
        <w:jc w:val="both"/>
        <w:rPr>
          <w:rFonts w:ascii="Verdana" w:hAnsi="Verdana" w:cs="Arial"/>
          <w:sz w:val="22"/>
          <w:szCs w:val="22"/>
          <w:highlight w:val="yellow"/>
        </w:rPr>
      </w:pPr>
    </w:p>
    <w:p w14:paraId="6EED7025" w14:textId="5FE5E946" w:rsidR="00E7045E" w:rsidRPr="001F5F0A" w:rsidRDefault="00E7045E" w:rsidP="0DFDB792">
      <w:pPr>
        <w:jc w:val="both"/>
        <w:rPr>
          <w:rFonts w:ascii="Verdana" w:hAnsi="Verdana" w:cs="Arial"/>
          <w:sz w:val="22"/>
          <w:szCs w:val="22"/>
        </w:rPr>
      </w:pPr>
      <w:r w:rsidRPr="3BCD5C0E">
        <w:rPr>
          <w:rFonts w:ascii="Verdana" w:hAnsi="Verdana" w:cs="Arial"/>
          <w:sz w:val="22"/>
          <w:szCs w:val="22"/>
        </w:rPr>
        <w:t xml:space="preserve">Estas peticiones fueron clasificadas de la siguiente forma, para llegar a aquellas que implicarían </w:t>
      </w:r>
      <w:r w:rsidR="48D90B8B" w:rsidRPr="3BCD5C0E">
        <w:rPr>
          <w:rFonts w:ascii="Verdana" w:hAnsi="Verdana" w:cs="Arial"/>
          <w:sz w:val="22"/>
          <w:szCs w:val="22"/>
        </w:rPr>
        <w:t>realizar cambios</w:t>
      </w:r>
      <w:r w:rsidRPr="3BCD5C0E">
        <w:rPr>
          <w:rFonts w:ascii="Verdana" w:hAnsi="Verdana" w:cs="Arial"/>
          <w:sz w:val="22"/>
          <w:szCs w:val="22"/>
        </w:rPr>
        <w:t xml:space="preserve"> o ajustes sobre los Documento Tipo, Matriz</w:t>
      </w:r>
      <w:r w:rsidR="0518DA99" w:rsidRPr="3BCD5C0E">
        <w:rPr>
          <w:rFonts w:ascii="Verdana" w:hAnsi="Verdana" w:cs="Arial"/>
          <w:sz w:val="22"/>
          <w:szCs w:val="22"/>
        </w:rPr>
        <w:t>1</w:t>
      </w:r>
      <w:r w:rsidRPr="3BCD5C0E">
        <w:rPr>
          <w:rFonts w:ascii="Verdana" w:hAnsi="Verdana" w:cs="Arial"/>
          <w:sz w:val="22"/>
          <w:szCs w:val="22"/>
        </w:rPr>
        <w:t xml:space="preserve"> </w:t>
      </w:r>
      <w:r w:rsidR="530E553A" w:rsidRPr="3BCD5C0E">
        <w:rPr>
          <w:rFonts w:ascii="Verdana" w:hAnsi="Verdana" w:cs="Arial"/>
          <w:sz w:val="22"/>
          <w:szCs w:val="22"/>
        </w:rPr>
        <w:t>-</w:t>
      </w:r>
      <w:r w:rsidR="2BFACC86" w:rsidRPr="3BCD5C0E">
        <w:rPr>
          <w:rFonts w:ascii="Verdana" w:hAnsi="Verdana" w:cs="Arial"/>
          <w:sz w:val="22"/>
          <w:szCs w:val="22"/>
        </w:rPr>
        <w:t>E</w:t>
      </w:r>
      <w:r w:rsidRPr="3BCD5C0E">
        <w:rPr>
          <w:rFonts w:ascii="Verdana" w:hAnsi="Verdana" w:cs="Arial"/>
          <w:sz w:val="22"/>
          <w:szCs w:val="22"/>
        </w:rPr>
        <w:t xml:space="preserve">xperiencia y </w:t>
      </w:r>
      <w:r w:rsidR="551E984F" w:rsidRPr="3BCD5C0E">
        <w:rPr>
          <w:rFonts w:ascii="Verdana" w:hAnsi="Verdana" w:cs="Arial"/>
          <w:sz w:val="22"/>
          <w:szCs w:val="22"/>
        </w:rPr>
        <w:t xml:space="preserve">Anexo 3- </w:t>
      </w:r>
      <w:r w:rsidRPr="3BCD5C0E">
        <w:rPr>
          <w:rFonts w:ascii="Verdana" w:hAnsi="Verdana" w:cs="Arial"/>
          <w:sz w:val="22"/>
          <w:szCs w:val="22"/>
        </w:rPr>
        <w:t>Glosario Técnico:</w:t>
      </w:r>
    </w:p>
    <w:p w14:paraId="1D8840A5" w14:textId="7D1F8970" w:rsidR="00022D49" w:rsidRPr="001F5F0A" w:rsidRDefault="00022D49" w:rsidP="3BCD5C0E">
      <w:pPr>
        <w:jc w:val="both"/>
        <w:rPr>
          <w:rFonts w:ascii="Verdana" w:hAnsi="Verdana" w:cs="Arial"/>
          <w:sz w:val="22"/>
          <w:szCs w:val="22"/>
        </w:rPr>
      </w:pPr>
    </w:p>
    <w:tbl>
      <w:tblPr>
        <w:tblW w:w="0" w:type="auto"/>
        <w:tblLayout w:type="fixed"/>
        <w:tblLook w:val="06A0" w:firstRow="1" w:lastRow="0" w:firstColumn="1" w:lastColumn="0" w:noHBand="1" w:noVBand="1"/>
      </w:tblPr>
      <w:tblGrid>
        <w:gridCol w:w="3465"/>
        <w:gridCol w:w="3135"/>
        <w:gridCol w:w="3180"/>
      </w:tblGrid>
      <w:tr w:rsidR="3BCD5C0E" w14:paraId="64237E48" w14:textId="77777777" w:rsidTr="449377F1">
        <w:trPr>
          <w:trHeight w:val="300"/>
        </w:trPr>
        <w:tc>
          <w:tcPr>
            <w:tcW w:w="3465" w:type="dxa"/>
            <w:tcBorders>
              <w:top w:val="nil"/>
              <w:left w:val="nil"/>
              <w:bottom w:val="nil"/>
              <w:right w:val="nil"/>
            </w:tcBorders>
            <w:shd w:val="clear" w:color="auto" w:fill="EBEEF1"/>
            <w:vAlign w:val="center"/>
          </w:tcPr>
          <w:p w14:paraId="1DEE3FA9" w14:textId="23DC080E" w:rsidR="3BCD5C0E" w:rsidRDefault="3BCD5C0E"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Modalidad de Contratación</w:t>
            </w:r>
          </w:p>
        </w:tc>
        <w:tc>
          <w:tcPr>
            <w:tcW w:w="3135" w:type="dxa"/>
            <w:tcBorders>
              <w:top w:val="nil"/>
              <w:left w:val="nil"/>
              <w:bottom w:val="nil"/>
              <w:right w:val="nil"/>
            </w:tcBorders>
            <w:shd w:val="clear" w:color="auto" w:fill="EBEEF1"/>
            <w:vAlign w:val="center"/>
          </w:tcPr>
          <w:p w14:paraId="5E5B1241" w14:textId="0EBE5BD6" w:rsidR="3BCD5C0E" w:rsidRDefault="3BCD5C0E"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Observaciones recibidas de las mesas de trabajo técnicas</w:t>
            </w:r>
            <w:r w:rsidR="00365FA6">
              <w:rPr>
                <w:rFonts w:ascii="Verdana Pro" w:eastAsia="Verdana Pro" w:hAnsi="Verdana Pro" w:cs="Verdana Pro"/>
                <w:b/>
                <w:bCs/>
                <w:color w:val="000000" w:themeColor="text1"/>
                <w:sz w:val="22"/>
                <w:szCs w:val="22"/>
              </w:rPr>
              <w:t xml:space="preserve"> 2024</w:t>
            </w:r>
          </w:p>
        </w:tc>
        <w:tc>
          <w:tcPr>
            <w:tcW w:w="3180" w:type="dxa"/>
            <w:tcBorders>
              <w:top w:val="nil"/>
              <w:left w:val="nil"/>
              <w:bottom w:val="nil"/>
              <w:right w:val="nil"/>
            </w:tcBorders>
            <w:shd w:val="clear" w:color="auto" w:fill="EBEEF1"/>
            <w:vAlign w:val="center"/>
          </w:tcPr>
          <w:p w14:paraId="10F1FE71" w14:textId="07FDC3FE" w:rsidR="3BCD5C0E" w:rsidRDefault="3BCD5C0E"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Observaciones recibidas de ciudadanía general</w:t>
            </w:r>
            <w:r w:rsidR="00365FA6">
              <w:rPr>
                <w:rFonts w:ascii="Verdana Pro" w:eastAsia="Verdana Pro" w:hAnsi="Verdana Pro" w:cs="Verdana Pro"/>
                <w:b/>
                <w:bCs/>
                <w:color w:val="000000" w:themeColor="text1"/>
                <w:sz w:val="22"/>
                <w:szCs w:val="22"/>
              </w:rPr>
              <w:t xml:space="preserve"> 2021-2024</w:t>
            </w:r>
          </w:p>
        </w:tc>
      </w:tr>
      <w:tr w:rsidR="3BCD5C0E" w14:paraId="4E9BDB3B" w14:textId="77777777" w:rsidTr="449377F1">
        <w:trPr>
          <w:trHeight w:val="300"/>
        </w:trPr>
        <w:tc>
          <w:tcPr>
            <w:tcW w:w="3465" w:type="dxa"/>
            <w:tcBorders>
              <w:top w:val="nil"/>
              <w:left w:val="nil"/>
              <w:bottom w:val="nil"/>
              <w:right w:val="nil"/>
            </w:tcBorders>
            <w:shd w:val="clear" w:color="auto" w:fill="EBEEF1"/>
            <w:vAlign w:val="bottom"/>
          </w:tcPr>
          <w:p w14:paraId="3779823E" w14:textId="35FC3B14" w:rsidR="3BCD5C0E" w:rsidRDefault="3BCD5C0E"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Licitación de obra publica</w:t>
            </w:r>
          </w:p>
        </w:tc>
        <w:tc>
          <w:tcPr>
            <w:tcW w:w="3135" w:type="dxa"/>
            <w:tcBorders>
              <w:top w:val="nil"/>
              <w:left w:val="nil"/>
              <w:bottom w:val="nil"/>
              <w:right w:val="nil"/>
            </w:tcBorders>
            <w:vAlign w:val="bottom"/>
          </w:tcPr>
          <w:p w14:paraId="52C06C41" w14:textId="2D5DAACC" w:rsidR="3BCD5C0E" w:rsidRDefault="3BCD5C0E"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229</w:t>
            </w:r>
          </w:p>
        </w:tc>
        <w:tc>
          <w:tcPr>
            <w:tcW w:w="3180" w:type="dxa"/>
            <w:tcBorders>
              <w:top w:val="nil"/>
              <w:left w:val="nil"/>
              <w:bottom w:val="nil"/>
              <w:right w:val="nil"/>
            </w:tcBorders>
            <w:vAlign w:val="bottom"/>
          </w:tcPr>
          <w:p w14:paraId="641DE513" w14:textId="44C36215" w:rsidR="3BCD5C0E" w:rsidRDefault="3BCD5C0E"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25</w:t>
            </w:r>
          </w:p>
        </w:tc>
      </w:tr>
      <w:tr w:rsidR="3BCD5C0E" w14:paraId="6D5EBF8F" w14:textId="77777777" w:rsidTr="449377F1">
        <w:trPr>
          <w:trHeight w:val="315"/>
        </w:trPr>
        <w:tc>
          <w:tcPr>
            <w:tcW w:w="3465" w:type="dxa"/>
            <w:tcBorders>
              <w:top w:val="nil"/>
              <w:left w:val="nil"/>
              <w:bottom w:val="nil"/>
              <w:right w:val="nil"/>
            </w:tcBorders>
            <w:shd w:val="clear" w:color="auto" w:fill="EBEEF1"/>
            <w:vAlign w:val="bottom"/>
          </w:tcPr>
          <w:p w14:paraId="0DF8B865" w14:textId="22A2D9C8" w:rsidR="3BCD5C0E" w:rsidRDefault="3BCD5C0E"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 xml:space="preserve">Interventoría - Concurso de </w:t>
            </w:r>
            <w:r w:rsidR="7FA27A6A" w:rsidRPr="3BCD5C0E">
              <w:rPr>
                <w:rFonts w:ascii="Verdana Pro" w:eastAsia="Verdana Pro" w:hAnsi="Verdana Pro" w:cs="Verdana Pro"/>
                <w:b/>
                <w:bCs/>
                <w:color w:val="000000" w:themeColor="text1"/>
                <w:sz w:val="22"/>
                <w:szCs w:val="22"/>
              </w:rPr>
              <w:t>méritos</w:t>
            </w:r>
          </w:p>
        </w:tc>
        <w:tc>
          <w:tcPr>
            <w:tcW w:w="3135" w:type="dxa"/>
            <w:tcBorders>
              <w:top w:val="nil"/>
              <w:left w:val="nil"/>
              <w:bottom w:val="nil"/>
              <w:right w:val="nil"/>
            </w:tcBorders>
            <w:vAlign w:val="bottom"/>
          </w:tcPr>
          <w:p w14:paraId="1E60FCBD" w14:textId="3EC1F440" w:rsidR="3BCD5C0E" w:rsidRDefault="3BCD5C0E"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32</w:t>
            </w:r>
          </w:p>
        </w:tc>
        <w:tc>
          <w:tcPr>
            <w:tcW w:w="3180" w:type="dxa"/>
            <w:tcBorders>
              <w:top w:val="nil"/>
              <w:left w:val="nil"/>
              <w:bottom w:val="nil"/>
              <w:right w:val="nil"/>
            </w:tcBorders>
            <w:vAlign w:val="bottom"/>
          </w:tcPr>
          <w:p w14:paraId="3D4C8477" w14:textId="67AD3D8A" w:rsidR="3BCD5C0E" w:rsidRDefault="3BCD5C0E" w:rsidP="3BCD5C0E">
            <w:pPr>
              <w:jc w:val="center"/>
              <w:rPr>
                <w:rFonts w:ascii="Verdana Pro" w:eastAsia="Verdana Pro" w:hAnsi="Verdana Pro" w:cs="Verdana Pro"/>
                <w:color w:val="000000" w:themeColor="text1"/>
                <w:sz w:val="22"/>
                <w:szCs w:val="22"/>
              </w:rPr>
            </w:pPr>
            <w:r w:rsidRPr="3BCD5C0E">
              <w:rPr>
                <w:rFonts w:ascii="Verdana Pro" w:eastAsia="Verdana Pro" w:hAnsi="Verdana Pro" w:cs="Verdana Pro"/>
                <w:color w:val="000000" w:themeColor="text1"/>
                <w:sz w:val="22"/>
                <w:szCs w:val="22"/>
              </w:rPr>
              <w:t>12</w:t>
            </w:r>
          </w:p>
        </w:tc>
      </w:tr>
      <w:tr w:rsidR="3BCD5C0E" w14:paraId="423F5FC4" w14:textId="77777777" w:rsidTr="449377F1">
        <w:trPr>
          <w:trHeight w:val="300"/>
        </w:trPr>
        <w:tc>
          <w:tcPr>
            <w:tcW w:w="3465" w:type="dxa"/>
            <w:tcBorders>
              <w:top w:val="nil"/>
              <w:left w:val="nil"/>
              <w:bottom w:val="nil"/>
              <w:right w:val="nil"/>
            </w:tcBorders>
            <w:shd w:val="clear" w:color="auto" w:fill="EBEEF1"/>
            <w:vAlign w:val="bottom"/>
          </w:tcPr>
          <w:p w14:paraId="0D3CCF7C" w14:textId="68DD303D" w:rsidR="3BCD5C0E" w:rsidRDefault="3BCD5C0E" w:rsidP="3BCD5C0E">
            <w:pP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Totales</w:t>
            </w:r>
          </w:p>
        </w:tc>
        <w:tc>
          <w:tcPr>
            <w:tcW w:w="3135" w:type="dxa"/>
            <w:tcBorders>
              <w:top w:val="nil"/>
              <w:left w:val="nil"/>
              <w:bottom w:val="nil"/>
              <w:right w:val="nil"/>
            </w:tcBorders>
            <w:shd w:val="clear" w:color="auto" w:fill="EBEEF1"/>
            <w:vAlign w:val="bottom"/>
          </w:tcPr>
          <w:p w14:paraId="4A786411" w14:textId="001B5619" w:rsidR="3BCD5C0E" w:rsidRDefault="3BCD5C0E"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261</w:t>
            </w:r>
          </w:p>
        </w:tc>
        <w:tc>
          <w:tcPr>
            <w:tcW w:w="3180" w:type="dxa"/>
            <w:tcBorders>
              <w:top w:val="nil"/>
              <w:left w:val="nil"/>
              <w:bottom w:val="nil"/>
              <w:right w:val="nil"/>
            </w:tcBorders>
            <w:shd w:val="clear" w:color="auto" w:fill="EBEEF1"/>
            <w:vAlign w:val="bottom"/>
          </w:tcPr>
          <w:p w14:paraId="146F63AB" w14:textId="2AD1EB91" w:rsidR="3BCD5C0E" w:rsidRDefault="3BCD5C0E" w:rsidP="3BCD5C0E">
            <w:pPr>
              <w:jc w:val="center"/>
              <w:rPr>
                <w:rFonts w:ascii="Verdana Pro" w:eastAsia="Verdana Pro" w:hAnsi="Verdana Pro" w:cs="Verdana Pro"/>
                <w:b/>
                <w:bCs/>
                <w:color w:val="000000" w:themeColor="text1"/>
                <w:sz w:val="22"/>
                <w:szCs w:val="22"/>
              </w:rPr>
            </w:pPr>
            <w:r w:rsidRPr="3BCD5C0E">
              <w:rPr>
                <w:rFonts w:ascii="Verdana Pro" w:eastAsia="Verdana Pro" w:hAnsi="Verdana Pro" w:cs="Verdana Pro"/>
                <w:b/>
                <w:bCs/>
                <w:color w:val="000000" w:themeColor="text1"/>
                <w:sz w:val="22"/>
                <w:szCs w:val="22"/>
              </w:rPr>
              <w:t>37</w:t>
            </w:r>
          </w:p>
        </w:tc>
      </w:tr>
    </w:tbl>
    <w:p w14:paraId="2732491A" w14:textId="07ABB3A4" w:rsidR="00022D49" w:rsidRPr="001F5F0A" w:rsidRDefault="00022D49" w:rsidP="449377F1">
      <w:pPr>
        <w:pStyle w:val="Descripcin"/>
        <w:spacing w:after="0"/>
        <w:jc w:val="center"/>
        <w:rPr>
          <w:rFonts w:ascii="Verdana" w:hAnsi="Verdana"/>
          <w:sz w:val="22"/>
          <w:szCs w:val="22"/>
          <w:highlight w:val="yellow"/>
        </w:rPr>
      </w:pPr>
    </w:p>
    <w:p w14:paraId="303B6340" w14:textId="3CC06DCC" w:rsidR="00022D49" w:rsidRPr="00B00FCB" w:rsidRDefault="1FED84EC" w:rsidP="449377F1">
      <w:pPr>
        <w:pStyle w:val="Descripcin"/>
        <w:spacing w:after="0"/>
        <w:jc w:val="center"/>
        <w:rPr>
          <w:rFonts w:ascii="Verdana" w:hAnsi="Verdana" w:cs="Arial"/>
          <w:sz w:val="22"/>
          <w:szCs w:val="22"/>
        </w:rPr>
      </w:pPr>
      <w:r w:rsidRPr="00B00FCB">
        <w:rPr>
          <w:rFonts w:ascii="Verdana" w:hAnsi="Verdana"/>
          <w:sz w:val="22"/>
          <w:szCs w:val="22"/>
        </w:rPr>
        <w:t xml:space="preserve">Gráfica </w:t>
      </w:r>
      <w:r w:rsidR="00022D49" w:rsidRPr="00B00FCB">
        <w:rPr>
          <w:rFonts w:ascii="Verdana" w:hAnsi="Verdana"/>
          <w:sz w:val="22"/>
          <w:szCs w:val="22"/>
        </w:rPr>
        <w:fldChar w:fldCharType="begin"/>
      </w:r>
      <w:r w:rsidR="00022D49" w:rsidRPr="00B00FCB">
        <w:rPr>
          <w:rFonts w:ascii="Verdana" w:hAnsi="Verdana"/>
          <w:sz w:val="22"/>
          <w:szCs w:val="22"/>
        </w:rPr>
        <w:instrText xml:space="preserve"> SEQ Gráfica \* ARABIC </w:instrText>
      </w:r>
      <w:r w:rsidR="00022D49" w:rsidRPr="00B00FCB">
        <w:rPr>
          <w:rFonts w:ascii="Verdana" w:hAnsi="Verdana"/>
          <w:sz w:val="22"/>
          <w:szCs w:val="22"/>
        </w:rPr>
        <w:fldChar w:fldCharType="separate"/>
      </w:r>
      <w:r w:rsidRPr="00B00FCB">
        <w:rPr>
          <w:rFonts w:ascii="Verdana" w:hAnsi="Verdana"/>
          <w:noProof/>
          <w:sz w:val="22"/>
          <w:szCs w:val="22"/>
        </w:rPr>
        <w:t>25</w:t>
      </w:r>
      <w:r w:rsidR="00022D49" w:rsidRPr="00B00FCB">
        <w:rPr>
          <w:rFonts w:ascii="Verdana" w:hAnsi="Verdana"/>
          <w:sz w:val="22"/>
          <w:szCs w:val="22"/>
        </w:rPr>
        <w:fldChar w:fldCharType="end"/>
      </w:r>
      <w:r w:rsidRPr="00B00FCB">
        <w:rPr>
          <w:rFonts w:ascii="Verdana" w:hAnsi="Verdana"/>
          <w:sz w:val="22"/>
          <w:szCs w:val="22"/>
        </w:rPr>
        <w:t>. Observaciones</w:t>
      </w:r>
    </w:p>
    <w:p w14:paraId="0405FD4A" w14:textId="197E225E" w:rsidR="00022D49" w:rsidRPr="001F5F0A" w:rsidRDefault="00022D49" w:rsidP="3BCD5C0E">
      <w:pPr>
        <w:jc w:val="both"/>
        <w:rPr>
          <w:rFonts w:ascii="Verdana" w:hAnsi="Verdana" w:cs="Arial"/>
          <w:sz w:val="22"/>
          <w:szCs w:val="22"/>
        </w:rPr>
      </w:pPr>
    </w:p>
    <w:p w14:paraId="30DC5A6C" w14:textId="4335DC79" w:rsidR="00022D49" w:rsidRPr="001F5F0A" w:rsidRDefault="0B2819D9" w:rsidP="3BCD5C0E">
      <w:pPr>
        <w:jc w:val="center"/>
      </w:pPr>
      <w:r>
        <w:rPr>
          <w:noProof/>
        </w:rPr>
        <w:drawing>
          <wp:inline distT="0" distB="0" distL="0" distR="0" wp14:anchorId="48F5D374" wp14:editId="25122F9E">
            <wp:extent cx="5295898" cy="3175890"/>
            <wp:effectExtent l="0" t="0" r="0" b="0"/>
            <wp:docPr id="1763108222" name="Picture 176310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5295898" cy="3175890"/>
                    </a:xfrm>
                    <a:prstGeom prst="rect">
                      <a:avLst/>
                    </a:prstGeom>
                  </pic:spPr>
                </pic:pic>
              </a:graphicData>
            </a:graphic>
          </wp:inline>
        </w:drawing>
      </w:r>
    </w:p>
    <w:p w14:paraId="251CC0A4" w14:textId="05BA2308" w:rsidR="00E7045E" w:rsidRPr="001F5F0A" w:rsidRDefault="00E7045E" w:rsidP="00E7045E">
      <w:pPr>
        <w:jc w:val="center"/>
      </w:pPr>
    </w:p>
    <w:p w14:paraId="5B170B53" w14:textId="2D41583B" w:rsidR="00E7045E" w:rsidRPr="001F5F0A" w:rsidRDefault="000F7F54" w:rsidP="000F7F54">
      <w:pPr>
        <w:jc w:val="center"/>
        <w:rPr>
          <w:rFonts w:ascii="Verdana" w:hAnsi="Verdana" w:cs="Arial"/>
          <w:sz w:val="16"/>
          <w:szCs w:val="16"/>
          <w:highlight w:val="yellow"/>
        </w:rPr>
      </w:pPr>
      <w:r w:rsidRPr="00B00FCB">
        <w:rPr>
          <w:rFonts w:ascii="Verdana" w:hAnsi="Verdana" w:cs="Arial"/>
          <w:sz w:val="16"/>
          <w:szCs w:val="16"/>
        </w:rPr>
        <w:t>Elaboración propia</w:t>
      </w:r>
    </w:p>
    <w:p w14:paraId="4CC06FB8" w14:textId="77777777" w:rsidR="000F7F54" w:rsidRPr="001F5F0A" w:rsidRDefault="000F7F54" w:rsidP="00E7045E">
      <w:pPr>
        <w:jc w:val="both"/>
        <w:rPr>
          <w:rFonts w:ascii="Verdana" w:hAnsi="Verdana" w:cs="Arial"/>
          <w:sz w:val="22"/>
          <w:szCs w:val="22"/>
          <w:highlight w:val="yellow"/>
        </w:rPr>
      </w:pPr>
    </w:p>
    <w:p w14:paraId="3264007E" w14:textId="3BC8DD92" w:rsidR="3BCD5C0E" w:rsidRDefault="3BCD5C0E" w:rsidP="3BCD5C0E">
      <w:pPr>
        <w:jc w:val="both"/>
        <w:rPr>
          <w:rFonts w:ascii="Verdana" w:hAnsi="Verdana" w:cs="Arial"/>
          <w:sz w:val="22"/>
          <w:szCs w:val="22"/>
          <w:highlight w:val="yellow"/>
        </w:rPr>
      </w:pPr>
    </w:p>
    <w:p w14:paraId="1E1A4E63" w14:textId="0212220F" w:rsidR="00E7045E" w:rsidRPr="001F5F0A" w:rsidRDefault="00E7045E" w:rsidP="0DFDB792">
      <w:pPr>
        <w:jc w:val="both"/>
        <w:rPr>
          <w:rFonts w:ascii="Verdana" w:hAnsi="Verdana" w:cs="Arial"/>
          <w:sz w:val="22"/>
          <w:szCs w:val="22"/>
        </w:rPr>
      </w:pPr>
      <w:r w:rsidRPr="0C601FD4">
        <w:rPr>
          <w:rFonts w:ascii="Verdana" w:hAnsi="Verdana" w:cs="Arial"/>
          <w:sz w:val="22"/>
          <w:szCs w:val="22"/>
        </w:rPr>
        <w:lastRenderedPageBreak/>
        <w:t xml:space="preserve">Del total de las observaciones revisadas, se encontró que las que podrían generar impacto para evaluar su incorporación en las modificaciones a los Documentos tipo de Infraestructura </w:t>
      </w:r>
      <w:r w:rsidR="7EF6EC3A" w:rsidRPr="0C601FD4">
        <w:rPr>
          <w:rFonts w:ascii="Verdana" w:hAnsi="Verdana" w:cs="Arial"/>
          <w:sz w:val="22"/>
          <w:szCs w:val="22"/>
        </w:rPr>
        <w:t>Social</w:t>
      </w:r>
      <w:r w:rsidRPr="0C601FD4">
        <w:rPr>
          <w:rFonts w:ascii="Verdana" w:hAnsi="Verdana" w:cs="Arial"/>
          <w:sz w:val="22"/>
          <w:szCs w:val="22"/>
        </w:rPr>
        <w:t xml:space="preserve"> estarían contenidas en las siguientes:</w:t>
      </w:r>
    </w:p>
    <w:p w14:paraId="723E00A2" w14:textId="77777777" w:rsidR="00E7045E" w:rsidRPr="001F5F0A" w:rsidRDefault="00E7045E" w:rsidP="00E7045E">
      <w:pPr>
        <w:jc w:val="both"/>
        <w:rPr>
          <w:rFonts w:ascii="Verdana" w:hAnsi="Verdana" w:cs="Arial"/>
          <w:sz w:val="22"/>
          <w:szCs w:val="22"/>
          <w:highlight w:val="yellow"/>
        </w:rPr>
      </w:pPr>
    </w:p>
    <w:p w14:paraId="0298C4F5" w14:textId="43489F5B" w:rsidR="654F21DC" w:rsidRDefault="654F21DC" w:rsidP="449377F1">
      <w:pPr>
        <w:pStyle w:val="Prrafodelista"/>
        <w:numPr>
          <w:ilvl w:val="0"/>
          <w:numId w:val="40"/>
        </w:numPr>
        <w:rPr>
          <w:rFonts w:ascii="Verdana" w:hAnsi="Verdana" w:cs="Arial"/>
        </w:rPr>
      </w:pPr>
      <w:r w:rsidRPr="449377F1">
        <w:rPr>
          <w:rFonts w:ascii="Verdana" w:hAnsi="Verdana" w:cs="Arial"/>
        </w:rPr>
        <w:t xml:space="preserve">Observaciones generales y normativas a los DT del sector Social relativas a la pluralidad que se tiene con los DT, </w:t>
      </w:r>
    </w:p>
    <w:p w14:paraId="73679041" w14:textId="012BB626" w:rsidR="654F21DC" w:rsidRDefault="654F21DC" w:rsidP="449377F1">
      <w:pPr>
        <w:pStyle w:val="Prrafodelista"/>
        <w:numPr>
          <w:ilvl w:val="0"/>
          <w:numId w:val="40"/>
        </w:numPr>
        <w:rPr>
          <w:rFonts w:ascii="Verdana" w:hAnsi="Verdana" w:cs="Arial"/>
        </w:rPr>
      </w:pPr>
      <w:r w:rsidRPr="449377F1">
        <w:rPr>
          <w:rFonts w:ascii="Verdana" w:hAnsi="Verdana" w:cs="Arial"/>
        </w:rPr>
        <w:t xml:space="preserve">Solicitudes de fecha de implementación e incumplimiento por parte de las entidades de implementar los DT, </w:t>
      </w:r>
    </w:p>
    <w:p w14:paraId="74E3F529" w14:textId="37FA3827" w:rsidR="654F21DC" w:rsidRDefault="654F21DC" w:rsidP="449377F1">
      <w:pPr>
        <w:pStyle w:val="Prrafodelista"/>
        <w:numPr>
          <w:ilvl w:val="0"/>
          <w:numId w:val="40"/>
        </w:numPr>
        <w:rPr>
          <w:rFonts w:ascii="Verdana" w:hAnsi="Verdana" w:cs="Arial"/>
        </w:rPr>
      </w:pPr>
      <w:r w:rsidRPr="449377F1">
        <w:rPr>
          <w:rFonts w:ascii="Verdana" w:hAnsi="Verdana" w:cs="Arial"/>
        </w:rPr>
        <w:t xml:space="preserve">Solicitudes de inclusión de nuevos sectores a regular con DT, como: </w:t>
      </w:r>
    </w:p>
    <w:p w14:paraId="45A069F9" w14:textId="07540388"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i) Plazas de mercado, </w:t>
      </w:r>
    </w:p>
    <w:p w14:paraId="5CEB8544" w14:textId="1EB40A81"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ii) Interventoría sector Social,  </w:t>
      </w:r>
    </w:p>
    <w:p w14:paraId="05988CF3" w14:textId="50DEE425"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iii Menor cuantía sector Social, </w:t>
      </w:r>
    </w:p>
    <w:p w14:paraId="45077A91" w14:textId="606AF3E8"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iv) Sector Turismo, </w:t>
      </w:r>
    </w:p>
    <w:p w14:paraId="497B425F" w14:textId="1F8BC393"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ii) Policía, sector defensa, </w:t>
      </w:r>
    </w:p>
    <w:p w14:paraId="3CA197BD" w14:textId="2CD80108"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v) Sector Eléctrico, </w:t>
      </w:r>
    </w:p>
    <w:p w14:paraId="334AF7D2" w14:textId="301DF101"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vi) Obras Institucionales, </w:t>
      </w:r>
    </w:p>
    <w:p w14:paraId="6D412F9C" w14:textId="348EAC43" w:rsidR="654F21DC" w:rsidRDefault="654F21DC" w:rsidP="449377F1">
      <w:pPr>
        <w:ind w:left="1440"/>
        <w:jc w:val="both"/>
        <w:rPr>
          <w:rFonts w:ascii="Verdana" w:hAnsi="Verdana" w:cs="Arial"/>
          <w:sz w:val="22"/>
          <w:szCs w:val="22"/>
        </w:rPr>
      </w:pPr>
      <w:r w:rsidRPr="449377F1">
        <w:rPr>
          <w:rFonts w:ascii="Verdana" w:hAnsi="Verdana" w:cs="Arial"/>
          <w:sz w:val="22"/>
          <w:szCs w:val="22"/>
        </w:rPr>
        <w:t xml:space="preserve">vii) Sector de comunicaciones y </w:t>
      </w:r>
    </w:p>
    <w:p w14:paraId="18F4C31C" w14:textId="5E2F1E48" w:rsidR="654F21DC" w:rsidRDefault="654F21DC" w:rsidP="449377F1">
      <w:pPr>
        <w:ind w:left="1440"/>
        <w:jc w:val="both"/>
        <w:rPr>
          <w:rFonts w:ascii="Verdana" w:hAnsi="Verdana" w:cs="Arial"/>
          <w:sz w:val="22"/>
          <w:szCs w:val="22"/>
        </w:rPr>
      </w:pPr>
      <w:r w:rsidRPr="449377F1">
        <w:rPr>
          <w:rFonts w:ascii="Verdana" w:hAnsi="Verdana" w:cs="Arial"/>
          <w:sz w:val="22"/>
          <w:szCs w:val="22"/>
        </w:rPr>
        <w:t>viii) Viviendas de interés social – VIS</w:t>
      </w:r>
    </w:p>
    <w:p w14:paraId="7B599BB6" w14:textId="76948DD6" w:rsidR="654F21DC" w:rsidRDefault="654F21DC" w:rsidP="449377F1">
      <w:pPr>
        <w:ind w:left="1440"/>
        <w:jc w:val="both"/>
        <w:rPr>
          <w:rFonts w:ascii="Verdana" w:hAnsi="Verdana" w:cs="Arial"/>
          <w:sz w:val="22"/>
          <w:szCs w:val="22"/>
        </w:rPr>
      </w:pPr>
      <w:r w:rsidRPr="449377F1">
        <w:rPr>
          <w:rFonts w:ascii="Verdana" w:hAnsi="Verdana" w:cs="Arial"/>
          <w:sz w:val="22"/>
          <w:szCs w:val="22"/>
        </w:rPr>
        <w:t>ix) Policía, Sector defensa,</w:t>
      </w:r>
    </w:p>
    <w:p w14:paraId="5769B231" w14:textId="628A2A37" w:rsidR="654F21DC" w:rsidRDefault="654F21DC" w:rsidP="449377F1">
      <w:pPr>
        <w:pStyle w:val="Prrafodelista"/>
        <w:numPr>
          <w:ilvl w:val="0"/>
          <w:numId w:val="39"/>
        </w:numPr>
        <w:rPr>
          <w:rFonts w:ascii="Verdana" w:hAnsi="Verdana" w:cs="Arial"/>
        </w:rPr>
      </w:pPr>
      <w:r w:rsidRPr="449377F1">
        <w:rPr>
          <w:rFonts w:ascii="Verdana" w:hAnsi="Verdana" w:cs="Arial"/>
        </w:rPr>
        <w:t>Aclarar el marco de un centro de atención integral de convivencia ciudadana.</w:t>
      </w:r>
    </w:p>
    <w:p w14:paraId="0F232D79" w14:textId="51F6AB1B" w:rsidR="654F21DC" w:rsidRDefault="654F21DC" w:rsidP="449377F1">
      <w:pPr>
        <w:pStyle w:val="Prrafodelista"/>
        <w:numPr>
          <w:ilvl w:val="0"/>
          <w:numId w:val="39"/>
        </w:numPr>
        <w:rPr>
          <w:rFonts w:ascii="Verdana" w:hAnsi="Verdana" w:cs="Arial"/>
        </w:rPr>
      </w:pPr>
      <w:r w:rsidRPr="449377F1">
        <w:rPr>
          <w:rFonts w:ascii="Verdana" w:hAnsi="Verdana" w:cs="Arial"/>
        </w:rPr>
        <w:t>Solicitud de incluir un grado de experiencia más específico relacionado con la actividad “instalación” de cubiertas, u otros que permitan la inclusión de actividades complementarias como el componente de ingeniería de detalle, suministro e instalación de cubiertas tipo membrana por parte de Mincultura.</w:t>
      </w:r>
    </w:p>
    <w:p w14:paraId="13B45E25" w14:textId="0B61877A" w:rsidR="654F21DC" w:rsidRDefault="654F21DC" w:rsidP="449377F1">
      <w:pPr>
        <w:pStyle w:val="Prrafodelista"/>
        <w:numPr>
          <w:ilvl w:val="0"/>
          <w:numId w:val="39"/>
        </w:numPr>
        <w:rPr>
          <w:rFonts w:ascii="Verdana" w:hAnsi="Verdana" w:cs="Arial"/>
        </w:rPr>
      </w:pPr>
      <w:r w:rsidRPr="449377F1">
        <w:rPr>
          <w:rFonts w:ascii="Verdana" w:hAnsi="Verdana" w:cs="Arial"/>
        </w:rPr>
        <w:t>Aclarar el marco de un hogar agrupado del ICBF.</w:t>
      </w:r>
    </w:p>
    <w:p w14:paraId="02B2EDC6" w14:textId="111E2D78" w:rsidR="654F21DC" w:rsidRDefault="654F21DC" w:rsidP="449377F1">
      <w:pPr>
        <w:pStyle w:val="Prrafodelista"/>
        <w:numPr>
          <w:ilvl w:val="0"/>
          <w:numId w:val="39"/>
        </w:numPr>
        <w:rPr>
          <w:rFonts w:ascii="Verdana" w:hAnsi="Verdana" w:cs="Arial"/>
        </w:rPr>
      </w:pPr>
      <w:r w:rsidRPr="449377F1">
        <w:rPr>
          <w:rFonts w:ascii="Verdana" w:hAnsi="Verdana" w:cs="Arial"/>
        </w:rPr>
        <w:t>Aclarar el marco de un centro de desarrollo infantil – CDI.</w:t>
      </w:r>
    </w:p>
    <w:p w14:paraId="7239CF22" w14:textId="3DCD95A6" w:rsidR="654F21DC" w:rsidRDefault="654F21DC" w:rsidP="449377F1">
      <w:pPr>
        <w:pStyle w:val="Prrafodelista"/>
        <w:numPr>
          <w:ilvl w:val="0"/>
          <w:numId w:val="39"/>
        </w:numPr>
        <w:rPr>
          <w:rFonts w:ascii="Verdana" w:hAnsi="Verdana" w:cs="Arial"/>
        </w:rPr>
      </w:pPr>
      <w:r w:rsidRPr="449377F1">
        <w:rPr>
          <w:rFonts w:ascii="Verdana" w:hAnsi="Verdana" w:cs="Arial"/>
        </w:rPr>
        <w:t>Aclarar si un andén de una vía al no ser vehicular se puede acreditar como experiencia.</w:t>
      </w:r>
    </w:p>
    <w:p w14:paraId="3E28BDF1" w14:textId="6E732A27" w:rsidR="654F21DC" w:rsidRDefault="654F21DC" w:rsidP="449377F1">
      <w:pPr>
        <w:pStyle w:val="Prrafodelista"/>
        <w:numPr>
          <w:ilvl w:val="0"/>
          <w:numId w:val="39"/>
        </w:numPr>
        <w:rPr>
          <w:rFonts w:ascii="Verdana" w:hAnsi="Verdana" w:cs="Arial"/>
        </w:rPr>
      </w:pPr>
      <w:r w:rsidRPr="449377F1">
        <w:rPr>
          <w:rFonts w:ascii="Verdana" w:hAnsi="Verdana" w:cs="Arial"/>
        </w:rPr>
        <w:t xml:space="preserve">Observaciones financieras a los DT. </w:t>
      </w:r>
    </w:p>
    <w:p w14:paraId="4D106F94" w14:textId="16BCE5A7" w:rsidR="654F21DC" w:rsidRDefault="654F21DC" w:rsidP="449377F1">
      <w:pPr>
        <w:pStyle w:val="Prrafodelista"/>
        <w:numPr>
          <w:ilvl w:val="0"/>
          <w:numId w:val="39"/>
        </w:numPr>
        <w:rPr>
          <w:rFonts w:ascii="Verdana" w:hAnsi="Verdana" w:cs="Arial"/>
        </w:rPr>
      </w:pPr>
      <w:r w:rsidRPr="449377F1">
        <w:rPr>
          <w:rFonts w:ascii="Verdana" w:hAnsi="Verdana" w:cs="Arial"/>
        </w:rPr>
        <w:t>Observaciones con relación a la generalidad de la experiencia especifica y general de las actividades a contratar.</w:t>
      </w:r>
    </w:p>
    <w:p w14:paraId="178E7BFA" w14:textId="7F566BCD" w:rsidR="654F21DC" w:rsidRDefault="654F21DC" w:rsidP="449377F1">
      <w:pPr>
        <w:pStyle w:val="Prrafodelista"/>
        <w:numPr>
          <w:ilvl w:val="0"/>
          <w:numId w:val="39"/>
        </w:numPr>
        <w:rPr>
          <w:rFonts w:ascii="Verdana" w:hAnsi="Verdana" w:cs="Arial"/>
        </w:rPr>
      </w:pPr>
      <w:r w:rsidRPr="449377F1">
        <w:rPr>
          <w:rFonts w:ascii="Verdana" w:hAnsi="Verdana" w:cs="Arial"/>
        </w:rPr>
        <w:t>Inalterabilidad de los DT</w:t>
      </w:r>
    </w:p>
    <w:p w14:paraId="532CD1FD" w14:textId="26D70A2B" w:rsidR="654F21DC" w:rsidRDefault="654F21DC" w:rsidP="449377F1">
      <w:pPr>
        <w:jc w:val="both"/>
        <w:rPr>
          <w:rFonts w:ascii="Verdana" w:hAnsi="Verdana" w:cs="Arial"/>
          <w:sz w:val="22"/>
          <w:szCs w:val="22"/>
        </w:rPr>
      </w:pPr>
      <w:r w:rsidRPr="449377F1">
        <w:rPr>
          <w:rFonts w:ascii="Verdana" w:hAnsi="Verdana" w:cs="Arial"/>
          <w:sz w:val="22"/>
          <w:szCs w:val="22"/>
        </w:rPr>
        <w:t xml:space="preserve">Lo anterior, originó a la evaluación y análisis de las siguientes peticiones que tienen el potencial de generar modificaciones a los Documentos Tipo en especial a las matrices de experiencia y sus glosarios.  </w:t>
      </w:r>
    </w:p>
    <w:p w14:paraId="6DCC77E8" w14:textId="2C8646CF" w:rsidR="449377F1" w:rsidRDefault="449377F1" w:rsidP="449377F1">
      <w:pPr>
        <w:jc w:val="both"/>
        <w:rPr>
          <w:rFonts w:ascii="Verdana" w:hAnsi="Verdana" w:cs="Arial"/>
          <w:sz w:val="22"/>
          <w:szCs w:val="22"/>
          <w:highlight w:val="yellow"/>
        </w:rPr>
      </w:pPr>
    </w:p>
    <w:p w14:paraId="231AD258" w14:textId="27440867" w:rsidR="247C4FBB" w:rsidRDefault="247C4FBB"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rPr>
        <w:lastRenderedPageBreak/>
        <w:t>Asi mismo y de conformidad con las r</w:t>
      </w:r>
      <w:r w:rsidR="4221932D" w:rsidRPr="449377F1">
        <w:rPr>
          <w:rFonts w:ascii="Verdana Pro" w:eastAsia="Verdana Pro" w:hAnsi="Verdana Pro" w:cs="Verdana Pro"/>
          <w:color w:val="000000" w:themeColor="text1"/>
          <w:sz w:val="22"/>
          <w:szCs w:val="22"/>
        </w:rPr>
        <w:t>ecomendaciones efectuadas por DNP</w:t>
      </w:r>
      <w:r w:rsidR="44C07923" w:rsidRPr="449377F1">
        <w:rPr>
          <w:rFonts w:ascii="Verdana Pro" w:eastAsia="Verdana Pro" w:hAnsi="Verdana Pro" w:cs="Verdana Pro"/>
          <w:color w:val="000000" w:themeColor="text1"/>
          <w:sz w:val="22"/>
          <w:szCs w:val="22"/>
        </w:rPr>
        <w:t xml:space="preserve">, desde la </w:t>
      </w:r>
      <w:r w:rsidR="4221932D" w:rsidRPr="449377F1">
        <w:rPr>
          <w:rFonts w:ascii="Verdana Pro" w:eastAsia="Verdana Pro" w:hAnsi="Verdana Pro" w:cs="Verdana Pro"/>
          <w:color w:val="000000" w:themeColor="text1"/>
          <w:sz w:val="22"/>
          <w:szCs w:val="22"/>
        </w:rPr>
        <w:t xml:space="preserve">Dirección de Ambiente y Desarrollo Sostenible, </w:t>
      </w:r>
      <w:r w:rsidR="60B04A88" w:rsidRPr="449377F1">
        <w:rPr>
          <w:rFonts w:ascii="Verdana Pro" w:eastAsia="Verdana Pro" w:hAnsi="Verdana Pro" w:cs="Verdana Pro"/>
          <w:color w:val="0000FF"/>
          <w:sz w:val="22"/>
          <w:szCs w:val="22"/>
          <w:u w:val="single"/>
        </w:rPr>
        <w:t xml:space="preserve">de </w:t>
      </w:r>
      <w:r w:rsidR="4221932D" w:rsidRPr="449377F1">
        <w:rPr>
          <w:rFonts w:ascii="Verdana Pro" w:eastAsia="Verdana Pro" w:hAnsi="Verdana Pro" w:cs="Verdana Pro"/>
          <w:color w:val="000000" w:themeColor="text1"/>
          <w:sz w:val="22"/>
          <w:szCs w:val="22"/>
          <w:lang w:val="es-419"/>
        </w:rPr>
        <w:t>conform</w:t>
      </w:r>
      <w:r w:rsidR="1DBFA733" w:rsidRPr="449377F1">
        <w:rPr>
          <w:rFonts w:ascii="Verdana Pro" w:eastAsia="Verdana Pro" w:hAnsi="Verdana Pro" w:cs="Verdana Pro"/>
          <w:color w:val="000000" w:themeColor="text1"/>
          <w:sz w:val="22"/>
          <w:szCs w:val="22"/>
          <w:lang w:val="es-419"/>
        </w:rPr>
        <w:t>idad</w:t>
      </w:r>
      <w:r w:rsidR="4221932D" w:rsidRPr="449377F1">
        <w:rPr>
          <w:rFonts w:ascii="Verdana Pro" w:eastAsia="Verdana Pro" w:hAnsi="Verdana Pro" w:cs="Verdana Pro"/>
          <w:color w:val="000000" w:themeColor="text1"/>
          <w:sz w:val="22"/>
          <w:szCs w:val="22"/>
          <w:lang w:val="es-419"/>
        </w:rPr>
        <w:t xml:space="preserve"> con los compromisos definidos en la mesa de trabajo del día 10 de noviembre, de 2023: </w:t>
      </w:r>
    </w:p>
    <w:p w14:paraId="29FF4FD2" w14:textId="2EFB560F"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64740FA8" w14:textId="07DF5C21" w:rsidR="4221932D" w:rsidRDefault="4221932D" w:rsidP="449377F1">
      <w:pPr>
        <w:pStyle w:val="Prrafodelista"/>
        <w:numPr>
          <w:ilvl w:val="0"/>
          <w:numId w:val="38"/>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Memorias de la mesa de trabajo realizada el día 10 de noviembre, de la cual se adjunta la presentación para el sector planeación y la memoria de la mesa de trabajo realizada el día 16 de agosto de 2023.</w:t>
      </w:r>
    </w:p>
    <w:p w14:paraId="55DA86EF" w14:textId="2969182D" w:rsidR="4221932D" w:rsidRDefault="4221932D" w:rsidP="449377F1">
      <w:pPr>
        <w:pStyle w:val="Prrafodelista"/>
        <w:numPr>
          <w:ilvl w:val="0"/>
          <w:numId w:val="38"/>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Formato en Excel para el diligenciamiento de las propuestas de proyecto (como ejemplo, se encuentran los proyectos que se trabajaron en la actualización y ejecutados en 2022).</w:t>
      </w:r>
    </w:p>
    <w:p w14:paraId="406E9751" w14:textId="05589A71"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164428EB" w14:textId="1142CD02"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Adicional a lo anterior, es importante mencionar que los compromisos abordados en la reunión están en el siguiente marco:</w:t>
      </w:r>
    </w:p>
    <w:p w14:paraId="4FD3545F" w14:textId="618C15AD"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38AACECC" w14:textId="33D637F8" w:rsidR="4221932D" w:rsidRDefault="4221932D" w:rsidP="449377F1">
      <w:pPr>
        <w:pStyle w:val="Prrafodelista"/>
        <w:numPr>
          <w:ilvl w:val="0"/>
          <w:numId w:val="37"/>
        </w:numPr>
        <w:spacing w:after="0" w:line="276" w:lineRule="auto"/>
        <w:rPr>
          <w:rFonts w:ascii="Verdana Pro" w:eastAsia="Verdana Pro" w:hAnsi="Verdana Pro" w:cs="Verdana Pro"/>
          <w:b/>
          <w:bCs/>
          <w:color w:val="000000" w:themeColor="text1"/>
          <w:lang w:val="es-419"/>
        </w:rPr>
      </w:pPr>
      <w:r w:rsidRPr="449377F1">
        <w:rPr>
          <w:rFonts w:ascii="Verdana Pro" w:eastAsia="Verdana Pro" w:hAnsi="Verdana Pro" w:cs="Verdana Pro"/>
          <w:b/>
          <w:bCs/>
          <w:color w:val="000000" w:themeColor="text1"/>
          <w:lang w:val="es-419"/>
        </w:rPr>
        <w:t>Actualización del Plan Nacional de Gestión del Riesgo de Desastres-PNGRD:</w:t>
      </w:r>
    </w:p>
    <w:p w14:paraId="26753E7E" w14:textId="1216FCE4"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254BDB23" w14:textId="68F919AA"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El PNGRD debe ser actualizado en su componente programático cada que se promulga un nuevo Plan Nacional de Desarrollo. En esa medida, a la fecha participan 23 sectores, que en el ámbito de sus competencias contribuyen al cumplimiento de los objetivos estratégicos del plan:</w:t>
      </w:r>
    </w:p>
    <w:p w14:paraId="546CF1BE" w14:textId="3C9C9FFD"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1085DD07" w14:textId="692BB7B2" w:rsidR="4221932D" w:rsidRDefault="4221932D" w:rsidP="449377F1">
      <w:pPr>
        <w:pStyle w:val="Prrafodelista"/>
        <w:numPr>
          <w:ilvl w:val="0"/>
          <w:numId w:val="36"/>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Mejorar el conocimiento del riesgo de desastres en el territorio nacional</w:t>
      </w:r>
    </w:p>
    <w:p w14:paraId="50DC0306" w14:textId="5030EEFE" w:rsidR="4221932D" w:rsidRDefault="4221932D" w:rsidP="449377F1">
      <w:pPr>
        <w:pStyle w:val="Prrafodelista"/>
        <w:numPr>
          <w:ilvl w:val="0"/>
          <w:numId w:val="36"/>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Reducir la construcción de nuevas condiciones de riesgos en el desarrollo territorial, sectorial y ambiental</w:t>
      </w:r>
    </w:p>
    <w:p w14:paraId="2B42EE43" w14:textId="143C429C" w:rsidR="4221932D" w:rsidRDefault="4221932D" w:rsidP="449377F1">
      <w:pPr>
        <w:pStyle w:val="Prrafodelista"/>
        <w:numPr>
          <w:ilvl w:val="0"/>
          <w:numId w:val="36"/>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Reducir las condiciones existentes de riesgo de desastres</w:t>
      </w:r>
    </w:p>
    <w:p w14:paraId="608DA0FF" w14:textId="56244946" w:rsidR="4221932D" w:rsidRDefault="4221932D" w:rsidP="449377F1">
      <w:pPr>
        <w:pStyle w:val="Prrafodelista"/>
        <w:numPr>
          <w:ilvl w:val="0"/>
          <w:numId w:val="36"/>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Garantizar un oportuno, eficaz y adecuado manejo de desastres</w:t>
      </w:r>
    </w:p>
    <w:p w14:paraId="4CF542CD" w14:textId="1F5E3DBE" w:rsidR="4221932D" w:rsidRDefault="4221932D" w:rsidP="449377F1">
      <w:pPr>
        <w:pStyle w:val="Prrafodelista"/>
        <w:numPr>
          <w:ilvl w:val="0"/>
          <w:numId w:val="36"/>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Fortalecer la gobernanza, la educación y comunicación social en la gestión del riesgo con enfoque diferencial, de diversidad cultural y género</w:t>
      </w:r>
    </w:p>
    <w:p w14:paraId="7F022C64" w14:textId="21E9B887"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681DCE6B" w14:textId="6ABB84F6"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Es importante mencionar que en el marco de la actualización del PNGRD que se realizó entre 2020 y 2022, adoptada mediante el Decreto 1478 de 2022, el sector planeación (Departamento Nacional de Planeación, Colombia Compra Eficiente y a </w:t>
      </w:r>
      <w:r w:rsidRPr="449377F1">
        <w:rPr>
          <w:rFonts w:ascii="Verdana Pro" w:eastAsia="Verdana Pro" w:hAnsi="Verdana Pro" w:cs="Verdana Pro"/>
          <w:color w:val="000000" w:themeColor="text1"/>
          <w:sz w:val="22"/>
          <w:szCs w:val="22"/>
          <w:lang w:val="es-419"/>
        </w:rPr>
        <w:lastRenderedPageBreak/>
        <w:t>Superintendencia de Servicios Públicos Domiciliarios) acordaron desarrollar como proyectos:</w:t>
      </w:r>
    </w:p>
    <w:p w14:paraId="200F82F4" w14:textId="26BDBF9A"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7D5D2D12" w14:textId="76CC48A4" w:rsidR="4221932D" w:rsidRDefault="4221932D" w:rsidP="449377F1">
      <w:pPr>
        <w:pStyle w:val="Prrafodelista"/>
        <w:numPr>
          <w:ilvl w:val="0"/>
          <w:numId w:val="35"/>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b/>
          <w:bCs/>
          <w:color w:val="000000" w:themeColor="text1"/>
          <w:lang w:val="es-419"/>
        </w:rPr>
        <w:t>Proyecto 3.2.1:</w:t>
      </w:r>
      <w:r w:rsidRPr="449377F1">
        <w:rPr>
          <w:rFonts w:ascii="Verdana Pro" w:eastAsia="Verdana Pro" w:hAnsi="Verdana Pro" w:cs="Verdana Pro"/>
          <w:color w:val="000000" w:themeColor="text1"/>
          <w:lang w:val="es-419"/>
        </w:rPr>
        <w:t xml:space="preserve"> Socialización de la “Caja de Herramientas para Orientar la Incorporación del Análisis del Riesgo de Desastres y la Adaptación al Cambio Climático en los Proyectos de Inversión Pública”, </w:t>
      </w:r>
      <w:r w:rsidRPr="449377F1">
        <w:rPr>
          <w:rFonts w:ascii="Verdana Pro" w:eastAsia="Verdana Pro" w:hAnsi="Verdana Pro" w:cs="Verdana Pro"/>
          <w:color w:val="000000" w:themeColor="text1"/>
          <w:u w:val="single"/>
          <w:lang w:val="es-419"/>
        </w:rPr>
        <w:t>a cargo del Departamento Nacional de Planeación</w:t>
      </w:r>
      <w:r w:rsidRPr="449377F1">
        <w:rPr>
          <w:rFonts w:ascii="Verdana Pro" w:eastAsia="Verdana Pro" w:hAnsi="Verdana Pro" w:cs="Verdana Pro"/>
          <w:color w:val="000000" w:themeColor="text1"/>
          <w:lang w:val="es-419"/>
        </w:rPr>
        <w:t>.</w:t>
      </w:r>
    </w:p>
    <w:p w14:paraId="314D28EF" w14:textId="6B37CDBF" w:rsidR="4221932D" w:rsidRDefault="4221932D" w:rsidP="449377F1">
      <w:pPr>
        <w:pStyle w:val="Prrafodelista"/>
        <w:numPr>
          <w:ilvl w:val="0"/>
          <w:numId w:val="35"/>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b/>
          <w:bCs/>
          <w:color w:val="000000" w:themeColor="text1"/>
          <w:lang w:val="es-419"/>
        </w:rPr>
        <w:t>Proyecto 3.3.2:</w:t>
      </w:r>
      <w:r w:rsidRPr="449377F1">
        <w:rPr>
          <w:rFonts w:ascii="Verdana Pro" w:eastAsia="Verdana Pro" w:hAnsi="Verdana Pro" w:cs="Verdana Pro"/>
          <w:color w:val="000000" w:themeColor="text1"/>
          <w:lang w:val="es-419"/>
        </w:rPr>
        <w:t xml:space="preserve"> Difusión de la “Caja de Herramientas para Orienta la Incorporación del Análisis de Riesgo de Desastres y la Adaptación al Cambio Climático en los Proyectos de Inversión Pública”, </w:t>
      </w:r>
      <w:r w:rsidRPr="449377F1">
        <w:rPr>
          <w:rFonts w:ascii="Verdana Pro" w:eastAsia="Verdana Pro" w:hAnsi="Verdana Pro" w:cs="Verdana Pro"/>
          <w:color w:val="000000" w:themeColor="text1"/>
          <w:u w:val="single"/>
          <w:lang w:val="es-419"/>
        </w:rPr>
        <w:t>a cargo de Colombia Compra Eficiente</w:t>
      </w:r>
      <w:r w:rsidRPr="449377F1">
        <w:rPr>
          <w:rFonts w:ascii="Verdana Pro" w:eastAsia="Verdana Pro" w:hAnsi="Verdana Pro" w:cs="Verdana Pro"/>
          <w:color w:val="000000" w:themeColor="text1"/>
          <w:lang w:val="es-419"/>
        </w:rPr>
        <w:t>.</w:t>
      </w:r>
    </w:p>
    <w:p w14:paraId="18DD6815" w14:textId="0DD748DE" w:rsidR="4221932D" w:rsidRDefault="4221932D" w:rsidP="449377F1">
      <w:pPr>
        <w:pStyle w:val="Prrafodelista"/>
        <w:numPr>
          <w:ilvl w:val="0"/>
          <w:numId w:val="35"/>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b/>
          <w:bCs/>
          <w:color w:val="000000" w:themeColor="text1"/>
          <w:lang w:val="es-419"/>
        </w:rPr>
        <w:t>Proyecto 5.5.3:</w:t>
      </w:r>
      <w:r w:rsidRPr="449377F1">
        <w:rPr>
          <w:rFonts w:ascii="Verdana Pro" w:eastAsia="Verdana Pro" w:hAnsi="Verdana Pro" w:cs="Verdana Pro"/>
          <w:color w:val="000000" w:themeColor="text1"/>
          <w:lang w:val="es-419"/>
        </w:rPr>
        <w:t xml:space="preserve"> Conformación de la mesa técnica sectorial informativa para la articulación y socialización de temas relacionados con gestión del riesgo de desastres en el sector planeación, </w:t>
      </w:r>
      <w:r w:rsidRPr="449377F1">
        <w:rPr>
          <w:rFonts w:ascii="Verdana Pro" w:eastAsia="Verdana Pro" w:hAnsi="Verdana Pro" w:cs="Verdana Pro"/>
          <w:color w:val="000000" w:themeColor="text1"/>
          <w:u w:val="single"/>
          <w:lang w:val="es-419"/>
        </w:rPr>
        <w:t>a cargo del Departamento Nacional de Planeación</w:t>
      </w:r>
      <w:r w:rsidRPr="449377F1">
        <w:rPr>
          <w:rFonts w:ascii="Verdana Pro" w:eastAsia="Verdana Pro" w:hAnsi="Verdana Pro" w:cs="Verdana Pro"/>
          <w:color w:val="000000" w:themeColor="text1"/>
          <w:lang w:val="es-419"/>
        </w:rPr>
        <w:t>.</w:t>
      </w:r>
    </w:p>
    <w:p w14:paraId="170AF6A0" w14:textId="288A6C15"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701AF4C" w14:textId="505AE0BF"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b/>
          <w:bCs/>
          <w:i/>
          <w:iCs/>
          <w:color w:val="000000" w:themeColor="text1"/>
          <w:sz w:val="22"/>
          <w:szCs w:val="22"/>
          <w:u w:val="single"/>
          <w:lang w:val="es-419"/>
        </w:rPr>
        <w:t>Dada la necesidad de la actualización del PNGRD, estos serían los temas para revisar por parte de Colombia Compra Eficiente en aras de identificar la posibilidad de incluirlos como proyectos en el plan</w:t>
      </w:r>
      <w:r w:rsidRPr="449377F1">
        <w:rPr>
          <w:rFonts w:ascii="Verdana Pro" w:eastAsia="Verdana Pro" w:hAnsi="Verdana Pro" w:cs="Verdana Pro"/>
          <w:color w:val="000000" w:themeColor="text1"/>
          <w:sz w:val="22"/>
          <w:szCs w:val="22"/>
          <w:lang w:val="es-419"/>
        </w:rPr>
        <w:t>:</w:t>
      </w:r>
    </w:p>
    <w:p w14:paraId="0024F856" w14:textId="618FCF4B"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0BE5A603" w14:textId="3FEE7169"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"Pliego tipo de contratación para los estudios de riesgo de desastres que inciden en el ordenamiento territorial, para atender las necesidades de los territorios y a los mínimos técnicos”.</w:t>
      </w:r>
    </w:p>
    <w:p w14:paraId="7253C8FE" w14:textId="580D5891" w:rsidR="449377F1" w:rsidRDefault="449377F1"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p>
    <w:p w14:paraId="5A299709" w14:textId="54427F42"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En esta medida desde el DNP amablemente solicitamos que CCE revise la pertinencia de incorporar algún proyecto según lo solicitado por la UNGRD en el marco de sus competencias.</w:t>
      </w:r>
    </w:p>
    <w:p w14:paraId="3A20EB47" w14:textId="515EDDB5"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02F589CC" w14:textId="60597064" w:rsidR="4221932D" w:rsidRDefault="4221932D" w:rsidP="449377F1">
      <w:pPr>
        <w:tabs>
          <w:tab w:val="left" w:pos="7937"/>
        </w:tabs>
        <w:spacing w:line="276" w:lineRule="auto"/>
        <w:ind w:right="140"/>
        <w:jc w:val="both"/>
        <w:rPr>
          <w:rFonts w:ascii="Verdana Pro" w:eastAsia="Verdana Pro" w:hAnsi="Verdana Pro" w:cs="Verdana Pro"/>
          <w:b/>
          <w:bCs/>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r w:rsidRPr="449377F1">
        <w:rPr>
          <w:rFonts w:ascii="Verdana Pro" w:eastAsia="Verdana Pro" w:hAnsi="Verdana Pro" w:cs="Verdana Pro"/>
          <w:b/>
          <w:bCs/>
          <w:color w:val="000000" w:themeColor="text1"/>
          <w:sz w:val="22"/>
          <w:szCs w:val="22"/>
          <w:lang w:val="es-419"/>
        </w:rPr>
        <w:t xml:space="preserve">Marco Estratégico de Gestión Integral del Riesgo (MEGIR) </w:t>
      </w:r>
    </w:p>
    <w:p w14:paraId="17D60AAF" w14:textId="67834E58" w:rsidR="4221932D" w:rsidRDefault="4221932D" w:rsidP="449377F1">
      <w:pPr>
        <w:tabs>
          <w:tab w:val="left" w:pos="7937"/>
        </w:tabs>
        <w:spacing w:line="276" w:lineRule="auto"/>
        <w:ind w:right="140"/>
        <w:jc w:val="both"/>
        <w:rPr>
          <w:rFonts w:ascii="Verdana Pro" w:eastAsia="Verdana Pro" w:hAnsi="Verdana Pro" w:cs="Verdana Pro"/>
          <w:b/>
          <w:bCs/>
          <w:color w:val="000000" w:themeColor="text1"/>
          <w:sz w:val="22"/>
          <w:szCs w:val="22"/>
          <w:lang w:val="es-419"/>
        </w:rPr>
      </w:pPr>
      <w:r w:rsidRPr="449377F1">
        <w:rPr>
          <w:rFonts w:ascii="Verdana Pro" w:eastAsia="Verdana Pro" w:hAnsi="Verdana Pro" w:cs="Verdana Pro"/>
          <w:b/>
          <w:bCs/>
          <w:color w:val="000000" w:themeColor="text1"/>
          <w:sz w:val="22"/>
          <w:szCs w:val="22"/>
          <w:lang w:val="es-419"/>
        </w:rPr>
        <w:t xml:space="preserve"> </w:t>
      </w:r>
    </w:p>
    <w:p w14:paraId="3F8AFF66" w14:textId="4B777E82"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La UNGRD, como entidad coordinadora del Sistema Nacional de Gestión del Riesgo de Desastres (SNGRD), a través del MEGIR, indaga sobre las capacidades mínimas, que las entidades sectoriales y territoriales deben tener para garantizar la efectiva implementación de la Política de Gestión del Riesgo de Desastres (Ley 1523 de 2012).</w:t>
      </w:r>
    </w:p>
    <w:p w14:paraId="79CA7A1C" w14:textId="246C2B18"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lastRenderedPageBreak/>
        <w:t xml:space="preserve"> </w:t>
      </w:r>
    </w:p>
    <w:p w14:paraId="1EB7AA70" w14:textId="08437A41"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La UNGRD realiza a través de esta herramienta un diagnóstico dirigido a las cabezas de cada sector que indaga, entre otros aspectos, sobre la incorporación de lineamientos de gestión del riesgo y adaptación al cambio climático en las políticas sectoriales.</w:t>
      </w:r>
    </w:p>
    <w:p w14:paraId="5D83F1DC" w14:textId="3617DD98"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7D7DDF25" w14:textId="54D701F2"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Para esta vigencia la UNGRD propuso a cada sector realizar nuevamente el diagnóstico sectorial desde sus competencias, con el fin de actualizar la información reportada en el periodo 2022 y ajustar las hojas de ruta en construcción que abordan los procesos de la GRD: Conocimiento y Reducción del Riesgo y Manejo de Desastres.</w:t>
      </w:r>
    </w:p>
    <w:p w14:paraId="7499C660" w14:textId="5F38D70D"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68812474" w14:textId="1E436CE0" w:rsidR="0692ED4C" w:rsidRDefault="0692ED4C"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u w:val="single"/>
          <w:lang w:val="es-419"/>
        </w:rPr>
        <w:t>De conformidad con</w:t>
      </w:r>
      <w:r w:rsidR="4221932D" w:rsidRPr="449377F1">
        <w:rPr>
          <w:rFonts w:ascii="Verdana Pro" w:eastAsia="Verdana Pro" w:hAnsi="Verdana Pro" w:cs="Verdana Pro"/>
          <w:color w:val="000000" w:themeColor="text1"/>
          <w:sz w:val="22"/>
          <w:szCs w:val="22"/>
          <w:lang w:val="es-419"/>
        </w:rPr>
        <w:t xml:space="preserve"> los instrumentos Plan Nacional de Gestión del Riesgo de Desastres -PNGRD (procesos de seguimiento y actualización) y Marco Estratégico de Gestión Integral del Riesgo (MEGIR)</w:t>
      </w:r>
      <w:r w:rsidR="1DA2C2B6" w:rsidRPr="449377F1">
        <w:rPr>
          <w:rFonts w:ascii="Verdana Pro" w:eastAsia="Verdana Pro" w:hAnsi="Verdana Pro" w:cs="Verdana Pro"/>
          <w:color w:val="000000" w:themeColor="text1"/>
          <w:sz w:val="22"/>
          <w:szCs w:val="22"/>
          <w:lang w:val="es-419"/>
        </w:rPr>
        <w:t>:</w:t>
      </w:r>
    </w:p>
    <w:p w14:paraId="72A1E83B" w14:textId="664C6159"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761308C6" w14:textId="5D7F5B35" w:rsidR="4221932D" w:rsidRDefault="4221932D" w:rsidP="449377F1">
      <w:pPr>
        <w:pStyle w:val="Prrafodelista"/>
        <w:numPr>
          <w:ilvl w:val="0"/>
          <w:numId w:val="32"/>
        </w:numPr>
        <w:tabs>
          <w:tab w:val="left" w:pos="7937"/>
        </w:tabs>
        <w:spacing w:after="0" w:line="276" w:lineRule="auto"/>
        <w:ind w:right="140"/>
        <w:rPr>
          <w:rFonts w:ascii="Verdana Pro" w:eastAsia="Verdana Pro" w:hAnsi="Verdana Pro" w:cs="Verdana Pro"/>
          <w:b/>
          <w:bCs/>
          <w:color w:val="000000" w:themeColor="text1"/>
          <w:lang w:val="es-419"/>
        </w:rPr>
      </w:pPr>
      <w:r w:rsidRPr="449377F1">
        <w:rPr>
          <w:rFonts w:ascii="Verdana Pro" w:eastAsia="Verdana Pro" w:hAnsi="Verdana Pro" w:cs="Verdana Pro"/>
          <w:b/>
          <w:bCs/>
          <w:color w:val="000000" w:themeColor="text1"/>
          <w:lang w:val="es-419"/>
        </w:rPr>
        <w:t>Plan Nacional de Gestión del Riesgo de Desastres</w:t>
      </w:r>
    </w:p>
    <w:p w14:paraId="4678CC05" w14:textId="2FED5753"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1AC3E0C9" w14:textId="0439DCEC"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El Plan Nacional de Gestión del Riesgo de Desastres “Una estrategia de Desarrollo 2015-2030” (PNGRD), es la carta de navegación del país para que sectores y territorios implementen acciones en torno al conocimiento del riesgo, la reducción del riesgo el manejo de desastres y la gobernanza frente al riesgo.</w:t>
      </w:r>
    </w:p>
    <w:p w14:paraId="73AE0310" w14:textId="54F291EC"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2E8BD763" w14:textId="0D3E526E"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El PNGRD fue adoptado mediante Decreto Presidencial 308 de 2016, luego de un proceso de formulación realizado en el marco del Decreto 1081 de 2015 (Capítulo 2 Procedimiento para la Expedición y actualización del Plan Nacional de Gestión del Riesgo) y actualizado mediante el Decreto Presidencial 1478 del 03 de agosto de 2022.</w:t>
      </w:r>
    </w:p>
    <w:p w14:paraId="1282D04B" w14:textId="731EF403"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76A1B0F3" w14:textId="04DA3EF7"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A la fecha en el componente programático del PNGRD participan 23 sectores más el total de las entidades territoriales que en el ámbito de sus competencias vienen adelantando acciones encaminadas a cumplir con los objetivos estratégicos del plan a través de la implementación de 1116 proyectos de los cuales más del 50% se encuentran finalizados o en proceso de ejecución.</w:t>
      </w:r>
    </w:p>
    <w:p w14:paraId="77F5F6B2" w14:textId="62519871"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D2B682C" w14:textId="592663BA" w:rsidR="4221932D" w:rsidRDefault="4221932D" w:rsidP="449377F1">
      <w:pPr>
        <w:pStyle w:val="Prrafodelista"/>
        <w:numPr>
          <w:ilvl w:val="0"/>
          <w:numId w:val="31"/>
        </w:numPr>
        <w:tabs>
          <w:tab w:val="left" w:pos="7937"/>
        </w:tabs>
        <w:spacing w:after="0" w:line="276" w:lineRule="auto"/>
        <w:ind w:right="140"/>
        <w:rPr>
          <w:rFonts w:ascii="Verdana Pro" w:eastAsia="Verdana Pro" w:hAnsi="Verdana Pro" w:cs="Verdana Pro"/>
          <w:b/>
          <w:bCs/>
          <w:color w:val="000000" w:themeColor="text1"/>
          <w:lang w:val="es-419"/>
        </w:rPr>
      </w:pPr>
      <w:r w:rsidRPr="449377F1">
        <w:rPr>
          <w:rFonts w:ascii="Verdana Pro" w:eastAsia="Verdana Pro" w:hAnsi="Verdana Pro" w:cs="Verdana Pro"/>
          <w:b/>
          <w:bCs/>
          <w:color w:val="000000" w:themeColor="text1"/>
          <w:lang w:val="es-419"/>
        </w:rPr>
        <w:t>Proceso de seguimiento al PNGRD</w:t>
      </w:r>
    </w:p>
    <w:p w14:paraId="65243372" w14:textId="5ED4FA0D"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lastRenderedPageBreak/>
        <w:t xml:space="preserve"> </w:t>
      </w:r>
    </w:p>
    <w:p w14:paraId="21039AE5" w14:textId="453F6F30"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La Unidad Nacional para la Gestión del Riesgo de Desastres (UNGRD) como entidad coordinadora del SNGRD, realiza los informes de seguimiento y evaluación del PNGRD que consolidan los avances globales de su implementación. En el marco de este proceso se adelantan mesas de trabajo con todos los actores del PNGRD (sectores y entidades territoriales), para revisar de manera particular sus avances</w:t>
      </w:r>
    </w:p>
    <w:p w14:paraId="18180FEE" w14:textId="0B4F8A80"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3EE46E13" w14:textId="7636A67F"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En este sentido, nos permitimos señalar la responsabilidad que tiene la cabeza del sector frente a este proceso:</w:t>
      </w:r>
    </w:p>
    <w:p w14:paraId="6630015C" w14:textId="4A85D35A"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CBCFFAF" w14:textId="2FD01BD2" w:rsidR="4221932D" w:rsidRDefault="4221932D" w:rsidP="449377F1">
      <w:pPr>
        <w:pStyle w:val="Prrafodelista"/>
        <w:numPr>
          <w:ilvl w:val="0"/>
          <w:numId w:val="34"/>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 xml:space="preserve">La cabeza de sector (en este caso DNP), tiene la responsabilidad de </w:t>
      </w:r>
      <w:r w:rsidRPr="449377F1">
        <w:rPr>
          <w:rFonts w:ascii="Verdana Pro" w:eastAsia="Verdana Pro" w:hAnsi="Verdana Pro" w:cs="Verdana Pro"/>
          <w:b/>
          <w:bCs/>
          <w:color w:val="000000" w:themeColor="text1"/>
          <w:lang w:val="es-419"/>
        </w:rPr>
        <w:t>asegurar que las entidades adscritas que tienen a cargo proyectos en el PNGRD realicen el reporte correspondiente</w:t>
      </w:r>
      <w:r w:rsidRPr="449377F1">
        <w:rPr>
          <w:rFonts w:ascii="Verdana Pro" w:eastAsia="Verdana Pro" w:hAnsi="Verdana Pro" w:cs="Verdana Pro"/>
          <w:color w:val="000000" w:themeColor="text1"/>
          <w:lang w:val="es-419"/>
        </w:rPr>
        <w:t>.</w:t>
      </w:r>
    </w:p>
    <w:p w14:paraId="3852B0C8" w14:textId="2FF91794" w:rsidR="4221932D" w:rsidRDefault="4221932D" w:rsidP="449377F1">
      <w:pPr>
        <w:pStyle w:val="Prrafodelista"/>
        <w:numPr>
          <w:ilvl w:val="0"/>
          <w:numId w:val="34"/>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Cuando se cita a una reunión o se hace un requerimiento desde el proceso de seguimiento, se hace a través del punto focal de DNP, quien tiene la responsabilidad de citar e informar a sus entidades adscritas sobre la reunión o el requerimiento señalado.</w:t>
      </w:r>
    </w:p>
    <w:p w14:paraId="4B1D2664" w14:textId="1940DD0C" w:rsidR="4221932D" w:rsidRDefault="4221932D" w:rsidP="449377F1">
      <w:pPr>
        <w:pStyle w:val="Prrafodelista"/>
        <w:numPr>
          <w:ilvl w:val="0"/>
          <w:numId w:val="34"/>
        </w:numPr>
        <w:spacing w:after="0" w:line="276" w:lineRule="auto"/>
        <w:rPr>
          <w:rFonts w:ascii="Verdana Pro" w:eastAsia="Verdana Pro" w:hAnsi="Verdana Pro" w:cs="Verdana Pro"/>
          <w:color w:val="000000" w:themeColor="text1"/>
        </w:rPr>
      </w:pPr>
      <w:r w:rsidRPr="449377F1">
        <w:rPr>
          <w:rFonts w:ascii="Verdana Pro" w:eastAsia="Verdana Pro" w:hAnsi="Verdana Pro" w:cs="Verdana Pro"/>
          <w:color w:val="000000" w:themeColor="text1"/>
          <w:lang w:val="es-419"/>
        </w:rPr>
        <w:t>Todas las comunicaciones dirigidas al equipo de fortalecimiento de política de la GRD deben ser enviadas a través de la cabeza del sector.</w:t>
      </w:r>
    </w:p>
    <w:p w14:paraId="7A391CC6" w14:textId="03C41ACD" w:rsidR="4221932D" w:rsidRDefault="4221932D" w:rsidP="449377F1">
      <w:pPr>
        <w:pStyle w:val="Prrafodelista"/>
        <w:numPr>
          <w:ilvl w:val="0"/>
          <w:numId w:val="34"/>
        </w:numPr>
        <w:spacing w:after="0" w:line="276" w:lineRule="auto"/>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La cabeza del sector debe consolidar todas las fichas de reporte de avance de proyectos a cargo de sus entidades adscritas y enviarlas al correo del PNGRD antes del plazo máximo de reporte.</w:t>
      </w:r>
    </w:p>
    <w:p w14:paraId="6305B53C" w14:textId="4877A82A"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21807A2C" w14:textId="07AA5F3B" w:rsidR="4221932D" w:rsidRDefault="4221932D" w:rsidP="449377F1">
      <w:pPr>
        <w:pStyle w:val="Prrafodelista"/>
        <w:numPr>
          <w:ilvl w:val="0"/>
          <w:numId w:val="30"/>
        </w:numPr>
        <w:tabs>
          <w:tab w:val="left" w:pos="7937"/>
        </w:tabs>
        <w:spacing w:after="0" w:line="276" w:lineRule="auto"/>
        <w:ind w:right="140"/>
        <w:rPr>
          <w:rFonts w:ascii="Verdana Pro" w:eastAsia="Verdana Pro" w:hAnsi="Verdana Pro" w:cs="Verdana Pro"/>
          <w:b/>
          <w:bCs/>
          <w:color w:val="000000" w:themeColor="text1"/>
          <w:lang w:val="es-419"/>
        </w:rPr>
      </w:pPr>
      <w:r w:rsidRPr="449377F1">
        <w:rPr>
          <w:rFonts w:ascii="Verdana Pro" w:eastAsia="Verdana Pro" w:hAnsi="Verdana Pro" w:cs="Verdana Pro"/>
          <w:b/>
          <w:bCs/>
          <w:color w:val="000000" w:themeColor="text1"/>
          <w:lang w:val="es-419"/>
        </w:rPr>
        <w:t>Proceso de actualización del PNGRD</w:t>
      </w:r>
    </w:p>
    <w:p w14:paraId="6F79DD05" w14:textId="7D000210"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0A5FC631" w14:textId="466F1389"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Conforme lo señala el Decreto 1081 de 2015 el PNGRD debe armonizarse, con las apuestas del PND 2022-2026 “Colombia, Potencia Mundial de la Vida”, por lo cual cada sector tiene la responsabilidad de revisar si los proyectos a su cargo requieren algún ajuste para lograr dicha armonización o es estratégico incluir un nuevo proyecto en el plan.</w:t>
      </w:r>
    </w:p>
    <w:p w14:paraId="37596792" w14:textId="237130CE"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0FB09D9D" w14:textId="6F7FCF65"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Bajo este marco, es importante señalar que la cabeza de sector tiene las siguientes responsabilidades frente a este proceso:</w:t>
      </w:r>
    </w:p>
    <w:p w14:paraId="7B2C1DC8" w14:textId="4F06FE23"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07151AB" w14:textId="43910D03" w:rsidR="4221932D" w:rsidRDefault="4221932D" w:rsidP="449377F1">
      <w:pPr>
        <w:pStyle w:val="Prrafodelista"/>
        <w:numPr>
          <w:ilvl w:val="0"/>
          <w:numId w:val="33"/>
        </w:numPr>
        <w:spacing w:after="0" w:line="276" w:lineRule="auto"/>
        <w:ind w:right="140"/>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lastRenderedPageBreak/>
        <w:t>La cabeza de sector tiene la responsabilidad de consolidar y enviar las solicitudes de sus entidades adscritas para ajustar el componente programático del PNGRD así:</w:t>
      </w:r>
    </w:p>
    <w:p w14:paraId="3746B782" w14:textId="0A0728A9" w:rsidR="4221932D" w:rsidRDefault="4221932D" w:rsidP="449377F1">
      <w:pPr>
        <w:pStyle w:val="Prrafodelista"/>
        <w:numPr>
          <w:ilvl w:val="1"/>
          <w:numId w:val="33"/>
        </w:numPr>
        <w:spacing w:after="0" w:line="276" w:lineRule="auto"/>
        <w:ind w:left="1752" w:right="140" w:hanging="672"/>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Solicitando ajustes a proyectos vigentes donde se puede cambiar el nombre, el objetivo, la meta, el plazo o el responsable.</w:t>
      </w:r>
    </w:p>
    <w:p w14:paraId="689DEE75" w14:textId="3AC6449E" w:rsidR="4221932D" w:rsidRDefault="4221932D" w:rsidP="449377F1">
      <w:pPr>
        <w:pStyle w:val="Prrafodelista"/>
        <w:numPr>
          <w:ilvl w:val="1"/>
          <w:numId w:val="33"/>
        </w:numPr>
        <w:spacing w:after="0" w:line="276" w:lineRule="auto"/>
        <w:ind w:left="1752" w:right="140" w:hanging="672"/>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Solicitando la eliminación de proyectos, la cual debe estar justificada.</w:t>
      </w:r>
    </w:p>
    <w:p w14:paraId="61126BC0" w14:textId="12E83958" w:rsidR="4221932D" w:rsidRDefault="4221932D" w:rsidP="449377F1">
      <w:pPr>
        <w:pStyle w:val="Prrafodelista"/>
        <w:numPr>
          <w:ilvl w:val="1"/>
          <w:numId w:val="33"/>
        </w:numPr>
        <w:spacing w:after="0" w:line="276" w:lineRule="auto"/>
        <w:ind w:left="1752" w:right="140" w:hanging="672"/>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 xml:space="preserve">Solicitando la inclusión de nuevos proyectos         </w:t>
      </w:r>
    </w:p>
    <w:p w14:paraId="2F438488" w14:textId="5277788C" w:rsidR="4221932D" w:rsidRDefault="4221932D" w:rsidP="449377F1">
      <w:pPr>
        <w:pStyle w:val="Prrafodelista"/>
        <w:numPr>
          <w:ilvl w:val="0"/>
          <w:numId w:val="33"/>
        </w:numPr>
        <w:spacing w:after="0" w:line="276" w:lineRule="auto"/>
        <w:ind w:right="140"/>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En el desarrollo de las Comisiones Técnicas y los Comités Nacionales de GRD, la cabeza del sector tiene la tarea de asegurar la participación de sus entidades adscritas o en representación de estas, exponer los proyectos para su validación.</w:t>
      </w:r>
    </w:p>
    <w:p w14:paraId="7DC77765" w14:textId="0BB05164" w:rsidR="4221932D" w:rsidRDefault="4221932D" w:rsidP="449377F1">
      <w:pPr>
        <w:pStyle w:val="Prrafodelista"/>
        <w:numPr>
          <w:ilvl w:val="0"/>
          <w:numId w:val="33"/>
        </w:numPr>
        <w:spacing w:after="0" w:line="276" w:lineRule="auto"/>
        <w:ind w:right="140"/>
        <w:rPr>
          <w:rFonts w:ascii="Verdana Pro" w:eastAsia="Verdana Pro" w:hAnsi="Verdana Pro" w:cs="Verdana Pro"/>
          <w:color w:val="000000" w:themeColor="text1"/>
          <w:lang w:val="es-419"/>
        </w:rPr>
      </w:pPr>
      <w:r w:rsidRPr="449377F1">
        <w:rPr>
          <w:rFonts w:ascii="Verdana Pro" w:eastAsia="Verdana Pro" w:hAnsi="Verdana Pro" w:cs="Verdana Pro"/>
          <w:color w:val="000000" w:themeColor="text1"/>
          <w:lang w:val="es-419"/>
        </w:rPr>
        <w:t>En caso de necesitar asesoría para la formulación y/o ajuste de proyectos la cabeza del sector será la encargada de solicitar estos espacios al correo del PNGRD.</w:t>
      </w:r>
    </w:p>
    <w:p w14:paraId="0EAD06FC" w14:textId="48B9BD9F" w:rsidR="4221932D" w:rsidRDefault="4221932D" w:rsidP="449377F1">
      <w:pPr>
        <w:tabs>
          <w:tab w:val="left" w:pos="7937"/>
        </w:tabs>
        <w:spacing w:line="276" w:lineRule="auto"/>
        <w:ind w:right="140" w:firstLine="6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680DE412" w14:textId="6ACDBA1C" w:rsidR="4221932D" w:rsidRDefault="4221932D" w:rsidP="0C601FD4">
      <w:pPr>
        <w:tabs>
          <w:tab w:val="left" w:pos="7937"/>
        </w:tabs>
        <w:spacing w:line="276" w:lineRule="auto"/>
        <w:ind w:left="60" w:right="140"/>
        <w:jc w:val="both"/>
        <w:rPr>
          <w:rFonts w:ascii="Verdana Pro" w:eastAsia="Verdana Pro" w:hAnsi="Verdana Pro" w:cs="Verdana Pro"/>
          <w:color w:val="000000" w:themeColor="text1"/>
          <w:sz w:val="22"/>
          <w:szCs w:val="22"/>
          <w:lang w:val="es-419"/>
        </w:rPr>
      </w:pPr>
      <w:r w:rsidRPr="0C601FD4">
        <w:rPr>
          <w:rFonts w:ascii="Verdana Pro" w:eastAsia="Verdana Pro" w:hAnsi="Verdana Pro" w:cs="Verdana Pro"/>
          <w:color w:val="000000" w:themeColor="text1"/>
          <w:sz w:val="22"/>
          <w:szCs w:val="22"/>
          <w:lang w:val="es-419"/>
        </w:rPr>
        <w:t>La UNGRD, como entidad coordinadora del Sistema Nacional de Gestión del Riesgo de Desastres (SNGRD), a través del MEGIR, indaga sobre las capacidades mínimas, que las entidades sectoriales y territoriales deben tener para garantizar la efectiva implementación de la Política de Gestión del Riesgo de Desastres (Ley 1523 de 2012).</w:t>
      </w:r>
    </w:p>
    <w:p w14:paraId="3DC63EA9" w14:textId="504948DE"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9877A49" w14:textId="068C1C57"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Bajo este marco, se aplica un diagnóstico sectorial dirigido a las cabezas de sector que indaga, entre otros aspectos, sobre la incorporación de lineamientos de gestión del riesgo y adaptación al cambio climático en el marco de políticas que orientan al sector.</w:t>
      </w:r>
    </w:p>
    <w:p w14:paraId="041EAEA2" w14:textId="32847BDD"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 xml:space="preserve"> </w:t>
      </w:r>
    </w:p>
    <w:p w14:paraId="556687C9" w14:textId="0614A65A" w:rsidR="4221932D" w:rsidRDefault="4221932D"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r w:rsidRPr="449377F1">
        <w:rPr>
          <w:rFonts w:ascii="Verdana Pro" w:eastAsia="Verdana Pro" w:hAnsi="Verdana Pro" w:cs="Verdana Pro"/>
          <w:color w:val="000000" w:themeColor="text1"/>
          <w:sz w:val="22"/>
          <w:szCs w:val="22"/>
          <w:lang w:val="es-419"/>
        </w:rPr>
        <w:t>P</w:t>
      </w:r>
      <w:r w:rsidR="6DD43C66" w:rsidRPr="449377F1">
        <w:rPr>
          <w:rFonts w:ascii="Verdana Pro" w:eastAsia="Verdana Pro" w:hAnsi="Verdana Pro" w:cs="Verdana Pro"/>
          <w:color w:val="000000" w:themeColor="text1"/>
          <w:sz w:val="22"/>
          <w:szCs w:val="22"/>
          <w:lang w:val="es-419"/>
        </w:rPr>
        <w:t>or lo anterior, p</w:t>
      </w:r>
      <w:r w:rsidRPr="449377F1">
        <w:rPr>
          <w:rFonts w:ascii="Verdana Pro" w:eastAsia="Verdana Pro" w:hAnsi="Verdana Pro" w:cs="Verdana Pro"/>
          <w:color w:val="000000" w:themeColor="text1"/>
          <w:sz w:val="22"/>
          <w:szCs w:val="22"/>
          <w:lang w:val="es-419"/>
        </w:rPr>
        <w:t xml:space="preserve">ara esta </w:t>
      </w:r>
      <w:r w:rsidR="00E90D2D" w:rsidRPr="449377F1">
        <w:rPr>
          <w:rFonts w:ascii="Verdana Pro" w:eastAsia="Verdana Pro" w:hAnsi="Verdana Pro" w:cs="Verdana Pro"/>
          <w:color w:val="000000" w:themeColor="text1"/>
          <w:sz w:val="22"/>
          <w:szCs w:val="22"/>
          <w:lang w:val="es-419"/>
        </w:rPr>
        <w:t>modificación</w:t>
      </w:r>
      <w:r w:rsidRPr="449377F1">
        <w:rPr>
          <w:rFonts w:ascii="Verdana Pro" w:eastAsia="Verdana Pro" w:hAnsi="Verdana Pro" w:cs="Verdana Pro"/>
          <w:color w:val="000000" w:themeColor="text1"/>
          <w:sz w:val="22"/>
          <w:szCs w:val="22"/>
          <w:lang w:val="es-419"/>
        </w:rPr>
        <w:t xml:space="preserve"> se propu</w:t>
      </w:r>
      <w:r w:rsidR="46E90DC5" w:rsidRPr="449377F1">
        <w:rPr>
          <w:rFonts w:ascii="Verdana Pro" w:eastAsia="Verdana Pro" w:hAnsi="Verdana Pro" w:cs="Verdana Pro"/>
          <w:color w:val="000000" w:themeColor="text1"/>
          <w:sz w:val="22"/>
          <w:szCs w:val="22"/>
          <w:lang w:val="es-419"/>
        </w:rPr>
        <w:t xml:space="preserve">so a las entidades técnicas en </w:t>
      </w:r>
      <w:r w:rsidRPr="449377F1">
        <w:rPr>
          <w:rFonts w:ascii="Verdana Pro" w:eastAsia="Verdana Pro" w:hAnsi="Verdana Pro" w:cs="Verdana Pro"/>
          <w:color w:val="000000" w:themeColor="text1"/>
          <w:sz w:val="22"/>
          <w:szCs w:val="22"/>
          <w:lang w:val="es-419"/>
        </w:rPr>
        <w:t>cada sector realizar nuevamente el diagnóstico sectorial, con el fin de actualizar la información reportada en el periodo 2022 y ajustar las hojas de ruta en construcción que deben presentar un enfoque en los 3 procesos de la GRD (Conocimiento y Reducción del Riesgo y Manejo de Desastres), identificando el aporte de cada sector como parte del Sistema Nacional de Gestión del Riesgo de Desastres</w:t>
      </w:r>
      <w:r w:rsidR="22A60655" w:rsidRPr="449377F1">
        <w:rPr>
          <w:rFonts w:ascii="Verdana Pro" w:eastAsia="Verdana Pro" w:hAnsi="Verdana Pro" w:cs="Verdana Pro"/>
          <w:color w:val="000000" w:themeColor="text1"/>
          <w:sz w:val="22"/>
          <w:szCs w:val="22"/>
          <w:lang w:val="es-419"/>
        </w:rPr>
        <w:t xml:space="preserve"> –</w:t>
      </w:r>
      <w:r w:rsidRPr="449377F1">
        <w:rPr>
          <w:rFonts w:ascii="Verdana Pro" w:eastAsia="Verdana Pro" w:hAnsi="Verdana Pro" w:cs="Verdana Pro"/>
          <w:color w:val="000000" w:themeColor="text1"/>
          <w:sz w:val="22"/>
          <w:szCs w:val="22"/>
          <w:lang w:val="es-419"/>
        </w:rPr>
        <w:t>SNGRD</w:t>
      </w:r>
      <w:r w:rsidR="26D047D7" w:rsidRPr="449377F1">
        <w:rPr>
          <w:rFonts w:ascii="Verdana Pro" w:eastAsia="Verdana Pro" w:hAnsi="Verdana Pro" w:cs="Verdana Pro"/>
          <w:color w:val="000000" w:themeColor="text1"/>
          <w:sz w:val="22"/>
          <w:szCs w:val="22"/>
          <w:lang w:val="es-419"/>
        </w:rPr>
        <w:t xml:space="preserve"> y teniendo en cuenta la importancia de este sector se propone implementar un nuevo capítulo en cada una de las matrices dentro de los sectores de i) cultura, recreación y deporte, ii) Salud y iii) Educación que se enmarquen en el plan nacional de gestión del riesgo de desastres vigente: </w:t>
      </w:r>
    </w:p>
    <w:p w14:paraId="4D1D46D5" w14:textId="0A1A6FA6" w:rsidR="26D047D7" w:rsidRDefault="26D047D7" w:rsidP="449377F1">
      <w:pPr>
        <w:pStyle w:val="Prrafodelista"/>
        <w:numPr>
          <w:ilvl w:val="0"/>
          <w:numId w:val="28"/>
        </w:numPr>
        <w:tabs>
          <w:tab w:val="left" w:pos="7937"/>
        </w:tabs>
        <w:spacing w:after="0" w:line="276" w:lineRule="auto"/>
        <w:ind w:right="140"/>
      </w:pPr>
      <w:r w:rsidRPr="449377F1">
        <w:rPr>
          <w:rFonts w:ascii="Verdana Pro" w:eastAsia="Verdana Pro" w:hAnsi="Verdana Pro" w:cs="Verdana Pro"/>
          <w:color w:val="000000" w:themeColor="text1"/>
          <w:lang w:val="es-419"/>
        </w:rPr>
        <w:lastRenderedPageBreak/>
        <w:t>Proyectos de atención, prevención o mitigación de obras de emergencias por eventos y fenómenos de origen natural u origen socio - natural u origen biosanitario u origen humano no intencional u por eventos climáticos o atmosféricos o hidrológicos o tecnológico o sísmicos.</w:t>
      </w:r>
    </w:p>
    <w:p w14:paraId="3EF35C46" w14:textId="0255B012" w:rsidR="26D047D7" w:rsidRDefault="26D047D7" w:rsidP="449377F1">
      <w:pPr>
        <w:pStyle w:val="Prrafodelista"/>
        <w:numPr>
          <w:ilvl w:val="0"/>
          <w:numId w:val="28"/>
        </w:numPr>
        <w:tabs>
          <w:tab w:val="left" w:pos="7937"/>
        </w:tabs>
        <w:spacing w:after="0" w:line="276" w:lineRule="auto"/>
        <w:ind w:right="140"/>
      </w:pPr>
      <w:r w:rsidRPr="449377F1">
        <w:rPr>
          <w:rFonts w:ascii="Verdana Pro" w:eastAsia="Verdana Pro" w:hAnsi="Verdana Pro" w:cs="Verdana Pro"/>
          <w:color w:val="000000" w:themeColor="text1"/>
          <w:lang w:val="es-419"/>
        </w:rPr>
        <w:t>Proyectos de atención, prevención o mitigación de obras de emergencias mediante obras de estabilización de taludes o recuperación de banca.</w:t>
      </w:r>
    </w:p>
    <w:p w14:paraId="38F3507A" w14:textId="4AD0A87F" w:rsidR="26D047D7" w:rsidRDefault="26D047D7" w:rsidP="449377F1">
      <w:pPr>
        <w:pStyle w:val="Prrafodelista"/>
        <w:numPr>
          <w:ilvl w:val="0"/>
          <w:numId w:val="28"/>
        </w:numPr>
        <w:tabs>
          <w:tab w:val="left" w:pos="7937"/>
        </w:tabs>
        <w:spacing w:after="0" w:line="276" w:lineRule="auto"/>
        <w:ind w:right="140"/>
      </w:pPr>
      <w:r w:rsidRPr="449377F1">
        <w:rPr>
          <w:rFonts w:ascii="Verdana Pro" w:eastAsia="Verdana Pro" w:hAnsi="Verdana Pro" w:cs="Verdana Pro"/>
          <w:color w:val="000000" w:themeColor="text1"/>
          <w:lang w:val="es-419"/>
        </w:rPr>
        <w:t>Proyectos de atención, prevención o mitigación de obras de emergencias mediante obras de remoción de derrumbes, movimientos en masa.</w:t>
      </w:r>
    </w:p>
    <w:p w14:paraId="308DBD59" w14:textId="12879ECB" w:rsidR="26D047D7" w:rsidRDefault="26D047D7" w:rsidP="449377F1">
      <w:pPr>
        <w:pStyle w:val="Prrafodelista"/>
        <w:numPr>
          <w:ilvl w:val="0"/>
          <w:numId w:val="28"/>
        </w:numPr>
        <w:tabs>
          <w:tab w:val="left" w:pos="7937"/>
        </w:tabs>
        <w:spacing w:after="0" w:line="276" w:lineRule="auto"/>
        <w:ind w:right="140"/>
      </w:pPr>
      <w:r w:rsidRPr="449377F1">
        <w:rPr>
          <w:rFonts w:ascii="Verdana Pro" w:eastAsia="Verdana Pro" w:hAnsi="Verdana Pro" w:cs="Verdana Pro"/>
          <w:color w:val="000000" w:themeColor="text1"/>
          <w:lang w:val="es-419"/>
        </w:rPr>
        <w:t>Proyectos de atención, prevención o mitigación de obras de emergencias de inundaciones, heladas, vendavales, sequias, desbordamientos, avenidas torrenciales mediante obras hidráulicas.</w:t>
      </w:r>
    </w:p>
    <w:p w14:paraId="44D7495B" w14:textId="59D88A4A" w:rsidR="449377F1" w:rsidRDefault="449377F1" w:rsidP="449377F1">
      <w:pPr>
        <w:tabs>
          <w:tab w:val="left" w:pos="7937"/>
        </w:tabs>
        <w:spacing w:line="276" w:lineRule="auto"/>
        <w:ind w:right="140"/>
        <w:jc w:val="both"/>
        <w:rPr>
          <w:rFonts w:ascii="Verdana Pro" w:eastAsia="Verdana Pro" w:hAnsi="Verdana Pro" w:cs="Verdana Pro"/>
          <w:color w:val="000000" w:themeColor="text1"/>
          <w:sz w:val="22"/>
          <w:szCs w:val="22"/>
          <w:lang w:val="es-419"/>
        </w:rPr>
      </w:pPr>
    </w:p>
    <w:p w14:paraId="08DEFA84" w14:textId="1BA061B3" w:rsidR="00E7045E" w:rsidRPr="001F5F0A" w:rsidRDefault="6C43E738" w:rsidP="449377F1">
      <w:pPr>
        <w:jc w:val="both"/>
        <w:rPr>
          <w:rFonts w:ascii="Verdana" w:eastAsia="Arial" w:hAnsi="Verdana" w:cs="Arial"/>
          <w:b/>
          <w:bCs/>
          <w:sz w:val="22"/>
          <w:szCs w:val="22"/>
        </w:rPr>
      </w:pPr>
      <w:r w:rsidRPr="449377F1">
        <w:rPr>
          <w:rFonts w:ascii="Verdana" w:eastAsia="Arial" w:hAnsi="Verdana" w:cs="Arial"/>
          <w:b/>
          <w:bCs/>
          <w:sz w:val="22"/>
          <w:szCs w:val="22"/>
        </w:rPr>
        <w:t xml:space="preserve">Principales </w:t>
      </w:r>
      <w:r w:rsidR="7A7D00A0" w:rsidRPr="449377F1">
        <w:rPr>
          <w:rFonts w:ascii="Verdana" w:eastAsia="Arial" w:hAnsi="Verdana" w:cs="Arial"/>
          <w:b/>
          <w:bCs/>
          <w:sz w:val="22"/>
          <w:szCs w:val="22"/>
        </w:rPr>
        <w:t>a</w:t>
      </w:r>
      <w:r w:rsidRPr="449377F1">
        <w:rPr>
          <w:rFonts w:ascii="Verdana" w:eastAsia="Arial" w:hAnsi="Verdana" w:cs="Arial"/>
          <w:b/>
          <w:bCs/>
          <w:sz w:val="22"/>
          <w:szCs w:val="22"/>
        </w:rPr>
        <w:t xml:space="preserve">justes </w:t>
      </w:r>
      <w:r w:rsidR="31E683A5" w:rsidRPr="449377F1">
        <w:rPr>
          <w:rFonts w:ascii="Verdana" w:eastAsia="Arial" w:hAnsi="Verdana" w:cs="Arial"/>
          <w:b/>
          <w:bCs/>
          <w:sz w:val="22"/>
          <w:szCs w:val="22"/>
        </w:rPr>
        <w:t>t</w:t>
      </w:r>
      <w:r w:rsidRPr="449377F1">
        <w:rPr>
          <w:rFonts w:ascii="Verdana" w:eastAsia="Arial" w:hAnsi="Verdana" w:cs="Arial"/>
          <w:b/>
          <w:bCs/>
          <w:sz w:val="22"/>
          <w:szCs w:val="22"/>
        </w:rPr>
        <w:t xml:space="preserve">écnicos </w:t>
      </w:r>
      <w:r w:rsidR="479C28AE" w:rsidRPr="449377F1">
        <w:rPr>
          <w:rFonts w:ascii="Verdana" w:eastAsia="Arial" w:hAnsi="Verdana" w:cs="Arial"/>
          <w:b/>
          <w:bCs/>
          <w:sz w:val="22"/>
          <w:szCs w:val="22"/>
        </w:rPr>
        <w:t>i</w:t>
      </w:r>
      <w:r w:rsidRPr="449377F1">
        <w:rPr>
          <w:rFonts w:ascii="Verdana" w:eastAsia="Arial" w:hAnsi="Verdana" w:cs="Arial"/>
          <w:b/>
          <w:bCs/>
          <w:sz w:val="22"/>
          <w:szCs w:val="22"/>
        </w:rPr>
        <w:t xml:space="preserve">ncorporados en el </w:t>
      </w:r>
      <w:r w:rsidR="4B2B48E2" w:rsidRPr="449377F1">
        <w:rPr>
          <w:rFonts w:ascii="Verdana" w:eastAsia="Arial" w:hAnsi="Verdana" w:cs="Arial"/>
          <w:b/>
          <w:bCs/>
          <w:sz w:val="22"/>
          <w:szCs w:val="22"/>
        </w:rPr>
        <w:t xml:space="preserve">Anexo 3 - </w:t>
      </w:r>
      <w:r w:rsidRPr="449377F1">
        <w:rPr>
          <w:rFonts w:ascii="Verdana" w:eastAsia="Arial" w:hAnsi="Verdana" w:cs="Arial"/>
          <w:b/>
          <w:bCs/>
          <w:sz w:val="22"/>
          <w:szCs w:val="22"/>
        </w:rPr>
        <w:t>Glosario:</w:t>
      </w:r>
    </w:p>
    <w:p w14:paraId="6D3D4363" w14:textId="77777777" w:rsidR="00E7045E" w:rsidRPr="001F5F0A" w:rsidRDefault="00E7045E" w:rsidP="00E7045E">
      <w:pPr>
        <w:jc w:val="both"/>
        <w:rPr>
          <w:rFonts w:ascii="Verdana" w:hAnsi="Verdana" w:cs="Arial"/>
          <w:sz w:val="22"/>
          <w:szCs w:val="22"/>
          <w:highlight w:val="yellow"/>
          <w:lang w:val="es-MX"/>
        </w:rPr>
      </w:pPr>
    </w:p>
    <w:p w14:paraId="624F17F6" w14:textId="7E51EF72" w:rsidR="00E7045E" w:rsidRPr="001F5F0A" w:rsidRDefault="6C43E738" w:rsidP="449377F1">
      <w:pPr>
        <w:numPr>
          <w:ilvl w:val="0"/>
          <w:numId w:val="53"/>
        </w:numPr>
        <w:jc w:val="both"/>
        <w:rPr>
          <w:rFonts w:ascii="Verdana" w:hAnsi="Verdana" w:cs="Arial"/>
          <w:sz w:val="22"/>
          <w:szCs w:val="22"/>
          <w:lang w:val="es-ES"/>
        </w:rPr>
      </w:pPr>
      <w:r w:rsidRPr="449377F1">
        <w:rPr>
          <w:rFonts w:ascii="Verdana" w:hAnsi="Verdana" w:cs="Arial"/>
          <w:sz w:val="22"/>
          <w:szCs w:val="22"/>
          <w:lang w:val="es-ES"/>
        </w:rPr>
        <w:t xml:space="preserve">De manera general se actualizó el “Anexo 3 – Glosario Licitación de Obra Pública de Infraestructura </w:t>
      </w:r>
      <w:r w:rsidR="0D09B349" w:rsidRPr="449377F1">
        <w:rPr>
          <w:rFonts w:ascii="Verdana" w:hAnsi="Verdana" w:cs="Arial"/>
          <w:sz w:val="22"/>
          <w:szCs w:val="22"/>
          <w:lang w:val="es-ES"/>
        </w:rPr>
        <w:t>Social para cada sector</w:t>
      </w:r>
      <w:r w:rsidRPr="449377F1">
        <w:rPr>
          <w:rFonts w:ascii="Verdana" w:hAnsi="Verdana" w:cs="Arial"/>
          <w:sz w:val="22"/>
          <w:szCs w:val="22"/>
          <w:lang w:val="es-ES"/>
        </w:rPr>
        <w:t xml:space="preserve">, en </w:t>
      </w:r>
      <w:r w:rsidR="7AEA91AD" w:rsidRPr="449377F1">
        <w:rPr>
          <w:rFonts w:ascii="Verdana" w:hAnsi="Verdana" w:cs="Arial"/>
          <w:sz w:val="22"/>
          <w:szCs w:val="22"/>
          <w:lang w:val="es-ES"/>
        </w:rPr>
        <w:t>los</w:t>
      </w:r>
      <w:r w:rsidRPr="449377F1">
        <w:rPr>
          <w:rFonts w:ascii="Verdana" w:hAnsi="Verdana" w:cs="Arial"/>
          <w:sz w:val="22"/>
          <w:szCs w:val="22"/>
          <w:lang w:val="es-ES"/>
        </w:rPr>
        <w:t xml:space="preserve"> que se incluyen nuevas definiciones, se acararon algunas existente y se incluyeron notas aclaratorias, que fueron evidenciadas en las consultas recibidas por los ciudadanos y Entidades y por las revisiones efectuadas por el equipo técnico de la </w:t>
      </w:r>
      <w:r w:rsidR="7D3E9C05" w:rsidRPr="449377F1">
        <w:rPr>
          <w:rFonts w:ascii="Verdana" w:hAnsi="Verdana" w:cs="Arial"/>
          <w:sz w:val="22"/>
          <w:szCs w:val="22"/>
          <w:lang w:val="es-ES"/>
        </w:rPr>
        <w:t>A</w:t>
      </w:r>
      <w:r w:rsidRPr="449377F1">
        <w:rPr>
          <w:rFonts w:ascii="Verdana" w:hAnsi="Verdana" w:cs="Arial"/>
          <w:sz w:val="22"/>
          <w:szCs w:val="22"/>
          <w:lang w:val="es-ES"/>
        </w:rPr>
        <w:t>gencia.</w:t>
      </w:r>
    </w:p>
    <w:p w14:paraId="39C87B28" w14:textId="4A64FEE7" w:rsidR="6C43E738" w:rsidRDefault="6C43E738" w:rsidP="449377F1">
      <w:pPr>
        <w:numPr>
          <w:ilvl w:val="0"/>
          <w:numId w:val="53"/>
        </w:numPr>
        <w:jc w:val="both"/>
        <w:rPr>
          <w:rFonts w:ascii="Verdana" w:hAnsi="Verdana" w:cs="Arial"/>
          <w:sz w:val="22"/>
          <w:szCs w:val="22"/>
          <w:lang w:val="es-ES"/>
        </w:rPr>
      </w:pPr>
      <w:r w:rsidRPr="449377F1">
        <w:rPr>
          <w:rFonts w:ascii="Verdana" w:hAnsi="Verdana" w:cs="Arial"/>
          <w:sz w:val="22"/>
          <w:szCs w:val="22"/>
        </w:rPr>
        <w:t>De</w:t>
      </w:r>
      <w:r w:rsidR="42333748" w:rsidRPr="449377F1">
        <w:rPr>
          <w:rFonts w:ascii="Verdana" w:hAnsi="Verdana" w:cs="Arial"/>
          <w:sz w:val="22"/>
          <w:szCs w:val="22"/>
        </w:rPr>
        <w:t xml:space="preserve">ntro de las peticiones mas relevantes de las mesas de trabajo </w:t>
      </w:r>
      <w:r w:rsidR="1720A4FA" w:rsidRPr="449377F1">
        <w:rPr>
          <w:rFonts w:ascii="Verdana" w:hAnsi="Verdana" w:cs="Arial"/>
          <w:sz w:val="22"/>
          <w:szCs w:val="22"/>
        </w:rPr>
        <w:t xml:space="preserve">se </w:t>
      </w:r>
      <w:r w:rsidR="3314D145" w:rsidRPr="449377F1">
        <w:rPr>
          <w:rFonts w:ascii="Verdana" w:hAnsi="Verdana" w:cs="Arial"/>
          <w:sz w:val="22"/>
          <w:szCs w:val="22"/>
        </w:rPr>
        <w:t>tienen las</w:t>
      </w:r>
      <w:r w:rsidR="42333748" w:rsidRPr="449377F1">
        <w:rPr>
          <w:rFonts w:ascii="Verdana" w:hAnsi="Verdana" w:cs="Arial"/>
          <w:sz w:val="22"/>
          <w:szCs w:val="22"/>
        </w:rPr>
        <w:t xml:space="preserve"> del </w:t>
      </w:r>
      <w:r w:rsidR="1C4F617D" w:rsidRPr="449377F1">
        <w:rPr>
          <w:rFonts w:ascii="Verdana" w:hAnsi="Verdana" w:cs="Arial"/>
          <w:sz w:val="22"/>
          <w:szCs w:val="22"/>
        </w:rPr>
        <w:t>M</w:t>
      </w:r>
      <w:r w:rsidR="3BCFC719" w:rsidRPr="449377F1">
        <w:rPr>
          <w:rFonts w:ascii="Verdana" w:hAnsi="Verdana" w:cs="Arial"/>
          <w:sz w:val="22"/>
          <w:szCs w:val="22"/>
        </w:rPr>
        <w:t>inisterio</w:t>
      </w:r>
      <w:r w:rsidR="42333748" w:rsidRPr="449377F1">
        <w:rPr>
          <w:rFonts w:ascii="Verdana" w:hAnsi="Verdana" w:cs="Arial"/>
          <w:sz w:val="22"/>
          <w:szCs w:val="22"/>
        </w:rPr>
        <w:t xml:space="preserve"> de </w:t>
      </w:r>
      <w:r w:rsidR="08DAC888" w:rsidRPr="449377F1">
        <w:rPr>
          <w:rFonts w:ascii="Verdana" w:hAnsi="Verdana" w:cs="Arial"/>
          <w:sz w:val="22"/>
          <w:szCs w:val="22"/>
        </w:rPr>
        <w:t>C</w:t>
      </w:r>
      <w:r w:rsidR="42333748" w:rsidRPr="449377F1">
        <w:rPr>
          <w:rFonts w:ascii="Verdana" w:hAnsi="Verdana" w:cs="Arial"/>
          <w:sz w:val="22"/>
          <w:szCs w:val="22"/>
        </w:rPr>
        <w:t xml:space="preserve">ultura: </w:t>
      </w:r>
    </w:p>
    <w:p w14:paraId="6B66A915" w14:textId="5FEBBE93" w:rsidR="449377F1" w:rsidRDefault="449377F1" w:rsidP="449377F1">
      <w:pPr>
        <w:ind w:left="720"/>
        <w:jc w:val="both"/>
        <w:rPr>
          <w:rFonts w:ascii="Verdana" w:hAnsi="Verdana" w:cs="Arial"/>
          <w:sz w:val="22"/>
          <w:szCs w:val="22"/>
          <w:lang w:val="es-ES"/>
        </w:rPr>
      </w:pPr>
    </w:p>
    <w:p w14:paraId="65E72044" w14:textId="2DAB5A40" w:rsidR="453098AB" w:rsidRDefault="453098AB" w:rsidP="449377F1">
      <w:pPr>
        <w:ind w:left="1440"/>
        <w:jc w:val="both"/>
        <w:rPr>
          <w:rFonts w:ascii="Verdana" w:hAnsi="Verdana" w:cs="Arial"/>
          <w:i/>
          <w:iCs/>
          <w:sz w:val="22"/>
          <w:szCs w:val="22"/>
        </w:rPr>
      </w:pPr>
      <w:r w:rsidRPr="449377F1">
        <w:rPr>
          <w:rFonts w:ascii="Verdana" w:hAnsi="Verdana" w:cs="Arial"/>
          <w:i/>
          <w:iCs/>
          <w:sz w:val="22"/>
          <w:szCs w:val="22"/>
        </w:rPr>
        <w:t>“(…) al revisar la matriz, se evidencia que las actividades contempladas no guardan relación con la especificidad de la intervención que requiere el Ministerio en algunos de sus proyectos, los cuales requieren de conocimientos específicos en el desarrollo de estas, por lo cual se considera que un contratista de obra que tenga experiencia en la ejecución de obra civiles, no necesariamente cuenta con la experiencia especifica relacionada con las prácticas constructivas de cada región, con el manejo de materiales autóctonos, ni el conocimiento del grupo poblacional que será impactado por dicha infraestructura, implicando que podría existir subcontrataciones que pueden derivar en atrasos y mayores costos para las entidades o posibles incumplimientos contractuales por la no consecución del objeto contratado.</w:t>
      </w:r>
    </w:p>
    <w:p w14:paraId="30705AE0" w14:textId="0CE85DB7" w:rsidR="453098AB" w:rsidRDefault="453098AB" w:rsidP="449377F1">
      <w:pPr>
        <w:pStyle w:val="Prrafodelista"/>
        <w:ind w:left="1440"/>
        <w:rPr>
          <w:i/>
          <w:iCs/>
        </w:rPr>
      </w:pPr>
      <w:r w:rsidRPr="449377F1">
        <w:rPr>
          <w:i/>
          <w:iCs/>
        </w:rPr>
        <w:t xml:space="preserve"> </w:t>
      </w:r>
    </w:p>
    <w:p w14:paraId="595E1605" w14:textId="51A06001" w:rsidR="453098AB" w:rsidRPr="00B00FCB" w:rsidRDefault="453098AB"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xml:space="preserve">Conforme lo anterior, dicho escenario podría abrir la puerta a la recepción de ofertas que acrediten experiencia basada únicamente en la cantidad de metros cuadrados de área intervenida o construida en una actividad muy </w:t>
      </w:r>
      <w:r w:rsidRPr="00B00FCB">
        <w:rPr>
          <w:rFonts w:ascii="Verdana" w:eastAsia="Times New Roman" w:hAnsi="Verdana" w:cs="Arial"/>
          <w:i/>
          <w:lang w:eastAsia="es-MX"/>
        </w:rPr>
        <w:lastRenderedPageBreak/>
        <w:t xml:space="preserve">general, como: “terminación”, “mejoramiento”, “remodelación”, “adecuación”, “modificación” o “mantenimiento”, lo que no garantiza la idoneidad, para otros casos, más específicos (…) </w:t>
      </w:r>
    </w:p>
    <w:p w14:paraId="4F8810C4" w14:textId="41CF2DED" w:rsidR="449377F1" w:rsidRPr="00B00FCB" w:rsidRDefault="449377F1" w:rsidP="449377F1">
      <w:pPr>
        <w:pStyle w:val="Prrafodelista"/>
        <w:ind w:left="1440"/>
        <w:rPr>
          <w:rFonts w:ascii="Verdana" w:eastAsia="Times New Roman" w:hAnsi="Verdana" w:cs="Arial"/>
          <w:i/>
          <w:lang w:eastAsia="es-MX"/>
        </w:rPr>
      </w:pPr>
    </w:p>
    <w:p w14:paraId="772B1DA5" w14:textId="77777777"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Al evaluar el costo, beneficio para la entidad, y conforme ejecuciones de las obras de infraestructura en el territorio nacional y con la intención de llegar a territorios de difícil acceso, históricamente desatendidos y que necesitan de la participación comunitaria es necesario presentar a autoridad en materia contractual las situaciones diferenciales que se deberían tener en cuenta a título cualificación específica, como por ejemplo ingeniería de detalle, diseños, conocimiento de prácticas constructivas propias de cada región, manejo de materiales según la zona climática de cada territorio, integración de la comunidad en las obras a ejecutar, que en todo caso redundaran en la ejecución contractual y en la ejecución de las obras a desarrollar (…)”</w:t>
      </w:r>
    </w:p>
    <w:p w14:paraId="1C287BAA" w14:textId="6E118313" w:rsidR="449377F1" w:rsidRPr="00B00FCB" w:rsidRDefault="449377F1" w:rsidP="449377F1">
      <w:pPr>
        <w:pStyle w:val="Prrafodelista"/>
        <w:ind w:left="1440"/>
        <w:rPr>
          <w:rFonts w:ascii="Verdana" w:eastAsia="Times New Roman" w:hAnsi="Verdana" w:cs="Arial"/>
          <w:i/>
          <w:lang w:eastAsia="es-MX"/>
        </w:rPr>
      </w:pPr>
    </w:p>
    <w:p w14:paraId="4C1D4A69" w14:textId="77777777"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Ante las circunstancias técnicas y jurídicas descritas anteriormente, solicitamos muy respetuosamente a la Agencia la autorización para apartarnos parcialmente de la aplicación de los documentos tipo de licitación de obra pública y de interventoría para proyectos de infraestructura social, y de esta manera adaptarlo a la realidad cultural y geográfica del país, resaltando que las infraestructuras que se desarrollan desde este Ministerio pueden abarcar técnicas constructivas ancestrales, construcciones en territorios de difícil acceso, eventualmente zonas de conflicto en municipios PDET, que requiere experiencia específica en la región, con condiciones de participación comunitaria, por la presencia de grupos étnicos, afro descendientes, entre otros, específicamente en lo que atañe a: A. Requisitos mínimos habilitantes en cuanto a la experiencia B. Criterios de ponderación.</w:t>
      </w:r>
    </w:p>
    <w:p w14:paraId="060CBD74" w14:textId="05FA20C5"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xml:space="preserve"> </w:t>
      </w:r>
    </w:p>
    <w:p w14:paraId="525542C6" w14:textId="572423C9"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En concordancia con lo anterior, desde este Ministerio solicitamos a la Agencia, de ser posible llevar a cabo mesas de trabajo, con el fin presentar técnica y jurídicamente la necesidad del sector cultura, acorde al tipo de infraestructuras que se desarrollan en diferentes regiones del país, que igualmente garantice la pluralidad de oferentes idóneos y adoptar buenas prácticas contractuales que garanticen el adecuado manejo de los recursos públicos destinados a las obras públicas del sector cultura.</w:t>
      </w:r>
    </w:p>
    <w:p w14:paraId="640FB212" w14:textId="047D6839"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xml:space="preserve"> </w:t>
      </w:r>
    </w:p>
    <w:p w14:paraId="487C9DCB" w14:textId="1F7BDD2C"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lastRenderedPageBreak/>
        <w:t>De no ser posible apartarse de la matriz de experiencia habilitantes, permitir ajustar los criterios de ponderación incluyendo puntajes por condiciones especiales de experiencia para garantizar la idoneidad de los contratistas (…)</w:t>
      </w:r>
    </w:p>
    <w:p w14:paraId="022418A0" w14:textId="6A7F97E2" w:rsidR="02521AF3" w:rsidRDefault="02521AF3" w:rsidP="449377F1">
      <w:pPr>
        <w:pStyle w:val="Prrafodelista"/>
        <w:ind w:left="1440"/>
      </w:pPr>
      <w:r w:rsidRPr="449377F1">
        <w:rPr>
          <w:i/>
          <w:iCs/>
        </w:rPr>
        <w:t xml:space="preserve"> </w:t>
      </w:r>
    </w:p>
    <w:p w14:paraId="39262C06" w14:textId="580CE622" w:rsidR="02521AF3" w:rsidRPr="00B00FCB" w:rsidRDefault="02521AF3" w:rsidP="449377F1">
      <w:pPr>
        <w:pStyle w:val="Prrafodelista"/>
        <w:ind w:left="1440"/>
        <w:rPr>
          <w:rFonts w:ascii="Verdana" w:eastAsia="Times New Roman" w:hAnsi="Verdana" w:cs="Arial"/>
          <w:i/>
          <w:lang w:eastAsia="es-MX"/>
        </w:rPr>
      </w:pPr>
      <w:r w:rsidRPr="00B00FCB">
        <w:rPr>
          <w:rFonts w:ascii="Verdana" w:eastAsia="Times New Roman" w:hAnsi="Verdana" w:cs="Arial"/>
          <w:i/>
          <w:lang w:eastAsia="es-MX"/>
        </w:rPr>
        <w:t>(…) Y finalmente, solicitar a la Agencia, tener en cuenta la presente consulta dentro de su repositorio de observaciones realizadas por Entidades estatales, con el fin de que se tengan en cuenta en los futuros ajustes a los documentos tipo complementarios para los procesos de licitación de obra pública, así como de interventoría de infraestructura social relacionados con el sector cultura”</w:t>
      </w:r>
    </w:p>
    <w:p w14:paraId="2854995E" w14:textId="6342D70F" w:rsidR="449377F1" w:rsidRDefault="449377F1" w:rsidP="449377F1">
      <w:pPr>
        <w:pStyle w:val="Prrafodelista"/>
        <w:ind w:left="1440"/>
        <w:rPr>
          <w:i/>
          <w:iCs/>
        </w:rPr>
      </w:pPr>
    </w:p>
    <w:p w14:paraId="0D328154" w14:textId="3A6CA488" w:rsidR="449377F1" w:rsidRDefault="449377F1" w:rsidP="449377F1">
      <w:pPr>
        <w:pStyle w:val="Prrafodelista"/>
        <w:ind w:left="1440"/>
      </w:pPr>
    </w:p>
    <w:p w14:paraId="37C6D320" w14:textId="31A7D6D9" w:rsidR="167B7A12" w:rsidRDefault="167B7A12" w:rsidP="449377F1">
      <w:pPr>
        <w:numPr>
          <w:ilvl w:val="0"/>
          <w:numId w:val="53"/>
        </w:numPr>
        <w:jc w:val="both"/>
        <w:rPr>
          <w:rFonts w:ascii="Verdana" w:hAnsi="Verdana" w:cs="Arial"/>
          <w:sz w:val="22"/>
          <w:szCs w:val="22"/>
        </w:rPr>
      </w:pPr>
      <w:r w:rsidRPr="449377F1">
        <w:rPr>
          <w:rFonts w:ascii="Verdana" w:hAnsi="Verdana" w:cs="Arial"/>
          <w:sz w:val="22"/>
          <w:szCs w:val="22"/>
        </w:rPr>
        <w:t>Lo anterior, motivo a incluir modificaciones con relación a las cubiertas</w:t>
      </w:r>
      <w:r w:rsidR="5C80CBB5" w:rsidRPr="449377F1">
        <w:rPr>
          <w:rFonts w:ascii="Verdana" w:hAnsi="Verdana" w:cs="Arial"/>
          <w:sz w:val="22"/>
          <w:szCs w:val="22"/>
        </w:rPr>
        <w:t xml:space="preserve">, bienes de </w:t>
      </w:r>
      <w:r w:rsidR="1A7A9AA9" w:rsidRPr="449377F1">
        <w:rPr>
          <w:rFonts w:ascii="Verdana" w:hAnsi="Verdana" w:cs="Arial"/>
          <w:sz w:val="22"/>
          <w:szCs w:val="22"/>
        </w:rPr>
        <w:t>interés</w:t>
      </w:r>
      <w:r w:rsidR="5C80CBB5" w:rsidRPr="449377F1">
        <w:rPr>
          <w:rFonts w:ascii="Verdana" w:hAnsi="Verdana" w:cs="Arial"/>
          <w:sz w:val="22"/>
          <w:szCs w:val="22"/>
        </w:rPr>
        <w:t xml:space="preserve"> y conservación cultural y ma</w:t>
      </w:r>
      <w:r w:rsidR="06B49E11" w:rsidRPr="449377F1">
        <w:rPr>
          <w:rFonts w:ascii="Verdana" w:hAnsi="Verdana" w:cs="Arial"/>
          <w:sz w:val="22"/>
          <w:szCs w:val="22"/>
        </w:rPr>
        <w:t>teriales de construcción dentro de</w:t>
      </w:r>
      <w:r w:rsidRPr="449377F1">
        <w:rPr>
          <w:rFonts w:ascii="Verdana" w:hAnsi="Verdana" w:cs="Arial"/>
          <w:sz w:val="22"/>
          <w:szCs w:val="22"/>
        </w:rPr>
        <w:t xml:space="preserve"> las matrices</w:t>
      </w:r>
      <w:r w:rsidR="3985ED8D" w:rsidRPr="449377F1">
        <w:rPr>
          <w:rFonts w:ascii="Verdana" w:hAnsi="Verdana" w:cs="Arial"/>
          <w:sz w:val="22"/>
          <w:szCs w:val="22"/>
        </w:rPr>
        <w:t>.</w:t>
      </w:r>
    </w:p>
    <w:p w14:paraId="194344D2" w14:textId="0F865D5A" w:rsidR="3985ED8D" w:rsidRDefault="3985ED8D" w:rsidP="449377F1">
      <w:pPr>
        <w:numPr>
          <w:ilvl w:val="0"/>
          <w:numId w:val="53"/>
        </w:numPr>
        <w:jc w:val="both"/>
        <w:rPr>
          <w:rFonts w:ascii="Verdana" w:hAnsi="Verdana" w:cs="Arial"/>
          <w:sz w:val="22"/>
          <w:szCs w:val="22"/>
        </w:rPr>
      </w:pPr>
      <w:r w:rsidRPr="449377F1">
        <w:rPr>
          <w:rFonts w:ascii="Verdana" w:hAnsi="Verdana" w:cs="Arial"/>
          <w:sz w:val="22"/>
          <w:szCs w:val="22"/>
        </w:rPr>
        <w:t>Por parte de la A</w:t>
      </w:r>
      <w:r w:rsidR="0B0B4102" w:rsidRPr="449377F1">
        <w:rPr>
          <w:rFonts w:ascii="Verdana" w:hAnsi="Verdana" w:cs="Arial"/>
          <w:sz w:val="22"/>
          <w:szCs w:val="22"/>
        </w:rPr>
        <w:t>r</w:t>
      </w:r>
      <w:r w:rsidRPr="449377F1">
        <w:rPr>
          <w:rFonts w:ascii="Verdana" w:hAnsi="Verdana" w:cs="Arial"/>
          <w:sz w:val="22"/>
          <w:szCs w:val="22"/>
        </w:rPr>
        <w:t>mada Nacional de Colombia,</w:t>
      </w:r>
      <w:r w:rsidR="429B3B9A" w:rsidRPr="449377F1">
        <w:rPr>
          <w:rFonts w:ascii="Verdana" w:hAnsi="Verdana" w:cs="Arial"/>
          <w:sz w:val="22"/>
          <w:szCs w:val="22"/>
        </w:rPr>
        <w:t xml:space="preserve"> se recomendó incluir dentro de los proyectos de construcción la inclusión de experiencia especifica en cimentación de proyectos.</w:t>
      </w:r>
    </w:p>
    <w:p w14:paraId="60ABD884" w14:textId="42D16658" w:rsidR="429B3B9A" w:rsidRDefault="429B3B9A" w:rsidP="449377F1">
      <w:pPr>
        <w:numPr>
          <w:ilvl w:val="0"/>
          <w:numId w:val="53"/>
        </w:numPr>
        <w:jc w:val="both"/>
        <w:rPr>
          <w:rFonts w:ascii="Verdana" w:hAnsi="Verdana" w:cs="Arial"/>
          <w:sz w:val="22"/>
          <w:szCs w:val="22"/>
        </w:rPr>
      </w:pPr>
      <w:r w:rsidRPr="449377F1">
        <w:rPr>
          <w:rFonts w:ascii="Verdana" w:hAnsi="Verdana" w:cs="Arial"/>
          <w:sz w:val="22"/>
          <w:szCs w:val="22"/>
        </w:rPr>
        <w:t>En algunas Actividades se incluyó la Experiencia Específica y el Porcentaje de Dimensionamiento</w:t>
      </w:r>
    </w:p>
    <w:p w14:paraId="4250BA03" w14:textId="4214BB62" w:rsidR="429B3B9A" w:rsidRDefault="429B3B9A" w:rsidP="449377F1">
      <w:pPr>
        <w:pStyle w:val="Prrafodelista"/>
        <w:numPr>
          <w:ilvl w:val="0"/>
          <w:numId w:val="53"/>
        </w:numPr>
        <w:rPr>
          <w:rFonts w:ascii="Verdana" w:hAnsi="Verdana" w:cs="Arial"/>
        </w:rPr>
      </w:pPr>
      <w:r w:rsidRPr="449377F1">
        <w:rPr>
          <w:rFonts w:ascii="Verdana" w:eastAsia="Times New Roman" w:hAnsi="Verdana" w:cs="Arial"/>
          <w:lang w:eastAsia="es-MX"/>
        </w:rPr>
        <w:t>En muchas actividades se complementó o adicionó la descripción de estas.</w:t>
      </w:r>
    </w:p>
    <w:p w14:paraId="743CC370" w14:textId="09CFA877" w:rsidR="429B3B9A" w:rsidRDefault="429B3B9A" w:rsidP="449377F1">
      <w:pPr>
        <w:pStyle w:val="Prrafodelista"/>
        <w:numPr>
          <w:ilvl w:val="0"/>
          <w:numId w:val="53"/>
        </w:numPr>
        <w:rPr>
          <w:rFonts w:ascii="Verdana" w:hAnsi="Verdana" w:cs="Arial"/>
        </w:rPr>
      </w:pPr>
      <w:r w:rsidRPr="449377F1">
        <w:rPr>
          <w:rFonts w:ascii="Verdana" w:eastAsia="Times New Roman" w:hAnsi="Verdana" w:cs="Arial"/>
          <w:lang w:eastAsia="es-MX"/>
        </w:rPr>
        <w:t>Se adicionaron algunas notas que complementan o aclaran la solicitud de experiencia</w:t>
      </w:r>
    </w:p>
    <w:p w14:paraId="0C6605E4" w14:textId="5409572C" w:rsidR="429B3B9A" w:rsidRDefault="429B3B9A" w:rsidP="449377F1">
      <w:pPr>
        <w:pStyle w:val="Prrafodelista"/>
        <w:numPr>
          <w:ilvl w:val="0"/>
          <w:numId w:val="53"/>
        </w:numPr>
        <w:rPr>
          <w:rFonts w:ascii="Verdana" w:hAnsi="Verdana" w:cs="Arial"/>
        </w:rPr>
      </w:pPr>
      <w:r w:rsidRPr="0C601FD4">
        <w:rPr>
          <w:rFonts w:ascii="Verdana" w:eastAsia="Times New Roman" w:hAnsi="Verdana" w:cs="Arial"/>
          <w:lang w:eastAsia="es-MX"/>
        </w:rPr>
        <w:t>Se amplía el ámbito de intervención en las actividades para que sea coherente con la experiencia que se requiere y se incluyen las descripciones dentro del glosario</w:t>
      </w:r>
      <w:r w:rsidR="45D6A721" w:rsidRPr="0C601FD4">
        <w:rPr>
          <w:rFonts w:ascii="Verdana" w:eastAsia="Times New Roman" w:hAnsi="Verdana" w:cs="Arial"/>
          <w:lang w:eastAsia="es-MX"/>
        </w:rPr>
        <w:t>.</w:t>
      </w:r>
    </w:p>
    <w:p w14:paraId="4FC075D0" w14:textId="6C8A1573" w:rsidR="429B3B9A" w:rsidRDefault="429B3B9A" w:rsidP="00B00FCB">
      <w:pPr>
        <w:pStyle w:val="Prrafodelista"/>
        <w:rPr>
          <w:rFonts w:ascii="Verdana" w:hAnsi="Verdana" w:cs="Arial"/>
        </w:rPr>
      </w:pPr>
    </w:p>
    <w:p w14:paraId="6A6D7A7A" w14:textId="44897217" w:rsidR="3355440C" w:rsidRDefault="397B8DB4" w:rsidP="00B00FCB">
      <w:pPr>
        <w:ind w:left="720"/>
        <w:jc w:val="both"/>
        <w:rPr>
          <w:sz w:val="22"/>
          <w:szCs w:val="22"/>
        </w:rPr>
      </w:pPr>
      <w:r w:rsidRPr="00B00FCB">
        <w:rPr>
          <w:rFonts w:ascii="Verdana" w:eastAsia="Verdana" w:hAnsi="Verdana" w:cs="Verdana"/>
          <w:color w:val="000000" w:themeColor="text1"/>
          <w:sz w:val="22"/>
          <w:szCs w:val="22"/>
          <w:lang w:val="es-ES"/>
        </w:rPr>
        <w:t>Nota</w:t>
      </w:r>
      <w:r w:rsidRPr="00B00FCB">
        <w:rPr>
          <w:rFonts w:ascii="Verdana" w:eastAsia="Verdana" w:hAnsi="Verdana" w:cs="Verdana"/>
          <w:sz w:val="22"/>
          <w:szCs w:val="22"/>
          <w:lang w:val="es-ES"/>
        </w:rPr>
        <w:t xml:space="preserve">: En caso de que la intervención a realizar sobre la Infraestructura Cultural corresponda a un proyecto </w:t>
      </w:r>
      <w:r w:rsidRPr="00B00FCB">
        <w:rPr>
          <w:rFonts w:ascii="Verdana" w:eastAsia="Verdana" w:hAnsi="Verdana" w:cs="Verdana"/>
          <w:b/>
          <w:bCs/>
          <w:sz w:val="22"/>
          <w:szCs w:val="22"/>
          <w:lang w:val="es-ES"/>
        </w:rPr>
        <w:t xml:space="preserve">que contemple conocimiento de prácticas constructivas especiales que solo se manejen en cierta región especifica, por temas de manejo de materiales según la zona climática del proyecto que se pretende acreditar, la entidad deberá demostrar esta situación dentro del estudio previo del proceso.  Así como </w:t>
      </w:r>
      <w:r w:rsidRPr="00B00FCB">
        <w:rPr>
          <w:rFonts w:ascii="Verdana" w:eastAsia="Verdana" w:hAnsi="Verdana" w:cs="Verdana"/>
          <w:sz w:val="22"/>
          <w:szCs w:val="22"/>
          <w:lang w:val="es-ES"/>
        </w:rPr>
        <w:t xml:space="preserve">en  materiales como </w:t>
      </w:r>
      <w:r w:rsidRPr="00B00FCB">
        <w:rPr>
          <w:rFonts w:ascii="Verdana" w:eastAsia="Verdana" w:hAnsi="Verdana" w:cs="Verdana"/>
          <w:b/>
          <w:bCs/>
          <w:sz w:val="22"/>
          <w:szCs w:val="22"/>
          <w:lang w:val="es-ES"/>
        </w:rPr>
        <w:t>madera,</w:t>
      </w:r>
      <w:r w:rsidRPr="00B00FCB">
        <w:rPr>
          <w:rFonts w:ascii="Verdana" w:eastAsia="Verdana" w:hAnsi="Verdana" w:cs="Verdana"/>
          <w:sz w:val="22"/>
          <w:szCs w:val="22"/>
          <w:lang w:val="es-ES"/>
        </w:rPr>
        <w:t xml:space="preserve"> </w:t>
      </w:r>
      <w:r w:rsidRPr="00B00FCB">
        <w:rPr>
          <w:rFonts w:ascii="Verdana" w:eastAsia="Verdana" w:hAnsi="Verdana" w:cs="Verdana"/>
          <w:b/>
          <w:bCs/>
          <w:sz w:val="22"/>
          <w:szCs w:val="22"/>
          <w:lang w:val="es-ES"/>
        </w:rPr>
        <w:t xml:space="preserve">guadua, TAPIA PISADA O ADOBE </w:t>
      </w:r>
      <w:r w:rsidRPr="00B00FCB">
        <w:rPr>
          <w:rFonts w:ascii="Verdana" w:eastAsia="Verdana" w:hAnsi="Verdana" w:cs="Verdana"/>
          <w:sz w:val="22"/>
          <w:szCs w:val="22"/>
          <w:lang w:val="es-ES"/>
        </w:rPr>
        <w:t xml:space="preserve">o </w:t>
      </w:r>
      <w:r w:rsidRPr="00B00FCB">
        <w:rPr>
          <w:rFonts w:ascii="Verdana" w:eastAsia="Verdana" w:hAnsi="Verdana" w:cs="Verdana"/>
          <w:b/>
          <w:bCs/>
          <w:sz w:val="22"/>
          <w:szCs w:val="22"/>
          <w:lang w:val="es-ES"/>
        </w:rPr>
        <w:t>bahareque,</w:t>
      </w:r>
      <w:r w:rsidRPr="00B00FCB">
        <w:rPr>
          <w:rFonts w:ascii="Verdana" w:eastAsia="Verdana" w:hAnsi="Verdana" w:cs="Verdana"/>
          <w:sz w:val="22"/>
          <w:szCs w:val="22"/>
          <w:lang w:val="es-ES"/>
        </w:rPr>
        <w:t xml:space="preserve"> adicionalmente, deberá exigirse </w:t>
      </w:r>
      <w:r w:rsidRPr="00B00FCB">
        <w:rPr>
          <w:rFonts w:ascii="Verdana" w:eastAsia="Verdana" w:hAnsi="Verdana" w:cs="Verdana"/>
          <w:b/>
          <w:bCs/>
          <w:sz w:val="22"/>
          <w:szCs w:val="22"/>
          <w:lang w:val="es-ES"/>
        </w:rPr>
        <w:t>uno o alguno de los siguientes requisitos</w:t>
      </w:r>
      <w:r w:rsidRPr="00B00FCB">
        <w:rPr>
          <w:rFonts w:ascii="Verdana" w:eastAsia="Verdana" w:hAnsi="Verdana" w:cs="Verdana"/>
          <w:sz w:val="22"/>
          <w:szCs w:val="22"/>
          <w:lang w:val="es-ES"/>
        </w:rPr>
        <w:t xml:space="preserve"> de experiencia específica, al cual NO le es aplicable el "% DE DIMENSIONAMIENTO</w:t>
      </w:r>
      <w:r w:rsidRPr="00B00FCB">
        <w:rPr>
          <w:rFonts w:ascii="Verdana" w:eastAsia="Verdana" w:hAnsi="Verdana" w:cs="Verdana"/>
          <w:color w:val="000000" w:themeColor="text1"/>
          <w:sz w:val="22"/>
          <w:szCs w:val="22"/>
          <w:lang w:val="es-ES"/>
        </w:rPr>
        <w:t>".</w:t>
      </w:r>
      <w:r w:rsidR="3355440C">
        <w:br/>
      </w:r>
      <w:r w:rsidR="3355440C">
        <w:br/>
      </w:r>
      <w:r w:rsidRPr="00B00FCB">
        <w:rPr>
          <w:rFonts w:ascii="Verdana" w:eastAsia="Verdana" w:hAnsi="Verdana" w:cs="Verdana"/>
          <w:color w:val="000000" w:themeColor="text1"/>
          <w:sz w:val="22"/>
          <w:szCs w:val="22"/>
          <w:lang w:val="es-ES"/>
        </w:rPr>
        <w:lastRenderedPageBreak/>
        <w:t>i) Por lo menos uno (1) de los contratos válidos aportados como experiencia general deben contemplar la CONSTRUCCIÓN Y/O AMPLIACIÓN Y/O RECONSTRUCCIÓN de edificaciones en alguno, o algunos, de los siguientes materiales como predominante: madera, guadua o bahareque.</w:t>
      </w:r>
      <w:r w:rsidR="3355440C">
        <w:br/>
      </w:r>
      <w:r w:rsidR="3355440C">
        <w:br/>
      </w:r>
      <w:r w:rsidRPr="00B00FCB">
        <w:rPr>
          <w:rFonts w:ascii="Verdana" w:eastAsia="Verdana" w:hAnsi="Verdana" w:cs="Verdana"/>
          <w:sz w:val="22"/>
          <w:szCs w:val="22"/>
          <w:lang w:val="es-ES"/>
        </w:rPr>
        <w:t>ii) Por lo menos uno (1) de los contratos válidos aportados como experiencia general deben contemplar la CONSTRUCCIÓN Y/O AMPLIACIÓN Y/O RECONSTRUCCIÓN de edificaciones o infraestructura cultural  en alguna técnica constructiva ancestral O VERNACULA DE LA REGION.</w:t>
      </w:r>
    </w:p>
    <w:p w14:paraId="7121F11B" w14:textId="6FFA3004" w:rsidR="0059677C" w:rsidRPr="00A81BAA" w:rsidRDefault="00FE049D" w:rsidP="00E42FDE">
      <w:pPr>
        <w:pStyle w:val="Ttulo2"/>
        <w:numPr>
          <w:ilvl w:val="0"/>
          <w:numId w:val="46"/>
        </w:numPr>
        <w:rPr>
          <w:rFonts w:ascii="Verdana" w:hAnsi="Verdana" w:cs="Arial"/>
          <w:color w:val="auto"/>
          <w:szCs w:val="22"/>
        </w:rPr>
      </w:pPr>
      <w:bookmarkStart w:id="30" w:name="_Toc196716370"/>
      <w:r w:rsidRPr="00A81BAA">
        <w:rPr>
          <w:rFonts w:ascii="Verdana" w:hAnsi="Verdana" w:cs="Arial"/>
          <w:color w:val="auto"/>
          <w:szCs w:val="22"/>
        </w:rPr>
        <w:t>Capacidad financiera y organizacional</w:t>
      </w:r>
      <w:bookmarkEnd w:id="30"/>
    </w:p>
    <w:p w14:paraId="6555DC39" w14:textId="77777777" w:rsidR="0059677C" w:rsidRPr="00A81BAA" w:rsidRDefault="0059677C" w:rsidP="0059677C">
      <w:pPr>
        <w:rPr>
          <w:rFonts w:ascii="Verdana" w:hAnsi="Verdana" w:cs="Arial"/>
        </w:rPr>
      </w:pPr>
    </w:p>
    <w:p w14:paraId="34560B62" w14:textId="125AE5AC" w:rsidR="00DC2BB8" w:rsidRPr="00A81BAA" w:rsidRDefault="00036DAD" w:rsidP="00F92A7F">
      <w:pPr>
        <w:spacing w:line="276" w:lineRule="auto"/>
        <w:rPr>
          <w:rFonts w:ascii="Verdana" w:hAnsi="Verdana" w:cs="Arial"/>
          <w:b/>
          <w:sz w:val="22"/>
          <w:szCs w:val="22"/>
        </w:rPr>
      </w:pPr>
      <w:r w:rsidRPr="00A81BAA">
        <w:rPr>
          <w:rFonts w:ascii="Verdana" w:hAnsi="Verdana" w:cs="Arial"/>
          <w:b/>
          <w:sz w:val="22"/>
          <w:szCs w:val="22"/>
        </w:rPr>
        <w:t>Perfilamiento del sector</w:t>
      </w:r>
    </w:p>
    <w:p w14:paraId="63FF807F" w14:textId="77777777" w:rsidR="00DC2BB8" w:rsidRPr="00A81BAA" w:rsidRDefault="00DC2BB8" w:rsidP="00DC2BB8">
      <w:pPr>
        <w:jc w:val="both"/>
        <w:rPr>
          <w:rFonts w:ascii="Verdana" w:eastAsia="Arial" w:hAnsi="Verdana" w:cs="Arial"/>
          <w:sz w:val="22"/>
          <w:szCs w:val="22"/>
        </w:rPr>
      </w:pPr>
    </w:p>
    <w:p w14:paraId="6A605760" w14:textId="469378E8" w:rsidR="00521AAE" w:rsidRDefault="002177D1" w:rsidP="002177D1">
      <w:pPr>
        <w:pStyle w:val="Descripcin"/>
        <w:keepNext/>
        <w:jc w:val="both"/>
        <w:rPr>
          <w:lang w:val="es-CO"/>
        </w:rPr>
      </w:pPr>
      <w:r w:rsidRPr="002177D1">
        <w:rPr>
          <w:rFonts w:ascii="Verdana" w:eastAsia="Arial" w:hAnsi="Verdana" w:cs="Arial"/>
          <w:b w:val="0"/>
          <w:bCs w:val="0"/>
          <w:sz w:val="22"/>
          <w:szCs w:val="22"/>
          <w:lang w:val="es-CO" w:eastAsia="es-MX"/>
        </w:rPr>
        <w:t>Según la Clasificación Industrial Internacional Uniforme de todas las actividades económicas, revisión 4 adaptada para Colombia (CIIU Rev. 4 A.C), las empresas que ofrecen los servicios de obra de infraestructura de transporte se clasifican principalmente en los siguientes códigos CIIU y actividad económica:</w:t>
      </w:r>
    </w:p>
    <w:p w14:paraId="42709C2A" w14:textId="04E2A183" w:rsidR="00521AAE" w:rsidRPr="005C7E10" w:rsidRDefault="00521AAE" w:rsidP="005C7E10">
      <w:pPr>
        <w:pStyle w:val="Descripcin"/>
        <w:keepNext/>
        <w:rPr>
          <w:rFonts w:ascii="Verdana" w:hAnsi="Verdana"/>
          <w:sz w:val="22"/>
          <w:szCs w:val="22"/>
        </w:rPr>
      </w:pPr>
      <w:bookmarkStart w:id="31" w:name="_Toc180136822"/>
      <w:r w:rsidRPr="005C7E10">
        <w:rPr>
          <w:rFonts w:ascii="Verdana" w:hAnsi="Verdana"/>
          <w:sz w:val="22"/>
          <w:szCs w:val="22"/>
        </w:rPr>
        <w:t xml:space="preserve">Tabla </w:t>
      </w:r>
      <w:r w:rsidRPr="005C7E10">
        <w:rPr>
          <w:rFonts w:ascii="Verdana" w:hAnsi="Verdana"/>
          <w:sz w:val="22"/>
          <w:szCs w:val="22"/>
        </w:rPr>
        <w:fldChar w:fldCharType="begin"/>
      </w:r>
      <w:r w:rsidRPr="005C7E10">
        <w:rPr>
          <w:rFonts w:ascii="Verdana" w:hAnsi="Verdana"/>
          <w:sz w:val="22"/>
          <w:szCs w:val="22"/>
        </w:rPr>
        <w:instrText xml:space="preserve"> SEQ Tabla \* ARABIC </w:instrText>
      </w:r>
      <w:r w:rsidRPr="005C7E10">
        <w:rPr>
          <w:rFonts w:ascii="Verdana" w:hAnsi="Verdana"/>
          <w:sz w:val="22"/>
          <w:szCs w:val="22"/>
        </w:rPr>
        <w:fldChar w:fldCharType="separate"/>
      </w:r>
      <w:r w:rsidR="00CF739E">
        <w:rPr>
          <w:rFonts w:ascii="Verdana" w:hAnsi="Verdana"/>
          <w:noProof/>
          <w:sz w:val="22"/>
          <w:szCs w:val="22"/>
        </w:rPr>
        <w:t>6</w:t>
      </w:r>
      <w:r w:rsidRPr="005C7E10">
        <w:rPr>
          <w:rFonts w:ascii="Verdana" w:hAnsi="Verdana"/>
          <w:sz w:val="22"/>
          <w:szCs w:val="22"/>
        </w:rPr>
        <w:fldChar w:fldCharType="end"/>
      </w:r>
      <w:r w:rsidRPr="005C7E10">
        <w:rPr>
          <w:rFonts w:ascii="Verdana" w:hAnsi="Verdana"/>
          <w:sz w:val="22"/>
          <w:szCs w:val="22"/>
        </w:rPr>
        <w:t>. Actividad económica- Código CIIU principal</w:t>
      </w:r>
      <w:bookmarkEnd w:id="31"/>
    </w:p>
    <w:tbl>
      <w:tblPr>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1276"/>
        <w:gridCol w:w="997"/>
        <w:gridCol w:w="6369"/>
      </w:tblGrid>
      <w:tr w:rsidR="0014727D" w:rsidRPr="0014727D" w14:paraId="6E4E09F8" w14:textId="77777777" w:rsidTr="0044671B">
        <w:trPr>
          <w:trHeight w:val="300"/>
          <w:tblHeader/>
          <w:jc w:val="center"/>
        </w:trPr>
        <w:tc>
          <w:tcPr>
            <w:tcW w:w="8642" w:type="dxa"/>
            <w:gridSpan w:val="3"/>
            <w:shd w:val="clear" w:color="auto" w:fill="BFBFBF"/>
            <w:noWrap/>
            <w:vAlign w:val="center"/>
            <w:hideMark/>
          </w:tcPr>
          <w:p w14:paraId="46600FE1" w14:textId="77777777" w:rsidR="0014727D" w:rsidRPr="0014727D" w:rsidRDefault="0014727D" w:rsidP="0044671B">
            <w:pPr>
              <w:jc w:val="center"/>
              <w:rPr>
                <w:rFonts w:ascii="Verdana" w:hAnsi="Verdana" w:cs="Arial"/>
                <w:b/>
                <w:bCs/>
                <w:color w:val="000000"/>
                <w:sz w:val="20"/>
                <w:szCs w:val="20"/>
                <w:lang w:eastAsia="es-CO"/>
              </w:rPr>
            </w:pPr>
            <w:r w:rsidRPr="0014727D">
              <w:rPr>
                <w:rFonts w:ascii="Verdana" w:hAnsi="Verdana" w:cs="Arial"/>
                <w:b/>
                <w:bCs/>
                <w:color w:val="000000"/>
                <w:sz w:val="20"/>
                <w:szCs w:val="20"/>
                <w:lang w:eastAsia="es-CO"/>
              </w:rPr>
              <w:t>Clasificación CIIU Rev. 4 A.C</w:t>
            </w:r>
          </w:p>
        </w:tc>
      </w:tr>
      <w:tr w:rsidR="0014727D" w:rsidRPr="0014727D" w14:paraId="0826FDE1" w14:textId="77777777" w:rsidTr="0044671B">
        <w:trPr>
          <w:trHeight w:val="466"/>
          <w:jc w:val="center"/>
        </w:trPr>
        <w:tc>
          <w:tcPr>
            <w:tcW w:w="1276" w:type="dxa"/>
            <w:shd w:val="clear" w:color="auto" w:fill="D9D9D9"/>
            <w:noWrap/>
            <w:vAlign w:val="center"/>
          </w:tcPr>
          <w:p w14:paraId="42E16A20" w14:textId="77777777" w:rsidR="0014727D" w:rsidRPr="0014727D" w:rsidRDefault="0014727D" w:rsidP="0044671B">
            <w:pPr>
              <w:jc w:val="center"/>
              <w:rPr>
                <w:rFonts w:ascii="Verdana" w:hAnsi="Verdana" w:cs="Arial"/>
                <w:b/>
                <w:bCs/>
                <w:color w:val="000000"/>
                <w:sz w:val="20"/>
                <w:szCs w:val="20"/>
                <w:lang w:eastAsia="es-CO"/>
              </w:rPr>
            </w:pPr>
            <w:r w:rsidRPr="0014727D">
              <w:rPr>
                <w:rFonts w:ascii="Verdana" w:hAnsi="Verdana" w:cs="Arial"/>
                <w:b/>
                <w:bCs/>
                <w:color w:val="000000"/>
                <w:sz w:val="20"/>
                <w:szCs w:val="20"/>
                <w:lang w:eastAsia="es-CO"/>
              </w:rPr>
              <w:t xml:space="preserve">SECCIÓN </w:t>
            </w:r>
          </w:p>
        </w:tc>
        <w:tc>
          <w:tcPr>
            <w:tcW w:w="997" w:type="dxa"/>
            <w:shd w:val="clear" w:color="auto" w:fill="D9D9D9"/>
            <w:noWrap/>
            <w:vAlign w:val="center"/>
          </w:tcPr>
          <w:p w14:paraId="5CB1315A" w14:textId="77777777" w:rsidR="0014727D" w:rsidRPr="0014727D" w:rsidRDefault="0014727D" w:rsidP="0044671B">
            <w:pPr>
              <w:jc w:val="center"/>
              <w:rPr>
                <w:rFonts w:ascii="Verdana" w:hAnsi="Verdana" w:cs="Arial"/>
                <w:b/>
                <w:color w:val="000000"/>
                <w:sz w:val="20"/>
                <w:szCs w:val="20"/>
                <w:lang w:eastAsia="es-CO"/>
              </w:rPr>
            </w:pPr>
            <w:r w:rsidRPr="0014727D">
              <w:rPr>
                <w:rFonts w:ascii="Verdana" w:hAnsi="Verdana" w:cs="Arial"/>
                <w:b/>
                <w:color w:val="000000"/>
                <w:sz w:val="20"/>
                <w:szCs w:val="20"/>
                <w:lang w:eastAsia="es-CO"/>
              </w:rPr>
              <w:t>F</w:t>
            </w:r>
          </w:p>
        </w:tc>
        <w:tc>
          <w:tcPr>
            <w:tcW w:w="6369" w:type="dxa"/>
            <w:shd w:val="clear" w:color="auto" w:fill="D9D9D9"/>
            <w:vAlign w:val="center"/>
          </w:tcPr>
          <w:p w14:paraId="14BF40D6" w14:textId="77777777" w:rsidR="0014727D" w:rsidRPr="0014727D" w:rsidRDefault="0014727D" w:rsidP="0044671B">
            <w:pPr>
              <w:rPr>
                <w:rFonts w:ascii="Verdana" w:hAnsi="Verdana" w:cs="Arial"/>
                <w:b/>
                <w:bCs/>
                <w:sz w:val="20"/>
                <w:szCs w:val="20"/>
              </w:rPr>
            </w:pPr>
            <w:r w:rsidRPr="0014727D">
              <w:rPr>
                <w:rFonts w:ascii="Verdana" w:hAnsi="Verdana" w:cs="Arial"/>
                <w:b/>
                <w:bCs/>
                <w:sz w:val="20"/>
                <w:szCs w:val="20"/>
              </w:rPr>
              <w:t>CONSTRUCCIÓN</w:t>
            </w:r>
          </w:p>
        </w:tc>
      </w:tr>
      <w:tr w:rsidR="0014727D" w:rsidRPr="0014727D" w14:paraId="74B6A741" w14:textId="77777777" w:rsidTr="0044671B">
        <w:trPr>
          <w:trHeight w:val="545"/>
          <w:jc w:val="center"/>
        </w:trPr>
        <w:tc>
          <w:tcPr>
            <w:tcW w:w="1276" w:type="dxa"/>
            <w:shd w:val="clear" w:color="auto" w:fill="F2F2F2" w:themeFill="background1" w:themeFillShade="F2"/>
            <w:noWrap/>
            <w:vAlign w:val="center"/>
          </w:tcPr>
          <w:p w14:paraId="5AE653B0" w14:textId="77777777" w:rsidR="0014727D" w:rsidRPr="0014727D" w:rsidRDefault="0014727D" w:rsidP="0044671B">
            <w:pPr>
              <w:jc w:val="center"/>
              <w:rPr>
                <w:rFonts w:ascii="Verdana" w:hAnsi="Verdana" w:cs="Arial"/>
                <w:b/>
                <w:bCs/>
                <w:color w:val="000000"/>
                <w:sz w:val="20"/>
                <w:szCs w:val="20"/>
                <w:lang w:eastAsia="es-CO"/>
              </w:rPr>
            </w:pPr>
            <w:r w:rsidRPr="0014727D">
              <w:rPr>
                <w:rFonts w:ascii="Verdana" w:hAnsi="Verdana" w:cs="Arial"/>
                <w:b/>
                <w:bCs/>
                <w:color w:val="000000"/>
                <w:sz w:val="20"/>
                <w:szCs w:val="20"/>
                <w:lang w:eastAsia="es-CO"/>
              </w:rPr>
              <w:t>División</w:t>
            </w:r>
          </w:p>
        </w:tc>
        <w:tc>
          <w:tcPr>
            <w:tcW w:w="997" w:type="dxa"/>
            <w:shd w:val="clear" w:color="auto" w:fill="F2F2F2" w:themeFill="background1" w:themeFillShade="F2"/>
            <w:noWrap/>
            <w:vAlign w:val="center"/>
          </w:tcPr>
          <w:p w14:paraId="5125748F" w14:textId="77777777" w:rsidR="0014727D" w:rsidRPr="0014727D" w:rsidRDefault="0014727D" w:rsidP="0044671B">
            <w:pPr>
              <w:jc w:val="center"/>
              <w:rPr>
                <w:rFonts w:ascii="Verdana" w:hAnsi="Verdana" w:cs="Arial"/>
                <w:b/>
                <w:bCs/>
                <w:color w:val="000000"/>
                <w:sz w:val="20"/>
                <w:szCs w:val="20"/>
                <w:lang w:eastAsia="es-CO"/>
              </w:rPr>
            </w:pPr>
            <w:r w:rsidRPr="0014727D">
              <w:rPr>
                <w:rFonts w:ascii="Verdana" w:hAnsi="Verdana" w:cs="Arial"/>
                <w:b/>
                <w:bCs/>
                <w:color w:val="000000"/>
                <w:sz w:val="20"/>
                <w:szCs w:val="20"/>
                <w:lang w:eastAsia="es-CO"/>
              </w:rPr>
              <w:t>41</w:t>
            </w:r>
          </w:p>
        </w:tc>
        <w:tc>
          <w:tcPr>
            <w:tcW w:w="6369" w:type="dxa"/>
            <w:shd w:val="clear" w:color="auto" w:fill="F2F2F2" w:themeFill="background1" w:themeFillShade="F2"/>
            <w:vAlign w:val="center"/>
          </w:tcPr>
          <w:p w14:paraId="24F561D3" w14:textId="77777777" w:rsidR="0014727D" w:rsidRPr="0014727D" w:rsidRDefault="0014727D" w:rsidP="0044671B">
            <w:pPr>
              <w:jc w:val="both"/>
              <w:rPr>
                <w:rFonts w:ascii="Verdana" w:hAnsi="Verdana" w:cs="Arial"/>
                <w:b/>
                <w:bCs/>
                <w:sz w:val="20"/>
                <w:szCs w:val="20"/>
              </w:rPr>
            </w:pPr>
            <w:r w:rsidRPr="0014727D">
              <w:rPr>
                <w:rFonts w:ascii="Verdana" w:hAnsi="Verdana" w:cs="Arial"/>
                <w:b/>
                <w:bCs/>
                <w:sz w:val="20"/>
                <w:szCs w:val="20"/>
              </w:rPr>
              <w:t>Construcción de edificios</w:t>
            </w:r>
          </w:p>
        </w:tc>
      </w:tr>
      <w:tr w:rsidR="0014727D" w:rsidRPr="0014727D" w14:paraId="3FE45475" w14:textId="77777777" w:rsidTr="0044671B">
        <w:trPr>
          <w:trHeight w:val="553"/>
          <w:jc w:val="center"/>
        </w:trPr>
        <w:tc>
          <w:tcPr>
            <w:tcW w:w="1276" w:type="dxa"/>
            <w:shd w:val="clear" w:color="auto" w:fill="auto"/>
            <w:noWrap/>
            <w:vAlign w:val="center"/>
          </w:tcPr>
          <w:p w14:paraId="1E3B4D05"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Clase</w:t>
            </w:r>
          </w:p>
        </w:tc>
        <w:tc>
          <w:tcPr>
            <w:tcW w:w="997" w:type="dxa"/>
            <w:shd w:val="clear" w:color="auto" w:fill="auto"/>
            <w:noWrap/>
            <w:vAlign w:val="center"/>
          </w:tcPr>
          <w:p w14:paraId="64067B93"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4111</w:t>
            </w:r>
          </w:p>
        </w:tc>
        <w:tc>
          <w:tcPr>
            <w:tcW w:w="6369" w:type="dxa"/>
            <w:shd w:val="clear" w:color="auto" w:fill="auto"/>
            <w:vAlign w:val="center"/>
          </w:tcPr>
          <w:p w14:paraId="67BFB089" w14:textId="77777777" w:rsidR="0014727D" w:rsidRPr="0014727D" w:rsidRDefault="0014727D" w:rsidP="0044671B">
            <w:pPr>
              <w:rPr>
                <w:rFonts w:ascii="Verdana" w:hAnsi="Verdana" w:cs="Arial"/>
                <w:bCs/>
                <w:sz w:val="20"/>
                <w:szCs w:val="20"/>
              </w:rPr>
            </w:pPr>
            <w:r w:rsidRPr="0014727D">
              <w:rPr>
                <w:rFonts w:ascii="Verdana" w:hAnsi="Verdana" w:cs="Arial"/>
                <w:bCs/>
                <w:sz w:val="20"/>
                <w:szCs w:val="20"/>
              </w:rPr>
              <w:t>Construcción de edificios residenciales</w:t>
            </w:r>
          </w:p>
        </w:tc>
      </w:tr>
      <w:tr w:rsidR="0014727D" w:rsidRPr="0014727D" w14:paraId="43F0AB14" w14:textId="77777777" w:rsidTr="0044671B">
        <w:trPr>
          <w:trHeight w:val="553"/>
          <w:jc w:val="center"/>
        </w:trPr>
        <w:tc>
          <w:tcPr>
            <w:tcW w:w="1276" w:type="dxa"/>
            <w:shd w:val="clear" w:color="auto" w:fill="auto"/>
            <w:noWrap/>
            <w:vAlign w:val="center"/>
          </w:tcPr>
          <w:p w14:paraId="3588DA6E"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Clase</w:t>
            </w:r>
          </w:p>
        </w:tc>
        <w:tc>
          <w:tcPr>
            <w:tcW w:w="997" w:type="dxa"/>
            <w:shd w:val="clear" w:color="auto" w:fill="auto"/>
            <w:noWrap/>
            <w:vAlign w:val="center"/>
          </w:tcPr>
          <w:p w14:paraId="5E308434"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4112</w:t>
            </w:r>
          </w:p>
        </w:tc>
        <w:tc>
          <w:tcPr>
            <w:tcW w:w="6369" w:type="dxa"/>
            <w:shd w:val="clear" w:color="auto" w:fill="auto"/>
            <w:vAlign w:val="center"/>
          </w:tcPr>
          <w:p w14:paraId="064C9B5B" w14:textId="77777777" w:rsidR="0014727D" w:rsidRPr="0014727D" w:rsidRDefault="0014727D" w:rsidP="0044671B">
            <w:pPr>
              <w:rPr>
                <w:rFonts w:ascii="Verdana" w:hAnsi="Verdana" w:cs="Arial"/>
                <w:bCs/>
                <w:sz w:val="20"/>
                <w:szCs w:val="20"/>
              </w:rPr>
            </w:pPr>
            <w:r w:rsidRPr="0014727D">
              <w:rPr>
                <w:rFonts w:ascii="Verdana" w:hAnsi="Verdana" w:cs="Arial"/>
                <w:bCs/>
                <w:sz w:val="20"/>
                <w:szCs w:val="20"/>
              </w:rPr>
              <w:t>Construcción de edificios no residenciales</w:t>
            </w:r>
          </w:p>
        </w:tc>
      </w:tr>
      <w:tr w:rsidR="0014727D" w:rsidRPr="0014727D" w14:paraId="2283EADB" w14:textId="77777777" w:rsidTr="0044671B">
        <w:trPr>
          <w:trHeight w:val="553"/>
          <w:jc w:val="center"/>
        </w:trPr>
        <w:tc>
          <w:tcPr>
            <w:tcW w:w="1276" w:type="dxa"/>
            <w:shd w:val="clear" w:color="auto" w:fill="F2F2F2" w:themeFill="background1" w:themeFillShade="F2"/>
            <w:noWrap/>
            <w:vAlign w:val="center"/>
          </w:tcPr>
          <w:p w14:paraId="02E000E0"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
                <w:bCs/>
                <w:color w:val="000000"/>
                <w:sz w:val="20"/>
                <w:szCs w:val="20"/>
                <w:lang w:eastAsia="es-CO"/>
              </w:rPr>
              <w:t>División</w:t>
            </w:r>
          </w:p>
        </w:tc>
        <w:tc>
          <w:tcPr>
            <w:tcW w:w="997" w:type="dxa"/>
            <w:shd w:val="clear" w:color="auto" w:fill="F2F2F2" w:themeFill="background1" w:themeFillShade="F2"/>
            <w:noWrap/>
            <w:vAlign w:val="center"/>
          </w:tcPr>
          <w:p w14:paraId="668E4659"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
                <w:bCs/>
                <w:color w:val="000000"/>
                <w:sz w:val="20"/>
                <w:szCs w:val="20"/>
                <w:lang w:eastAsia="es-CO"/>
              </w:rPr>
              <w:t>42</w:t>
            </w:r>
          </w:p>
        </w:tc>
        <w:tc>
          <w:tcPr>
            <w:tcW w:w="6369" w:type="dxa"/>
            <w:shd w:val="clear" w:color="auto" w:fill="F2F2F2" w:themeFill="background1" w:themeFillShade="F2"/>
            <w:vAlign w:val="center"/>
          </w:tcPr>
          <w:p w14:paraId="7B2DAE48" w14:textId="77777777" w:rsidR="0014727D" w:rsidRPr="0014727D" w:rsidRDefault="0014727D" w:rsidP="0044671B">
            <w:pPr>
              <w:rPr>
                <w:rFonts w:ascii="Verdana" w:hAnsi="Verdana" w:cs="Arial"/>
                <w:bCs/>
                <w:sz w:val="20"/>
                <w:szCs w:val="20"/>
              </w:rPr>
            </w:pPr>
            <w:r w:rsidRPr="0014727D">
              <w:rPr>
                <w:rFonts w:ascii="Verdana" w:hAnsi="Verdana" w:cs="Arial"/>
                <w:b/>
                <w:bCs/>
                <w:sz w:val="20"/>
                <w:szCs w:val="20"/>
              </w:rPr>
              <w:t>Obras de ingeniería civil</w:t>
            </w:r>
          </w:p>
        </w:tc>
      </w:tr>
      <w:tr w:rsidR="0014727D" w:rsidRPr="0014727D" w14:paraId="556C2AE8" w14:textId="77777777" w:rsidTr="0044671B">
        <w:trPr>
          <w:trHeight w:val="553"/>
          <w:jc w:val="center"/>
        </w:trPr>
        <w:tc>
          <w:tcPr>
            <w:tcW w:w="1276" w:type="dxa"/>
            <w:shd w:val="clear" w:color="auto" w:fill="auto"/>
            <w:noWrap/>
            <w:vAlign w:val="center"/>
          </w:tcPr>
          <w:p w14:paraId="39D5A036"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Clase</w:t>
            </w:r>
          </w:p>
        </w:tc>
        <w:tc>
          <w:tcPr>
            <w:tcW w:w="997" w:type="dxa"/>
            <w:shd w:val="clear" w:color="auto" w:fill="auto"/>
            <w:noWrap/>
            <w:vAlign w:val="center"/>
          </w:tcPr>
          <w:p w14:paraId="53700A7D"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4220</w:t>
            </w:r>
          </w:p>
        </w:tc>
        <w:tc>
          <w:tcPr>
            <w:tcW w:w="6369" w:type="dxa"/>
            <w:shd w:val="clear" w:color="auto" w:fill="auto"/>
            <w:vAlign w:val="center"/>
          </w:tcPr>
          <w:p w14:paraId="0C4F3335" w14:textId="77777777" w:rsidR="0014727D" w:rsidRPr="0014727D" w:rsidRDefault="0014727D" w:rsidP="0044671B">
            <w:pPr>
              <w:rPr>
                <w:rFonts w:ascii="Verdana" w:hAnsi="Verdana" w:cs="Arial"/>
                <w:bCs/>
                <w:sz w:val="20"/>
                <w:szCs w:val="20"/>
              </w:rPr>
            </w:pPr>
            <w:r w:rsidRPr="0014727D">
              <w:rPr>
                <w:rFonts w:ascii="Verdana" w:hAnsi="Verdana" w:cs="Arial"/>
                <w:bCs/>
                <w:sz w:val="20"/>
                <w:szCs w:val="20"/>
              </w:rPr>
              <w:t>Construcción de proyectos de servicio público</w:t>
            </w:r>
          </w:p>
        </w:tc>
      </w:tr>
      <w:tr w:rsidR="0014727D" w:rsidRPr="0014727D" w14:paraId="7732FE4E" w14:textId="77777777" w:rsidTr="0044671B">
        <w:trPr>
          <w:trHeight w:val="553"/>
          <w:jc w:val="center"/>
        </w:trPr>
        <w:tc>
          <w:tcPr>
            <w:tcW w:w="1276" w:type="dxa"/>
            <w:shd w:val="clear" w:color="auto" w:fill="auto"/>
            <w:noWrap/>
            <w:vAlign w:val="center"/>
          </w:tcPr>
          <w:p w14:paraId="31B6D807"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Clase</w:t>
            </w:r>
          </w:p>
        </w:tc>
        <w:tc>
          <w:tcPr>
            <w:tcW w:w="997" w:type="dxa"/>
            <w:shd w:val="clear" w:color="auto" w:fill="auto"/>
            <w:noWrap/>
            <w:vAlign w:val="center"/>
          </w:tcPr>
          <w:p w14:paraId="4E8A64E6" w14:textId="77777777" w:rsidR="0014727D" w:rsidRPr="0014727D" w:rsidRDefault="0014727D" w:rsidP="0044671B">
            <w:pPr>
              <w:jc w:val="center"/>
              <w:rPr>
                <w:rFonts w:ascii="Verdana" w:hAnsi="Verdana" w:cs="Arial"/>
                <w:bCs/>
                <w:color w:val="000000"/>
                <w:sz w:val="20"/>
                <w:szCs w:val="20"/>
                <w:lang w:eastAsia="es-CO"/>
              </w:rPr>
            </w:pPr>
            <w:r w:rsidRPr="0014727D">
              <w:rPr>
                <w:rFonts w:ascii="Verdana" w:hAnsi="Verdana" w:cs="Arial"/>
                <w:bCs/>
                <w:color w:val="000000"/>
                <w:sz w:val="20"/>
                <w:szCs w:val="20"/>
                <w:lang w:eastAsia="es-CO"/>
              </w:rPr>
              <w:t>4290</w:t>
            </w:r>
          </w:p>
        </w:tc>
        <w:tc>
          <w:tcPr>
            <w:tcW w:w="6369" w:type="dxa"/>
            <w:shd w:val="clear" w:color="auto" w:fill="auto"/>
            <w:vAlign w:val="center"/>
          </w:tcPr>
          <w:p w14:paraId="2E4DBC06" w14:textId="77777777" w:rsidR="0014727D" w:rsidRPr="0014727D" w:rsidRDefault="0014727D" w:rsidP="0044671B">
            <w:pPr>
              <w:rPr>
                <w:rFonts w:ascii="Verdana" w:hAnsi="Verdana" w:cs="Arial"/>
                <w:bCs/>
                <w:sz w:val="20"/>
                <w:szCs w:val="20"/>
              </w:rPr>
            </w:pPr>
            <w:r w:rsidRPr="0014727D">
              <w:rPr>
                <w:rFonts w:ascii="Verdana" w:hAnsi="Verdana" w:cs="Arial"/>
                <w:bCs/>
                <w:sz w:val="20"/>
                <w:szCs w:val="20"/>
              </w:rPr>
              <w:t>Construcción de otras obras de ingeniería civil</w:t>
            </w:r>
          </w:p>
        </w:tc>
      </w:tr>
    </w:tbl>
    <w:p w14:paraId="5B2C1DB8" w14:textId="77777777" w:rsidR="00D32D84" w:rsidRDefault="00D32D84" w:rsidP="00DC2BB8">
      <w:pPr>
        <w:pStyle w:val="Textonotapie"/>
        <w:rPr>
          <w:rFonts w:ascii="Verdana" w:eastAsia="Arial" w:hAnsi="Verdana" w:cs="Arial"/>
          <w:sz w:val="16"/>
          <w:szCs w:val="16"/>
        </w:rPr>
      </w:pPr>
    </w:p>
    <w:p w14:paraId="45CFAAE1" w14:textId="77777777" w:rsidR="00D32D84" w:rsidRDefault="00D32D84" w:rsidP="00DC2BB8">
      <w:pPr>
        <w:pStyle w:val="Textonotapie"/>
        <w:rPr>
          <w:rFonts w:ascii="Verdana" w:eastAsia="Arial" w:hAnsi="Verdana" w:cs="Arial"/>
          <w:sz w:val="16"/>
          <w:szCs w:val="16"/>
        </w:rPr>
      </w:pPr>
    </w:p>
    <w:p w14:paraId="5CB49455" w14:textId="77777777" w:rsidR="00D32D84" w:rsidRDefault="00D32D84" w:rsidP="00DC2BB8">
      <w:pPr>
        <w:pStyle w:val="Textonotapie"/>
        <w:rPr>
          <w:rFonts w:ascii="Verdana" w:eastAsia="Arial" w:hAnsi="Verdana" w:cs="Arial"/>
          <w:sz w:val="16"/>
          <w:szCs w:val="16"/>
        </w:rPr>
      </w:pPr>
    </w:p>
    <w:p w14:paraId="7606CFBB" w14:textId="4ADB5E11" w:rsidR="00DC2BB8" w:rsidRPr="00A81BAA" w:rsidRDefault="00DC2BB8" w:rsidP="00DC2BB8">
      <w:pPr>
        <w:pStyle w:val="Textonotapie"/>
        <w:rPr>
          <w:rFonts w:ascii="Verdana" w:eastAsia="Arial" w:hAnsi="Verdana" w:cs="Arial"/>
          <w:sz w:val="16"/>
          <w:szCs w:val="16"/>
          <w:lang w:val="es-ES"/>
        </w:rPr>
      </w:pPr>
      <w:r w:rsidRPr="00A81BAA">
        <w:rPr>
          <w:rFonts w:ascii="Verdana" w:eastAsia="Arial" w:hAnsi="Verdana" w:cs="Arial"/>
          <w:sz w:val="16"/>
          <w:szCs w:val="16"/>
        </w:rPr>
        <w:lastRenderedPageBreak/>
        <w:t xml:space="preserve">Fuente: Elaboración propia a partir del documento Clasificación Industrial Internacional Uniforme de todas las actividades económicas, revisión 4 adaptada para Colombia (CIIU Rev. 4 A.C). </w:t>
      </w:r>
      <w:r w:rsidRPr="00A81BAA">
        <w:rPr>
          <w:rFonts w:ascii="Verdana" w:hAnsi="Verdana" w:cs="Arial"/>
          <w:sz w:val="16"/>
          <w:szCs w:val="16"/>
        </w:rPr>
        <w:t xml:space="preserve">Consultado en línea </w:t>
      </w:r>
      <w:r w:rsidRPr="00A81BAA">
        <w:rPr>
          <w:rFonts w:ascii="Verdana" w:hAnsi="Verdana" w:cs="Arial"/>
          <w:sz w:val="16"/>
          <w:szCs w:val="16"/>
          <w:lang w:val="es-ES"/>
        </w:rPr>
        <w:t xml:space="preserve">en </w:t>
      </w:r>
      <w:r w:rsidR="6BA7D457" w:rsidRPr="00A81BAA">
        <w:rPr>
          <w:rFonts w:ascii="Verdana" w:hAnsi="Verdana" w:cs="Arial"/>
          <w:sz w:val="16"/>
          <w:szCs w:val="16"/>
          <w:lang w:val="es-ES"/>
        </w:rPr>
        <w:t>d</w:t>
      </w:r>
      <w:r w:rsidRPr="00A81BAA">
        <w:rPr>
          <w:rFonts w:ascii="Verdana" w:hAnsi="Verdana" w:cs="Arial"/>
          <w:sz w:val="16"/>
          <w:szCs w:val="16"/>
          <w:lang w:val="es-ES"/>
        </w:rPr>
        <w:t xml:space="preserve">iciembre </w:t>
      </w:r>
      <w:r w:rsidRPr="00A81BAA">
        <w:rPr>
          <w:rFonts w:ascii="Verdana" w:hAnsi="Verdana" w:cs="Arial"/>
          <w:sz w:val="16"/>
          <w:szCs w:val="16"/>
        </w:rPr>
        <w:t>de 20</w:t>
      </w:r>
      <w:r w:rsidRPr="00A81BAA">
        <w:rPr>
          <w:rFonts w:ascii="Verdana" w:hAnsi="Verdana" w:cs="Arial"/>
          <w:sz w:val="16"/>
          <w:szCs w:val="16"/>
          <w:lang w:val="es-ES"/>
        </w:rPr>
        <w:t>23</w:t>
      </w:r>
      <w:r w:rsidRPr="00A81BAA">
        <w:rPr>
          <w:rFonts w:ascii="Verdana" w:hAnsi="Verdana" w:cs="Arial"/>
          <w:sz w:val="16"/>
          <w:szCs w:val="16"/>
        </w:rPr>
        <w:t xml:space="preserve">. Disponible en: </w:t>
      </w:r>
      <w:hyperlink r:id="rId67">
        <w:r w:rsidRPr="00A81BAA">
          <w:rPr>
            <w:rStyle w:val="Hipervnculo"/>
            <w:rFonts w:ascii="Verdana" w:hAnsi="Verdana" w:cs="Arial"/>
            <w:color w:val="auto"/>
            <w:sz w:val="16"/>
            <w:szCs w:val="16"/>
          </w:rPr>
          <w:t>https://www.dane.gov.co/files/sen/nomenclatura/ciiu/CIIU_Rev_4_AC2022.pdf</w:t>
        </w:r>
      </w:hyperlink>
      <w:r w:rsidRPr="00A81BAA">
        <w:rPr>
          <w:rFonts w:ascii="Verdana" w:hAnsi="Verdana" w:cs="Arial"/>
          <w:sz w:val="16"/>
          <w:szCs w:val="16"/>
          <w:lang w:val="es-ES"/>
        </w:rPr>
        <w:t xml:space="preserve"> </w:t>
      </w:r>
    </w:p>
    <w:p w14:paraId="7E5C1CE2" w14:textId="77777777" w:rsidR="00DC2BB8" w:rsidRPr="00A81BAA" w:rsidRDefault="00DC2BB8" w:rsidP="00DC2BB8">
      <w:pPr>
        <w:rPr>
          <w:rFonts w:ascii="Verdana" w:eastAsia="Arial" w:hAnsi="Verdana" w:cs="Arial"/>
        </w:rPr>
      </w:pPr>
    </w:p>
    <w:p w14:paraId="1B794BD4" w14:textId="77777777" w:rsidR="00DE760C" w:rsidRPr="00DE760C" w:rsidRDefault="00DE760C" w:rsidP="00DE760C">
      <w:pPr>
        <w:jc w:val="both"/>
        <w:rPr>
          <w:rFonts w:ascii="Verdana" w:hAnsi="Verdana" w:cs="Arial"/>
          <w:sz w:val="22"/>
          <w:szCs w:val="22"/>
        </w:rPr>
      </w:pPr>
      <w:bookmarkStart w:id="32" w:name="_Hlk48200552"/>
      <w:r w:rsidRPr="00DE760C">
        <w:rPr>
          <w:rFonts w:ascii="Verdana" w:hAnsi="Verdana" w:cs="Arial"/>
          <w:sz w:val="22"/>
          <w:szCs w:val="22"/>
        </w:rPr>
        <w:t>La clase 4111</w:t>
      </w:r>
      <w:r w:rsidRPr="00DE760C">
        <w:rPr>
          <w:rFonts w:ascii="Verdana" w:hAnsi="Verdana" w:cs="Arial"/>
          <w:b/>
          <w:bCs/>
          <w:sz w:val="22"/>
          <w:szCs w:val="22"/>
        </w:rPr>
        <w:t xml:space="preserve"> –</w:t>
      </w:r>
      <w:r w:rsidRPr="00DE760C">
        <w:rPr>
          <w:rFonts w:ascii="Verdana" w:hAnsi="Verdana"/>
          <w:b/>
          <w:bCs/>
          <w:sz w:val="22"/>
          <w:szCs w:val="22"/>
        </w:rPr>
        <w:t xml:space="preserve"> </w:t>
      </w:r>
      <w:r w:rsidRPr="00DE760C">
        <w:rPr>
          <w:rFonts w:ascii="Verdana" w:hAnsi="Verdana" w:cs="Arial"/>
          <w:b/>
          <w:bCs/>
          <w:sz w:val="22"/>
          <w:szCs w:val="22"/>
        </w:rPr>
        <w:t>Construcción de edificios residenciales</w:t>
      </w:r>
      <w:r w:rsidRPr="00DE760C">
        <w:rPr>
          <w:rFonts w:ascii="Verdana" w:hAnsi="Verdana" w:cs="Arial"/>
          <w:sz w:val="22"/>
          <w:szCs w:val="22"/>
        </w:rPr>
        <w:t>, incluye:</w:t>
      </w:r>
    </w:p>
    <w:p w14:paraId="175EC355" w14:textId="77777777" w:rsidR="00DE760C" w:rsidRPr="00DE760C" w:rsidRDefault="00DE760C" w:rsidP="00DE760C">
      <w:pPr>
        <w:jc w:val="both"/>
        <w:rPr>
          <w:rFonts w:ascii="Verdana" w:hAnsi="Verdana" w:cs="Arial"/>
          <w:sz w:val="22"/>
          <w:szCs w:val="22"/>
        </w:rPr>
      </w:pPr>
    </w:p>
    <w:p w14:paraId="29785A03"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construcción de todo tipo de edificios residenciales, tales como casas unifamiliares y edificios multifamiliares, incluidos edificios de muchos pisos.</w:t>
      </w:r>
    </w:p>
    <w:p w14:paraId="0921FF88"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El montaje y levantamiento in situ de construcciones prefabricadas.</w:t>
      </w:r>
    </w:p>
    <w:p w14:paraId="7854C118"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reforma o renovación de estructuras residenciales existentes.</w:t>
      </w:r>
    </w:p>
    <w:p w14:paraId="6680BADD" w14:textId="77777777" w:rsidR="00DE760C" w:rsidRPr="00DE760C" w:rsidRDefault="147DC9DA" w:rsidP="00DE760C">
      <w:pPr>
        <w:jc w:val="both"/>
        <w:rPr>
          <w:rFonts w:ascii="Verdana" w:hAnsi="Verdana" w:cs="Arial"/>
          <w:i/>
          <w:iCs/>
          <w:sz w:val="22"/>
          <w:szCs w:val="22"/>
        </w:rPr>
      </w:pPr>
      <w:r w:rsidRPr="449377F1">
        <w:rPr>
          <w:rFonts w:ascii="Verdana" w:hAnsi="Verdana" w:cs="Arial"/>
          <w:i/>
          <w:iCs/>
          <w:sz w:val="22"/>
          <w:szCs w:val="22"/>
        </w:rPr>
        <w:t>• El montaje de cubiertas metálicas, puertas, ventanas y demás elementos metálicos realizado por el constructor como parte del desarrollo de la construcción de edificaciones residenciales.</w:t>
      </w:r>
      <w:r w:rsidRPr="449377F1">
        <w:rPr>
          <w:rStyle w:val="Refdenotaalpie"/>
          <w:rFonts w:ascii="Verdana" w:hAnsi="Verdana" w:cs="Arial"/>
          <w:i/>
          <w:iCs/>
          <w:sz w:val="22"/>
          <w:szCs w:val="22"/>
        </w:rPr>
        <w:t xml:space="preserve"> </w:t>
      </w:r>
      <w:r w:rsidR="00DE760C" w:rsidRPr="00DE760C">
        <w:rPr>
          <w:rStyle w:val="Refdenotaalpie"/>
          <w:rFonts w:ascii="Verdana" w:hAnsi="Verdana" w:cs="Arial"/>
          <w:sz w:val="22"/>
          <w:szCs w:val="22"/>
        </w:rPr>
        <w:footnoteReference w:id="25"/>
      </w:r>
    </w:p>
    <w:p w14:paraId="738DA7F1" w14:textId="77777777" w:rsidR="00DE760C" w:rsidRPr="00DE760C" w:rsidRDefault="00DE760C" w:rsidP="00DE760C">
      <w:pPr>
        <w:jc w:val="both"/>
        <w:rPr>
          <w:rFonts w:ascii="Verdana" w:hAnsi="Verdana" w:cs="Arial"/>
          <w:sz w:val="22"/>
          <w:szCs w:val="22"/>
        </w:rPr>
      </w:pPr>
    </w:p>
    <w:p w14:paraId="1C70CBD4" w14:textId="77777777" w:rsidR="00DE760C" w:rsidRPr="00DE760C" w:rsidRDefault="00DE760C" w:rsidP="00DE760C">
      <w:pPr>
        <w:jc w:val="both"/>
        <w:rPr>
          <w:rFonts w:ascii="Verdana" w:hAnsi="Verdana" w:cs="Arial"/>
          <w:sz w:val="22"/>
          <w:szCs w:val="22"/>
        </w:rPr>
      </w:pPr>
    </w:p>
    <w:p w14:paraId="2E48407C" w14:textId="77777777" w:rsidR="00DE760C" w:rsidRPr="00DE760C" w:rsidRDefault="00DE760C" w:rsidP="00DE760C">
      <w:pPr>
        <w:jc w:val="both"/>
        <w:rPr>
          <w:rFonts w:ascii="Verdana" w:hAnsi="Verdana" w:cs="Arial"/>
          <w:sz w:val="22"/>
          <w:szCs w:val="22"/>
        </w:rPr>
      </w:pPr>
      <w:r w:rsidRPr="00DE760C">
        <w:rPr>
          <w:rFonts w:ascii="Verdana" w:hAnsi="Verdana" w:cs="Arial"/>
          <w:sz w:val="22"/>
          <w:szCs w:val="22"/>
        </w:rPr>
        <w:t>La clase 4112</w:t>
      </w:r>
      <w:r w:rsidRPr="00DE760C">
        <w:rPr>
          <w:rFonts w:ascii="Verdana" w:hAnsi="Verdana" w:cs="Arial"/>
          <w:b/>
          <w:bCs/>
          <w:sz w:val="22"/>
          <w:szCs w:val="22"/>
        </w:rPr>
        <w:t xml:space="preserve"> –</w:t>
      </w:r>
      <w:r w:rsidRPr="00DE760C">
        <w:rPr>
          <w:rFonts w:ascii="Verdana" w:hAnsi="Verdana"/>
          <w:b/>
          <w:bCs/>
          <w:sz w:val="22"/>
          <w:szCs w:val="22"/>
        </w:rPr>
        <w:t xml:space="preserve"> </w:t>
      </w:r>
      <w:r w:rsidRPr="00DE760C">
        <w:rPr>
          <w:rFonts w:ascii="Verdana" w:hAnsi="Verdana" w:cs="Arial"/>
          <w:b/>
          <w:bCs/>
          <w:sz w:val="22"/>
          <w:szCs w:val="22"/>
        </w:rPr>
        <w:t>Construcción de edificios no residenciales</w:t>
      </w:r>
      <w:r w:rsidRPr="00DE760C">
        <w:rPr>
          <w:rFonts w:ascii="Verdana" w:hAnsi="Verdana" w:cs="Arial"/>
          <w:sz w:val="22"/>
          <w:szCs w:val="22"/>
        </w:rPr>
        <w:t>, incluye:</w:t>
      </w:r>
    </w:p>
    <w:p w14:paraId="24DE9EEE" w14:textId="77777777" w:rsidR="00DE760C" w:rsidRPr="00DE760C" w:rsidRDefault="00DE760C" w:rsidP="00DE760C">
      <w:pPr>
        <w:jc w:val="both"/>
        <w:rPr>
          <w:rFonts w:ascii="Verdana" w:hAnsi="Verdana" w:cs="Arial"/>
          <w:sz w:val="22"/>
          <w:szCs w:val="22"/>
        </w:rPr>
      </w:pPr>
    </w:p>
    <w:p w14:paraId="0B83C7B0"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construcción de todo tipo de edificios no residenciales, tales como:</w:t>
      </w:r>
    </w:p>
    <w:p w14:paraId="59905964"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Edificios destinados a actividades de producción industrial, como fábricas, talleres, plantas de montaje, etcétera.</w:t>
      </w:r>
    </w:p>
    <w:p w14:paraId="11C242D9"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Hospitales, escuelas y edificios de oficinas.</w:t>
      </w:r>
    </w:p>
    <w:p w14:paraId="648B396D"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Hoteles, tiendas, centros comerciales y restaurantes.</w:t>
      </w:r>
    </w:p>
    <w:p w14:paraId="4C26E616"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Edificios de aeropuertos e instalaciones deportivas cubiertas.</w:t>
      </w:r>
    </w:p>
    <w:p w14:paraId="0B55AB85"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Parqueaderos, incluidos los subterráneos.</w:t>
      </w:r>
    </w:p>
    <w:p w14:paraId="70A1B267"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Almacenes.</w:t>
      </w:r>
    </w:p>
    <w:p w14:paraId="06461641"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Edificios religiosos.</w:t>
      </w:r>
    </w:p>
    <w:p w14:paraId="49D06067"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El montaje y levantamiento in situ de construcciones prefabricadas.</w:t>
      </w:r>
    </w:p>
    <w:p w14:paraId="5A0F3060"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reforma o renovación de estructuras existentes.</w:t>
      </w:r>
    </w:p>
    <w:p w14:paraId="13BFAE5E" w14:textId="77777777" w:rsidR="00DE760C" w:rsidRPr="00DE760C" w:rsidRDefault="147DC9DA" w:rsidP="00DE760C">
      <w:pPr>
        <w:jc w:val="both"/>
        <w:rPr>
          <w:rFonts w:ascii="Verdana" w:hAnsi="Verdana" w:cs="Arial"/>
          <w:i/>
          <w:iCs/>
          <w:sz w:val="22"/>
          <w:szCs w:val="22"/>
        </w:rPr>
      </w:pPr>
      <w:r w:rsidRPr="449377F1">
        <w:rPr>
          <w:rFonts w:ascii="Verdana" w:hAnsi="Verdana" w:cs="Arial"/>
          <w:i/>
          <w:iCs/>
          <w:sz w:val="22"/>
          <w:szCs w:val="22"/>
        </w:rPr>
        <w:t>• El montaje de cubiertas metálicas, puertas, ventanas y demás elementos metálicos realizado por el constructor como parte del desarrollo de la construcción de edificaciones no residenciales.</w:t>
      </w:r>
      <w:r w:rsidRPr="449377F1">
        <w:rPr>
          <w:rStyle w:val="Refdenotaalpie"/>
          <w:rFonts w:ascii="Verdana" w:hAnsi="Verdana" w:cs="Arial"/>
          <w:i/>
          <w:iCs/>
          <w:sz w:val="22"/>
          <w:szCs w:val="22"/>
        </w:rPr>
        <w:t xml:space="preserve"> </w:t>
      </w:r>
      <w:r w:rsidR="00DE760C" w:rsidRPr="00DE760C">
        <w:rPr>
          <w:rStyle w:val="Refdenotaalpie"/>
          <w:rFonts w:ascii="Verdana" w:hAnsi="Verdana" w:cs="Arial"/>
          <w:sz w:val="22"/>
          <w:szCs w:val="22"/>
        </w:rPr>
        <w:footnoteReference w:id="26"/>
      </w:r>
    </w:p>
    <w:p w14:paraId="3B90F74F" w14:textId="77777777" w:rsidR="00DE760C" w:rsidRPr="00DE760C" w:rsidRDefault="00DE760C" w:rsidP="00DE760C">
      <w:pPr>
        <w:jc w:val="both"/>
        <w:rPr>
          <w:rFonts w:ascii="Verdana" w:hAnsi="Verdana" w:cs="Arial"/>
          <w:sz w:val="22"/>
          <w:szCs w:val="22"/>
        </w:rPr>
      </w:pPr>
    </w:p>
    <w:p w14:paraId="436C5D27" w14:textId="77777777" w:rsidR="00DE760C" w:rsidRPr="00DE760C" w:rsidRDefault="00DE760C" w:rsidP="00DE760C">
      <w:pPr>
        <w:jc w:val="both"/>
        <w:rPr>
          <w:rFonts w:ascii="Verdana" w:hAnsi="Verdana" w:cs="Arial"/>
          <w:sz w:val="22"/>
          <w:szCs w:val="22"/>
        </w:rPr>
      </w:pPr>
      <w:r w:rsidRPr="00DE760C">
        <w:rPr>
          <w:rFonts w:ascii="Verdana" w:hAnsi="Verdana" w:cs="Arial"/>
          <w:sz w:val="22"/>
          <w:szCs w:val="22"/>
        </w:rPr>
        <w:t>La clase 4220</w:t>
      </w:r>
      <w:r w:rsidRPr="00DE760C">
        <w:rPr>
          <w:rFonts w:ascii="Verdana" w:hAnsi="Verdana" w:cs="Arial"/>
          <w:b/>
          <w:bCs/>
          <w:sz w:val="22"/>
          <w:szCs w:val="22"/>
        </w:rPr>
        <w:t xml:space="preserve"> –</w:t>
      </w:r>
      <w:r w:rsidRPr="00DE760C">
        <w:rPr>
          <w:rFonts w:ascii="Verdana" w:hAnsi="Verdana"/>
          <w:b/>
          <w:bCs/>
          <w:sz w:val="22"/>
          <w:szCs w:val="22"/>
        </w:rPr>
        <w:t xml:space="preserve"> </w:t>
      </w:r>
      <w:r w:rsidRPr="00DE760C">
        <w:rPr>
          <w:rFonts w:ascii="Verdana" w:hAnsi="Verdana" w:cs="Arial"/>
          <w:b/>
          <w:bCs/>
          <w:sz w:val="22"/>
          <w:szCs w:val="22"/>
        </w:rPr>
        <w:t>Construcción de proyectos de servicio público</w:t>
      </w:r>
      <w:r w:rsidRPr="00DE760C">
        <w:rPr>
          <w:rFonts w:ascii="Verdana" w:hAnsi="Verdana" w:cs="Arial"/>
          <w:sz w:val="22"/>
          <w:szCs w:val="22"/>
        </w:rPr>
        <w:t>, incluye:</w:t>
      </w:r>
    </w:p>
    <w:p w14:paraId="2F3E77A3" w14:textId="77777777" w:rsidR="00DE760C" w:rsidRPr="00DE760C" w:rsidRDefault="00DE760C" w:rsidP="00DE760C">
      <w:pPr>
        <w:jc w:val="both"/>
        <w:rPr>
          <w:rFonts w:ascii="Verdana" w:hAnsi="Verdana" w:cs="Arial"/>
          <w:sz w:val="22"/>
          <w:szCs w:val="22"/>
        </w:rPr>
      </w:pPr>
    </w:p>
    <w:p w14:paraId="0A807339"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construcción de obras de ingeniería civil relacionadas con:</w:t>
      </w:r>
    </w:p>
    <w:p w14:paraId="7CD0FE5C"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lastRenderedPageBreak/>
        <w:t>- Tuberías de larga distancia y líneas de transmisión de energía eléctrica y comunicaciones.</w:t>
      </w:r>
    </w:p>
    <w:p w14:paraId="78BB1983"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Tuberías urbanas, líneas urbanas de transmisión de energía eléctrica y comunicaciones; obras auxiliares en zonas urbanas.</w:t>
      </w:r>
    </w:p>
    <w:p w14:paraId="3CCEADCD"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Construcción de conductos principales y acometidas de redes de distribución de agua.</w:t>
      </w:r>
    </w:p>
    <w:p w14:paraId="5FEE6B03"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Sistemas de riego (canales).</w:t>
      </w:r>
    </w:p>
    <w:p w14:paraId="588C2E40" w14:textId="77777777" w:rsidR="00DE760C" w:rsidRPr="00DE760C" w:rsidRDefault="147DC9DA" w:rsidP="00DE760C">
      <w:pPr>
        <w:jc w:val="both"/>
        <w:rPr>
          <w:rFonts w:ascii="Verdana" w:hAnsi="Verdana" w:cs="Arial"/>
          <w:i/>
          <w:iCs/>
          <w:sz w:val="22"/>
          <w:szCs w:val="22"/>
        </w:rPr>
      </w:pPr>
      <w:r w:rsidRPr="449377F1">
        <w:rPr>
          <w:rFonts w:ascii="Verdana" w:hAnsi="Verdana" w:cs="Arial"/>
          <w:i/>
          <w:iCs/>
          <w:sz w:val="22"/>
          <w:szCs w:val="22"/>
        </w:rPr>
        <w:t>• La construcción de: sistemas de alcantarillado (incluida su reparación), instalaciones de evacuación de aguas residuales, estaciones de bombeo, centrales eléctricas y perforación de pozos de agua.</w:t>
      </w:r>
      <w:r w:rsidRPr="449377F1">
        <w:rPr>
          <w:rStyle w:val="Refdenotaalpie"/>
          <w:rFonts w:ascii="Verdana" w:hAnsi="Verdana" w:cs="Arial"/>
          <w:i/>
          <w:iCs/>
          <w:sz w:val="22"/>
          <w:szCs w:val="22"/>
        </w:rPr>
        <w:t xml:space="preserve"> </w:t>
      </w:r>
      <w:r w:rsidR="00DE760C" w:rsidRPr="00DE760C">
        <w:rPr>
          <w:rStyle w:val="Refdenotaalpie"/>
          <w:rFonts w:ascii="Verdana" w:hAnsi="Verdana" w:cs="Arial"/>
          <w:sz w:val="22"/>
          <w:szCs w:val="22"/>
        </w:rPr>
        <w:footnoteReference w:id="27"/>
      </w:r>
    </w:p>
    <w:p w14:paraId="14D73720" w14:textId="77777777" w:rsidR="00DE760C" w:rsidRPr="00DE760C" w:rsidRDefault="00DE760C" w:rsidP="00DE760C">
      <w:pPr>
        <w:jc w:val="both"/>
        <w:rPr>
          <w:rFonts w:ascii="Verdana" w:hAnsi="Verdana" w:cs="Arial"/>
          <w:sz w:val="22"/>
          <w:szCs w:val="22"/>
        </w:rPr>
      </w:pPr>
    </w:p>
    <w:p w14:paraId="1F6A935B" w14:textId="77777777" w:rsidR="00DE760C" w:rsidRPr="00DE760C" w:rsidRDefault="00DE760C" w:rsidP="00DE760C">
      <w:pPr>
        <w:jc w:val="both"/>
        <w:rPr>
          <w:rFonts w:ascii="Verdana" w:hAnsi="Verdana" w:cs="Arial"/>
          <w:sz w:val="22"/>
          <w:szCs w:val="22"/>
        </w:rPr>
      </w:pPr>
      <w:r w:rsidRPr="00DE760C">
        <w:rPr>
          <w:rFonts w:ascii="Verdana" w:hAnsi="Verdana" w:cs="Arial"/>
          <w:sz w:val="22"/>
          <w:szCs w:val="22"/>
        </w:rPr>
        <w:t>La clase 4290</w:t>
      </w:r>
      <w:r w:rsidRPr="00DE760C">
        <w:rPr>
          <w:rFonts w:ascii="Verdana" w:hAnsi="Verdana" w:cs="Arial"/>
          <w:b/>
          <w:bCs/>
          <w:sz w:val="22"/>
          <w:szCs w:val="22"/>
        </w:rPr>
        <w:t xml:space="preserve"> –</w:t>
      </w:r>
      <w:r w:rsidRPr="00DE760C">
        <w:rPr>
          <w:rFonts w:ascii="Verdana" w:hAnsi="Verdana"/>
          <w:b/>
          <w:bCs/>
          <w:sz w:val="22"/>
          <w:szCs w:val="22"/>
        </w:rPr>
        <w:t xml:space="preserve"> </w:t>
      </w:r>
      <w:r w:rsidRPr="00DE760C">
        <w:rPr>
          <w:rFonts w:ascii="Verdana" w:hAnsi="Verdana" w:cs="Arial"/>
          <w:b/>
          <w:bCs/>
          <w:sz w:val="22"/>
          <w:szCs w:val="22"/>
        </w:rPr>
        <w:t>Construcción de otras obras de ingeniería civil</w:t>
      </w:r>
      <w:r w:rsidRPr="00DE760C">
        <w:rPr>
          <w:rFonts w:ascii="Verdana" w:hAnsi="Verdana" w:cs="Arial"/>
          <w:sz w:val="22"/>
          <w:szCs w:val="22"/>
        </w:rPr>
        <w:t>, incluye:</w:t>
      </w:r>
    </w:p>
    <w:p w14:paraId="56A3BD89" w14:textId="77777777" w:rsidR="00DE760C" w:rsidRPr="00DE760C" w:rsidRDefault="00DE760C" w:rsidP="00DE760C">
      <w:pPr>
        <w:jc w:val="both"/>
        <w:rPr>
          <w:rFonts w:ascii="Verdana" w:hAnsi="Verdana" w:cs="Arial"/>
          <w:sz w:val="22"/>
          <w:szCs w:val="22"/>
        </w:rPr>
      </w:pPr>
    </w:p>
    <w:p w14:paraId="62AB0271"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 construcción, conservación y reparación de:</w:t>
      </w:r>
    </w:p>
    <w:p w14:paraId="55898270"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Instalaciones industriales, excepto edificios, tales como: refinerías, fábricas de productos químicos, entre otros.</w:t>
      </w:r>
    </w:p>
    <w:p w14:paraId="175DF747" w14:textId="77777777" w:rsidR="00DE760C" w:rsidRPr="00DE760C" w:rsidRDefault="00DE760C" w:rsidP="00DE760C">
      <w:pPr>
        <w:ind w:left="708"/>
        <w:jc w:val="both"/>
        <w:rPr>
          <w:rFonts w:ascii="Verdana" w:hAnsi="Verdana" w:cs="Arial"/>
          <w:i/>
          <w:iCs/>
          <w:sz w:val="22"/>
          <w:szCs w:val="22"/>
        </w:rPr>
      </w:pPr>
      <w:r w:rsidRPr="00DE760C">
        <w:rPr>
          <w:rFonts w:ascii="Verdana" w:hAnsi="Verdana" w:cs="Arial"/>
          <w:i/>
          <w:iCs/>
          <w:sz w:val="22"/>
          <w:szCs w:val="22"/>
        </w:rPr>
        <w:t>- Vías de navegación, obras portuarias y fluviales, puertos deportivos, esclusas, represas y diques.</w:t>
      </w:r>
    </w:p>
    <w:p w14:paraId="0AE42A8D"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El dragado de vías de navegación.</w:t>
      </w:r>
    </w:p>
    <w:p w14:paraId="6E4108D6" w14:textId="77777777" w:rsidR="00DE760C" w:rsidRPr="00DE760C" w:rsidRDefault="00DE760C" w:rsidP="00DE760C">
      <w:pPr>
        <w:jc w:val="both"/>
        <w:rPr>
          <w:rFonts w:ascii="Verdana" w:hAnsi="Verdana" w:cs="Arial"/>
          <w:i/>
          <w:iCs/>
          <w:sz w:val="22"/>
          <w:szCs w:val="22"/>
        </w:rPr>
      </w:pPr>
      <w:r w:rsidRPr="00DE760C">
        <w:rPr>
          <w:rFonts w:ascii="Verdana" w:hAnsi="Verdana" w:cs="Arial"/>
          <w:i/>
          <w:iCs/>
          <w:sz w:val="22"/>
          <w:szCs w:val="22"/>
        </w:rPr>
        <w:t>• Las obras de construcción distintas de las de edificios; por ejemplo, instalaciones deportivas o de esparcimiento al aire libre</w:t>
      </w:r>
    </w:p>
    <w:p w14:paraId="4FFCDAA0" w14:textId="77777777" w:rsidR="00DE760C" w:rsidRPr="00DE760C" w:rsidRDefault="147DC9DA" w:rsidP="00DE760C">
      <w:pPr>
        <w:jc w:val="both"/>
        <w:rPr>
          <w:rFonts w:ascii="Verdana" w:hAnsi="Verdana" w:cs="Arial"/>
          <w:i/>
          <w:iCs/>
          <w:sz w:val="22"/>
          <w:szCs w:val="22"/>
        </w:rPr>
      </w:pPr>
      <w:r w:rsidRPr="449377F1">
        <w:rPr>
          <w:rFonts w:ascii="Verdana" w:hAnsi="Verdana" w:cs="Arial"/>
          <w:i/>
          <w:iCs/>
          <w:sz w:val="22"/>
          <w:szCs w:val="22"/>
        </w:rPr>
        <w:t>• La subdivisión de terrenos con mejora (por ejemplo, construcción de carreteras, infraestructura de suministro público, etcétera).</w:t>
      </w:r>
      <w:r w:rsidRPr="449377F1">
        <w:rPr>
          <w:rStyle w:val="Refdenotaalpie"/>
          <w:rFonts w:ascii="Verdana" w:hAnsi="Verdana" w:cs="Arial"/>
          <w:i/>
          <w:iCs/>
          <w:sz w:val="22"/>
          <w:szCs w:val="22"/>
        </w:rPr>
        <w:t xml:space="preserve"> </w:t>
      </w:r>
      <w:r w:rsidR="00DE760C" w:rsidRPr="00DE760C">
        <w:rPr>
          <w:rStyle w:val="Refdenotaalpie"/>
          <w:rFonts w:ascii="Verdana" w:hAnsi="Verdana" w:cs="Arial"/>
          <w:sz w:val="22"/>
          <w:szCs w:val="22"/>
        </w:rPr>
        <w:footnoteReference w:id="28"/>
      </w:r>
    </w:p>
    <w:p w14:paraId="364846B1" w14:textId="77777777" w:rsidR="00DC2BB8" w:rsidRPr="00A81BAA" w:rsidRDefault="00DC2BB8" w:rsidP="00DC2BB8">
      <w:pPr>
        <w:jc w:val="both"/>
        <w:rPr>
          <w:rFonts w:ascii="Verdana" w:hAnsi="Verdana" w:cs="Arial"/>
          <w:sz w:val="22"/>
          <w:szCs w:val="22"/>
        </w:rPr>
      </w:pPr>
    </w:p>
    <w:p w14:paraId="0DCCBABD" w14:textId="77777777" w:rsidR="00DC2BB8" w:rsidRPr="00A81BAA" w:rsidRDefault="00DC2BB8" w:rsidP="00DC2BB8">
      <w:pPr>
        <w:jc w:val="both"/>
        <w:rPr>
          <w:rFonts w:ascii="Verdana" w:hAnsi="Verdana" w:cs="Arial"/>
          <w:sz w:val="22"/>
          <w:szCs w:val="22"/>
        </w:rPr>
      </w:pPr>
      <w:r w:rsidRPr="00A81BAA">
        <w:rPr>
          <w:rFonts w:ascii="Verdana" w:hAnsi="Verdana" w:cs="Arial"/>
          <w:sz w:val="22"/>
          <w:szCs w:val="22"/>
        </w:rPr>
        <w:t xml:space="preserve">Así mismo, es importante resaltar que empresas que prestan </w:t>
      </w:r>
      <w:r w:rsidRPr="00A81BAA">
        <w:rPr>
          <w:rFonts w:ascii="Verdana" w:eastAsia="Arial" w:hAnsi="Verdana" w:cs="Arial"/>
          <w:sz w:val="22"/>
          <w:szCs w:val="22"/>
        </w:rPr>
        <w:t xml:space="preserve">servicios de obra de infraestructura de transporte </w:t>
      </w:r>
      <w:r w:rsidRPr="00A81BAA">
        <w:rPr>
          <w:rFonts w:ascii="Verdana" w:hAnsi="Verdana" w:cs="Arial"/>
          <w:sz w:val="22"/>
          <w:szCs w:val="22"/>
        </w:rPr>
        <w:t>también se pueden clasificar en códigos CIIU de las siguientes divisiones:</w:t>
      </w:r>
    </w:p>
    <w:p w14:paraId="02248E40" w14:textId="77777777" w:rsidR="00DC2BB8" w:rsidRPr="00A81BAA" w:rsidRDefault="00DC2BB8" w:rsidP="00DC2BB8">
      <w:pPr>
        <w:jc w:val="both"/>
        <w:rPr>
          <w:rFonts w:ascii="Verdana" w:hAnsi="Verdana" w:cs="Arial"/>
          <w:highlight w:val="yellow"/>
        </w:rPr>
      </w:pPr>
    </w:p>
    <w:p w14:paraId="5816B16A" w14:textId="77777777" w:rsidR="002A555F" w:rsidRPr="00A81BAA" w:rsidRDefault="002A555F" w:rsidP="00DC2BB8">
      <w:pPr>
        <w:jc w:val="both"/>
        <w:rPr>
          <w:rFonts w:ascii="Verdana" w:hAnsi="Verdana" w:cs="Arial"/>
          <w:highlight w:val="yellow"/>
        </w:rPr>
      </w:pPr>
    </w:p>
    <w:p w14:paraId="4D3F4885" w14:textId="6ABE26DF" w:rsidR="00DC2BB8" w:rsidRPr="005C7E10" w:rsidRDefault="003172AF" w:rsidP="005C7E10">
      <w:pPr>
        <w:pStyle w:val="Descripcin"/>
        <w:spacing w:after="0"/>
        <w:rPr>
          <w:rFonts w:ascii="Verdana" w:hAnsi="Verdana" w:cs="Arial"/>
          <w:sz w:val="22"/>
          <w:szCs w:val="22"/>
          <w:highlight w:val="yellow"/>
        </w:rPr>
      </w:pPr>
      <w:bookmarkStart w:id="33" w:name="_Toc180136823"/>
      <w:r w:rsidRPr="005C7E10">
        <w:rPr>
          <w:rFonts w:ascii="Verdana" w:hAnsi="Verdana"/>
          <w:sz w:val="22"/>
          <w:szCs w:val="22"/>
        </w:rPr>
        <w:t xml:space="preserve">Tabla </w:t>
      </w:r>
      <w:r w:rsidRPr="005C7E10">
        <w:rPr>
          <w:rFonts w:ascii="Verdana" w:hAnsi="Verdana"/>
          <w:sz w:val="22"/>
          <w:szCs w:val="22"/>
        </w:rPr>
        <w:fldChar w:fldCharType="begin"/>
      </w:r>
      <w:r w:rsidRPr="005C7E10">
        <w:rPr>
          <w:rFonts w:ascii="Verdana" w:hAnsi="Verdana"/>
          <w:sz w:val="22"/>
          <w:szCs w:val="22"/>
        </w:rPr>
        <w:instrText xml:space="preserve"> SEQ Tabla \* ARABIC </w:instrText>
      </w:r>
      <w:r w:rsidRPr="005C7E10">
        <w:rPr>
          <w:rFonts w:ascii="Verdana" w:hAnsi="Verdana"/>
          <w:sz w:val="22"/>
          <w:szCs w:val="22"/>
        </w:rPr>
        <w:fldChar w:fldCharType="separate"/>
      </w:r>
      <w:r w:rsidR="00CF739E">
        <w:rPr>
          <w:rFonts w:ascii="Verdana" w:hAnsi="Verdana"/>
          <w:noProof/>
          <w:sz w:val="22"/>
          <w:szCs w:val="22"/>
        </w:rPr>
        <w:t>7</w:t>
      </w:r>
      <w:r w:rsidRPr="005C7E10">
        <w:rPr>
          <w:rFonts w:ascii="Verdana" w:hAnsi="Verdana"/>
          <w:sz w:val="22"/>
          <w:szCs w:val="22"/>
        </w:rPr>
        <w:fldChar w:fldCharType="end"/>
      </w:r>
      <w:r w:rsidRPr="005C7E10">
        <w:rPr>
          <w:rFonts w:ascii="Verdana" w:hAnsi="Verdana"/>
          <w:sz w:val="22"/>
          <w:szCs w:val="22"/>
        </w:rPr>
        <w:t>. Actividad económica – Código CIIU secundarios</w:t>
      </w:r>
      <w:bookmarkEnd w:id="33"/>
    </w:p>
    <w:bookmarkEnd w:id="32"/>
    <w:p w14:paraId="0134E38E" w14:textId="77777777" w:rsidR="00DE760C" w:rsidRDefault="00DE760C" w:rsidP="00DC2BB8">
      <w:pPr>
        <w:pStyle w:val="Textonotapie"/>
        <w:rPr>
          <w:rFonts w:ascii="Verdana" w:eastAsia="Arial" w:hAnsi="Verdana" w:cs="Arial"/>
          <w:sz w:val="16"/>
          <w:szCs w:val="16"/>
        </w:rPr>
      </w:pPr>
    </w:p>
    <w:p w14:paraId="5EC08AB9" w14:textId="77777777" w:rsidR="00DE760C" w:rsidRDefault="00DE760C" w:rsidP="00DC2BB8">
      <w:pPr>
        <w:pStyle w:val="Textonotapie"/>
        <w:rPr>
          <w:rFonts w:ascii="Verdana" w:eastAsia="Arial" w:hAnsi="Verdana" w:cs="Arial"/>
          <w:sz w:val="16"/>
          <w:szCs w:val="16"/>
        </w:rPr>
      </w:pP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84"/>
        <w:gridCol w:w="1003"/>
        <w:gridCol w:w="6415"/>
      </w:tblGrid>
      <w:tr w:rsidR="00855B06" w:rsidRPr="00855B06" w14:paraId="3CC2128D" w14:textId="77777777" w:rsidTr="0044671B">
        <w:trPr>
          <w:trHeight w:val="20"/>
          <w:tblHeader/>
          <w:jc w:val="center"/>
        </w:trPr>
        <w:tc>
          <w:tcPr>
            <w:tcW w:w="8702" w:type="dxa"/>
            <w:gridSpan w:val="3"/>
            <w:shd w:val="clear" w:color="auto" w:fill="BFBFBF" w:themeFill="background1" w:themeFillShade="BF"/>
            <w:noWrap/>
            <w:vAlign w:val="center"/>
            <w:hideMark/>
          </w:tcPr>
          <w:p w14:paraId="2226922A" w14:textId="77777777" w:rsidR="00855B06" w:rsidRPr="00855B06" w:rsidRDefault="00855B06" w:rsidP="0044671B">
            <w:pPr>
              <w:jc w:val="center"/>
              <w:rPr>
                <w:rFonts w:ascii="Verdana" w:hAnsi="Verdana" w:cs="Arial"/>
                <w:b/>
                <w:bCs/>
                <w:color w:val="000000"/>
                <w:sz w:val="20"/>
                <w:szCs w:val="20"/>
                <w:lang w:eastAsia="es-CO"/>
              </w:rPr>
            </w:pPr>
            <w:r w:rsidRPr="00855B06">
              <w:rPr>
                <w:rFonts w:ascii="Verdana" w:hAnsi="Verdana" w:cs="Arial"/>
                <w:b/>
                <w:bCs/>
                <w:color w:val="000000"/>
                <w:sz w:val="20"/>
                <w:szCs w:val="20"/>
                <w:lang w:eastAsia="es-CO"/>
              </w:rPr>
              <w:t>Clasificación CIIU Rev. 4 A.C</w:t>
            </w:r>
          </w:p>
        </w:tc>
      </w:tr>
      <w:tr w:rsidR="00855B06" w:rsidRPr="00855B06" w14:paraId="460F4985" w14:textId="77777777" w:rsidTr="0044671B">
        <w:trPr>
          <w:trHeight w:val="20"/>
          <w:jc w:val="center"/>
        </w:trPr>
        <w:tc>
          <w:tcPr>
            <w:tcW w:w="1284" w:type="dxa"/>
            <w:shd w:val="clear" w:color="auto" w:fill="D9D9D9" w:themeFill="background1" w:themeFillShade="D9"/>
            <w:noWrap/>
            <w:vAlign w:val="center"/>
          </w:tcPr>
          <w:p w14:paraId="7C4E7506" w14:textId="77777777" w:rsidR="00855B06" w:rsidRPr="00855B06" w:rsidRDefault="00855B06" w:rsidP="0044671B">
            <w:pPr>
              <w:jc w:val="center"/>
              <w:rPr>
                <w:rFonts w:ascii="Verdana" w:hAnsi="Verdana" w:cs="Arial"/>
                <w:b/>
                <w:bCs/>
                <w:color w:val="000000"/>
                <w:sz w:val="20"/>
                <w:szCs w:val="20"/>
                <w:lang w:eastAsia="es-CO"/>
              </w:rPr>
            </w:pPr>
            <w:r w:rsidRPr="00855B06">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68EC6428" w14:textId="77777777" w:rsidR="00855B06" w:rsidRPr="00855B06" w:rsidRDefault="00855B06" w:rsidP="0044671B">
            <w:pPr>
              <w:jc w:val="center"/>
              <w:rPr>
                <w:rFonts w:ascii="Verdana" w:hAnsi="Verdana" w:cs="Arial"/>
                <w:b/>
                <w:color w:val="000000"/>
                <w:sz w:val="20"/>
                <w:szCs w:val="20"/>
                <w:lang w:eastAsia="es-CO"/>
              </w:rPr>
            </w:pPr>
            <w:r w:rsidRPr="00855B06">
              <w:rPr>
                <w:rFonts w:ascii="Verdana" w:hAnsi="Verdana" w:cs="Arial"/>
                <w:b/>
                <w:color w:val="000000"/>
                <w:sz w:val="20"/>
                <w:szCs w:val="20"/>
                <w:lang w:eastAsia="es-CO"/>
              </w:rPr>
              <w:t>C</w:t>
            </w:r>
          </w:p>
        </w:tc>
        <w:tc>
          <w:tcPr>
            <w:tcW w:w="6415" w:type="dxa"/>
            <w:shd w:val="clear" w:color="auto" w:fill="D9D9D9" w:themeFill="background1" w:themeFillShade="D9"/>
            <w:vAlign w:val="center"/>
          </w:tcPr>
          <w:p w14:paraId="4FCB51D5" w14:textId="77777777" w:rsidR="00855B06" w:rsidRPr="00855B06" w:rsidRDefault="00855B06" w:rsidP="0044671B">
            <w:pPr>
              <w:jc w:val="both"/>
              <w:rPr>
                <w:rFonts w:ascii="Verdana" w:hAnsi="Verdana" w:cs="Arial"/>
                <w:b/>
                <w:color w:val="000000"/>
                <w:sz w:val="20"/>
                <w:szCs w:val="20"/>
                <w:lang w:eastAsia="es-CO"/>
              </w:rPr>
            </w:pPr>
            <w:r w:rsidRPr="00855B06">
              <w:rPr>
                <w:rFonts w:ascii="Verdana" w:hAnsi="Verdana" w:cs="Arial"/>
                <w:b/>
                <w:color w:val="000000"/>
                <w:sz w:val="20"/>
                <w:szCs w:val="20"/>
                <w:lang w:eastAsia="es-CO"/>
              </w:rPr>
              <w:t>INDUSTRIAS MANUFACTURERAS</w:t>
            </w:r>
          </w:p>
        </w:tc>
      </w:tr>
      <w:tr w:rsidR="00855B06" w:rsidRPr="00855B06" w14:paraId="20567A2D" w14:textId="77777777" w:rsidTr="0044671B">
        <w:trPr>
          <w:trHeight w:val="20"/>
          <w:jc w:val="center"/>
        </w:trPr>
        <w:tc>
          <w:tcPr>
            <w:tcW w:w="1284" w:type="dxa"/>
            <w:shd w:val="clear" w:color="auto" w:fill="D9D9D9" w:themeFill="background1" w:themeFillShade="D9"/>
            <w:noWrap/>
            <w:vAlign w:val="center"/>
          </w:tcPr>
          <w:p w14:paraId="538457CB" w14:textId="77777777" w:rsidR="00855B06" w:rsidRPr="00855B06" w:rsidRDefault="00855B06" w:rsidP="0044671B">
            <w:pPr>
              <w:jc w:val="center"/>
              <w:rPr>
                <w:rFonts w:ascii="Verdana" w:hAnsi="Verdana" w:cs="Arial"/>
                <w:b/>
                <w:bCs/>
                <w:color w:val="000000"/>
                <w:sz w:val="20"/>
                <w:szCs w:val="20"/>
                <w:lang w:eastAsia="es-CO"/>
              </w:rPr>
            </w:pPr>
            <w:r w:rsidRPr="00855B06">
              <w:rPr>
                <w:rFonts w:ascii="Verdana" w:hAnsi="Verdana" w:cs="Arial"/>
                <w:b/>
                <w:bCs/>
                <w:color w:val="000000"/>
                <w:sz w:val="20"/>
                <w:szCs w:val="20"/>
                <w:lang w:eastAsia="es-CO"/>
              </w:rPr>
              <w:t>División</w:t>
            </w:r>
          </w:p>
        </w:tc>
        <w:tc>
          <w:tcPr>
            <w:tcW w:w="1003" w:type="dxa"/>
            <w:shd w:val="clear" w:color="auto" w:fill="D9D9D9" w:themeFill="background1" w:themeFillShade="D9"/>
            <w:noWrap/>
            <w:vAlign w:val="center"/>
          </w:tcPr>
          <w:p w14:paraId="1728F6D7" w14:textId="77777777" w:rsidR="00855B06" w:rsidRPr="00855B06" w:rsidRDefault="00855B06" w:rsidP="0044671B">
            <w:pPr>
              <w:jc w:val="center"/>
              <w:rPr>
                <w:rFonts w:ascii="Verdana" w:hAnsi="Verdana" w:cs="Arial"/>
                <w:b/>
                <w:color w:val="000000"/>
                <w:sz w:val="20"/>
                <w:szCs w:val="20"/>
                <w:lang w:eastAsia="es-CO"/>
              </w:rPr>
            </w:pPr>
            <w:r w:rsidRPr="00855B06">
              <w:rPr>
                <w:rFonts w:ascii="Verdana" w:hAnsi="Verdana" w:cs="Arial"/>
                <w:b/>
                <w:color w:val="000000"/>
                <w:sz w:val="20"/>
                <w:szCs w:val="20"/>
                <w:lang w:eastAsia="es-CO"/>
              </w:rPr>
              <w:t>33</w:t>
            </w:r>
          </w:p>
        </w:tc>
        <w:tc>
          <w:tcPr>
            <w:tcW w:w="6415" w:type="dxa"/>
            <w:shd w:val="clear" w:color="auto" w:fill="D9D9D9" w:themeFill="background1" w:themeFillShade="D9"/>
            <w:vAlign w:val="center"/>
          </w:tcPr>
          <w:p w14:paraId="199265C2" w14:textId="77777777" w:rsidR="00855B06" w:rsidRPr="00855B06" w:rsidRDefault="00855B06" w:rsidP="0044671B">
            <w:pPr>
              <w:jc w:val="both"/>
              <w:rPr>
                <w:rFonts w:ascii="Verdana" w:hAnsi="Verdana" w:cs="Arial"/>
                <w:b/>
                <w:color w:val="000000"/>
                <w:sz w:val="20"/>
                <w:szCs w:val="20"/>
                <w:lang w:eastAsia="es-CO"/>
              </w:rPr>
            </w:pPr>
            <w:r w:rsidRPr="00855B06">
              <w:rPr>
                <w:rFonts w:ascii="Verdana" w:hAnsi="Verdana" w:cs="Arial"/>
                <w:b/>
                <w:color w:val="000000"/>
                <w:sz w:val="20"/>
                <w:szCs w:val="20"/>
                <w:lang w:eastAsia="es-CO"/>
              </w:rPr>
              <w:t>Instalación, mantenimiento y reparación especializado de maquinaria y equipo</w:t>
            </w:r>
          </w:p>
        </w:tc>
      </w:tr>
      <w:tr w:rsidR="00855B06" w:rsidRPr="00855B06" w14:paraId="264BC4C5" w14:textId="77777777" w:rsidTr="0044671B">
        <w:trPr>
          <w:trHeight w:val="20"/>
          <w:jc w:val="center"/>
        </w:trPr>
        <w:tc>
          <w:tcPr>
            <w:tcW w:w="1284" w:type="dxa"/>
            <w:shd w:val="clear" w:color="auto" w:fill="auto"/>
            <w:noWrap/>
            <w:vAlign w:val="center"/>
          </w:tcPr>
          <w:p w14:paraId="3099DAC1" w14:textId="77777777" w:rsidR="00855B06" w:rsidRPr="00855B06" w:rsidRDefault="00855B06" w:rsidP="0044671B">
            <w:pPr>
              <w:jc w:val="center"/>
              <w:rPr>
                <w:rFonts w:ascii="Verdana" w:hAnsi="Verdana" w:cs="Arial"/>
                <w:color w:val="000000"/>
                <w:sz w:val="20"/>
                <w:szCs w:val="20"/>
                <w:lang w:eastAsia="es-CO"/>
              </w:rPr>
            </w:pPr>
            <w:r w:rsidRPr="00855B06">
              <w:rPr>
                <w:rFonts w:ascii="Verdana" w:hAnsi="Verdana" w:cs="Arial"/>
                <w:color w:val="000000"/>
                <w:sz w:val="20"/>
                <w:szCs w:val="20"/>
                <w:lang w:eastAsia="es-CO"/>
              </w:rPr>
              <w:lastRenderedPageBreak/>
              <w:t>Clase</w:t>
            </w:r>
          </w:p>
        </w:tc>
        <w:tc>
          <w:tcPr>
            <w:tcW w:w="1003" w:type="dxa"/>
            <w:shd w:val="clear" w:color="auto" w:fill="auto"/>
            <w:noWrap/>
            <w:vAlign w:val="center"/>
          </w:tcPr>
          <w:p w14:paraId="1969DFC1" w14:textId="77777777" w:rsidR="00855B06" w:rsidRPr="00855B06" w:rsidRDefault="00855B06" w:rsidP="0044671B">
            <w:pPr>
              <w:jc w:val="center"/>
              <w:rPr>
                <w:rFonts w:ascii="Verdana" w:hAnsi="Verdana" w:cs="Arial"/>
                <w:color w:val="000000"/>
                <w:sz w:val="20"/>
                <w:szCs w:val="20"/>
                <w:lang w:eastAsia="es-CO"/>
              </w:rPr>
            </w:pPr>
            <w:r w:rsidRPr="00855B06">
              <w:rPr>
                <w:rFonts w:ascii="Verdana" w:hAnsi="Verdana" w:cs="Arial"/>
                <w:color w:val="000000"/>
                <w:sz w:val="20"/>
                <w:szCs w:val="20"/>
                <w:lang w:eastAsia="es-CO"/>
              </w:rPr>
              <w:t>3312</w:t>
            </w:r>
          </w:p>
        </w:tc>
        <w:tc>
          <w:tcPr>
            <w:tcW w:w="6415" w:type="dxa"/>
            <w:shd w:val="clear" w:color="auto" w:fill="auto"/>
            <w:vAlign w:val="center"/>
          </w:tcPr>
          <w:p w14:paraId="0DB9A717" w14:textId="77777777" w:rsidR="00855B06" w:rsidRPr="00855B06" w:rsidRDefault="00855B06" w:rsidP="0044671B">
            <w:pPr>
              <w:jc w:val="both"/>
              <w:rPr>
                <w:rFonts w:ascii="Verdana" w:hAnsi="Verdana" w:cs="Arial"/>
                <w:color w:val="000000"/>
                <w:sz w:val="20"/>
                <w:szCs w:val="20"/>
                <w:lang w:eastAsia="es-CO"/>
              </w:rPr>
            </w:pPr>
            <w:r w:rsidRPr="00855B06">
              <w:rPr>
                <w:rFonts w:ascii="Verdana" w:hAnsi="Verdana" w:cs="Arial"/>
                <w:color w:val="000000"/>
                <w:sz w:val="20"/>
                <w:szCs w:val="20"/>
                <w:lang w:eastAsia="es-CO"/>
              </w:rPr>
              <w:t>Mantenimiento y reparación especializado de maquinaria y equipo</w:t>
            </w:r>
          </w:p>
        </w:tc>
      </w:tr>
      <w:tr w:rsidR="00855B06" w:rsidRPr="00855B06" w14:paraId="37380D43" w14:textId="77777777" w:rsidTr="0044671B">
        <w:trPr>
          <w:trHeight w:val="20"/>
          <w:jc w:val="center"/>
        </w:trPr>
        <w:tc>
          <w:tcPr>
            <w:tcW w:w="1284" w:type="dxa"/>
            <w:shd w:val="clear" w:color="auto" w:fill="D9D9D9" w:themeFill="background1" w:themeFillShade="D9"/>
            <w:noWrap/>
            <w:vAlign w:val="center"/>
          </w:tcPr>
          <w:p w14:paraId="43C881DF" w14:textId="77777777" w:rsidR="00855B06" w:rsidRPr="00855B06" w:rsidRDefault="00855B06" w:rsidP="0044671B">
            <w:pPr>
              <w:jc w:val="center"/>
              <w:rPr>
                <w:rFonts w:ascii="Verdana" w:hAnsi="Verdana" w:cs="Arial"/>
                <w:b/>
                <w:bCs/>
                <w:color w:val="000000"/>
                <w:sz w:val="20"/>
                <w:szCs w:val="20"/>
                <w:lang w:eastAsia="es-CO"/>
              </w:rPr>
            </w:pPr>
            <w:r w:rsidRPr="00855B06">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7E2B2CB6" w14:textId="77777777" w:rsidR="00855B06" w:rsidRPr="00855B06" w:rsidRDefault="00855B06" w:rsidP="0044671B">
            <w:pPr>
              <w:jc w:val="center"/>
              <w:rPr>
                <w:rFonts w:ascii="Verdana" w:hAnsi="Verdana" w:cs="Arial"/>
                <w:b/>
                <w:color w:val="000000"/>
                <w:sz w:val="20"/>
                <w:szCs w:val="20"/>
                <w:lang w:eastAsia="es-CO"/>
              </w:rPr>
            </w:pPr>
            <w:r w:rsidRPr="00855B06">
              <w:rPr>
                <w:rFonts w:ascii="Verdana" w:hAnsi="Verdana" w:cs="Arial"/>
                <w:b/>
                <w:color w:val="000000"/>
                <w:sz w:val="20"/>
                <w:szCs w:val="20"/>
                <w:lang w:eastAsia="es-CO"/>
              </w:rPr>
              <w:t>F</w:t>
            </w:r>
          </w:p>
        </w:tc>
        <w:tc>
          <w:tcPr>
            <w:tcW w:w="6415" w:type="dxa"/>
            <w:shd w:val="clear" w:color="auto" w:fill="D9D9D9" w:themeFill="background1" w:themeFillShade="D9"/>
            <w:vAlign w:val="center"/>
          </w:tcPr>
          <w:p w14:paraId="595F471D" w14:textId="77777777" w:rsidR="00855B06" w:rsidRPr="00855B06" w:rsidRDefault="00855B06" w:rsidP="0044671B">
            <w:pPr>
              <w:jc w:val="both"/>
              <w:rPr>
                <w:rFonts w:ascii="Verdana" w:hAnsi="Verdana" w:cs="Arial"/>
                <w:b/>
                <w:color w:val="000000"/>
                <w:sz w:val="20"/>
                <w:szCs w:val="20"/>
                <w:lang w:eastAsia="es-CO"/>
              </w:rPr>
            </w:pPr>
            <w:r w:rsidRPr="00855B06">
              <w:rPr>
                <w:rFonts w:ascii="Verdana" w:hAnsi="Verdana" w:cs="Arial"/>
                <w:b/>
                <w:color w:val="000000"/>
                <w:sz w:val="20"/>
                <w:szCs w:val="20"/>
                <w:lang w:eastAsia="es-CO"/>
              </w:rPr>
              <w:t>Construcción</w:t>
            </w:r>
          </w:p>
        </w:tc>
      </w:tr>
      <w:tr w:rsidR="00855B06" w:rsidRPr="00855B06" w14:paraId="1531042C" w14:textId="77777777" w:rsidTr="0044671B">
        <w:trPr>
          <w:trHeight w:val="20"/>
          <w:jc w:val="center"/>
        </w:trPr>
        <w:tc>
          <w:tcPr>
            <w:tcW w:w="1284" w:type="dxa"/>
            <w:shd w:val="clear" w:color="auto" w:fill="D9D9D9" w:themeFill="background1" w:themeFillShade="D9"/>
            <w:noWrap/>
            <w:vAlign w:val="center"/>
          </w:tcPr>
          <w:p w14:paraId="7C618220" w14:textId="77777777" w:rsidR="00855B06" w:rsidRPr="00855B06" w:rsidRDefault="00855B06" w:rsidP="0044671B">
            <w:pPr>
              <w:jc w:val="center"/>
              <w:rPr>
                <w:rFonts w:ascii="Verdana" w:hAnsi="Verdana" w:cs="Arial"/>
                <w:b/>
                <w:bCs/>
                <w:color w:val="000000"/>
                <w:sz w:val="20"/>
                <w:szCs w:val="20"/>
                <w:lang w:eastAsia="es-CO"/>
              </w:rPr>
            </w:pPr>
            <w:r w:rsidRPr="00855B06">
              <w:rPr>
                <w:rFonts w:ascii="Verdana" w:hAnsi="Verdana" w:cs="Arial"/>
                <w:b/>
                <w:bCs/>
                <w:color w:val="000000"/>
                <w:sz w:val="20"/>
                <w:szCs w:val="20"/>
                <w:lang w:eastAsia="es-CO"/>
              </w:rPr>
              <w:t>División</w:t>
            </w:r>
          </w:p>
        </w:tc>
        <w:tc>
          <w:tcPr>
            <w:tcW w:w="1003" w:type="dxa"/>
            <w:shd w:val="clear" w:color="auto" w:fill="D9D9D9" w:themeFill="background1" w:themeFillShade="D9"/>
            <w:noWrap/>
            <w:vAlign w:val="center"/>
          </w:tcPr>
          <w:p w14:paraId="43CA0E12" w14:textId="77777777" w:rsidR="00855B06" w:rsidRPr="00855B06" w:rsidRDefault="00855B06" w:rsidP="0044671B">
            <w:pPr>
              <w:jc w:val="center"/>
              <w:rPr>
                <w:rFonts w:ascii="Verdana" w:hAnsi="Verdana" w:cs="Arial"/>
                <w:b/>
                <w:color w:val="000000"/>
                <w:sz w:val="20"/>
                <w:szCs w:val="20"/>
                <w:lang w:eastAsia="es-CO"/>
              </w:rPr>
            </w:pPr>
            <w:r w:rsidRPr="00855B06">
              <w:rPr>
                <w:rFonts w:ascii="Verdana" w:hAnsi="Verdana" w:cs="Arial"/>
                <w:b/>
                <w:color w:val="000000"/>
                <w:sz w:val="20"/>
                <w:szCs w:val="20"/>
                <w:lang w:eastAsia="es-CO"/>
              </w:rPr>
              <w:t>42</w:t>
            </w:r>
          </w:p>
        </w:tc>
        <w:tc>
          <w:tcPr>
            <w:tcW w:w="6415" w:type="dxa"/>
            <w:shd w:val="clear" w:color="auto" w:fill="D9D9D9" w:themeFill="background1" w:themeFillShade="D9"/>
            <w:vAlign w:val="center"/>
          </w:tcPr>
          <w:p w14:paraId="398A998A" w14:textId="77777777" w:rsidR="00855B06" w:rsidRPr="00855B06" w:rsidRDefault="00855B06" w:rsidP="0044671B">
            <w:pPr>
              <w:jc w:val="both"/>
              <w:rPr>
                <w:rFonts w:ascii="Verdana" w:hAnsi="Verdana" w:cs="Arial"/>
                <w:b/>
                <w:color w:val="000000"/>
                <w:sz w:val="20"/>
                <w:szCs w:val="20"/>
                <w:lang w:eastAsia="es-CO"/>
              </w:rPr>
            </w:pPr>
            <w:r w:rsidRPr="00855B06">
              <w:rPr>
                <w:rFonts w:ascii="Verdana" w:hAnsi="Verdana" w:cs="Arial"/>
                <w:b/>
                <w:bCs/>
                <w:sz w:val="20"/>
                <w:szCs w:val="20"/>
              </w:rPr>
              <w:t>Obras de ingeniería civil</w:t>
            </w:r>
          </w:p>
        </w:tc>
      </w:tr>
      <w:tr w:rsidR="00855B06" w:rsidRPr="00855B06" w14:paraId="11BEADD9" w14:textId="77777777" w:rsidTr="0044671B">
        <w:trPr>
          <w:trHeight w:val="20"/>
          <w:jc w:val="center"/>
        </w:trPr>
        <w:tc>
          <w:tcPr>
            <w:tcW w:w="1284" w:type="dxa"/>
            <w:shd w:val="clear" w:color="auto" w:fill="auto"/>
            <w:noWrap/>
            <w:vAlign w:val="center"/>
          </w:tcPr>
          <w:p w14:paraId="1479D8F0" w14:textId="77777777" w:rsidR="00855B06" w:rsidRPr="00855B06" w:rsidRDefault="00855B06" w:rsidP="0044671B">
            <w:pPr>
              <w:jc w:val="center"/>
              <w:rPr>
                <w:rFonts w:ascii="Verdana" w:hAnsi="Verdana" w:cs="Arial"/>
                <w:color w:val="000000"/>
                <w:sz w:val="20"/>
                <w:szCs w:val="20"/>
                <w:lang w:eastAsia="es-CO"/>
              </w:rPr>
            </w:pPr>
            <w:r w:rsidRPr="00855B06">
              <w:rPr>
                <w:rFonts w:ascii="Verdana" w:hAnsi="Verdana" w:cs="Arial"/>
                <w:color w:val="000000"/>
                <w:sz w:val="20"/>
                <w:szCs w:val="20"/>
                <w:lang w:eastAsia="es-CO"/>
              </w:rPr>
              <w:t>Clase</w:t>
            </w:r>
          </w:p>
        </w:tc>
        <w:tc>
          <w:tcPr>
            <w:tcW w:w="1003" w:type="dxa"/>
            <w:shd w:val="clear" w:color="auto" w:fill="auto"/>
            <w:noWrap/>
            <w:vAlign w:val="center"/>
          </w:tcPr>
          <w:p w14:paraId="21843792"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4210</w:t>
            </w:r>
          </w:p>
        </w:tc>
        <w:tc>
          <w:tcPr>
            <w:tcW w:w="6415" w:type="dxa"/>
            <w:shd w:val="clear" w:color="auto" w:fill="auto"/>
            <w:vAlign w:val="center"/>
          </w:tcPr>
          <w:p w14:paraId="6854A158" w14:textId="77777777" w:rsidR="00855B06" w:rsidRPr="00855B06" w:rsidRDefault="00855B06" w:rsidP="0044671B">
            <w:pPr>
              <w:rPr>
                <w:rFonts w:ascii="Verdana" w:hAnsi="Verdana" w:cs="Arial"/>
                <w:bCs/>
                <w:color w:val="000000"/>
                <w:sz w:val="20"/>
                <w:szCs w:val="20"/>
                <w:lang w:eastAsia="es-CO"/>
              </w:rPr>
            </w:pPr>
            <w:r w:rsidRPr="00855B06">
              <w:rPr>
                <w:rFonts w:ascii="Verdana" w:hAnsi="Verdana" w:cs="Arial"/>
                <w:bCs/>
                <w:color w:val="000000"/>
                <w:sz w:val="20"/>
                <w:szCs w:val="20"/>
                <w:lang w:eastAsia="es-CO"/>
              </w:rPr>
              <w:t>Construcción de carreteras y vías de ferrocarril</w:t>
            </w:r>
          </w:p>
        </w:tc>
      </w:tr>
      <w:tr w:rsidR="00855B06" w:rsidRPr="00855B06" w14:paraId="6BD3F603" w14:textId="77777777" w:rsidTr="0044671B">
        <w:trPr>
          <w:trHeight w:val="20"/>
          <w:jc w:val="center"/>
        </w:trPr>
        <w:tc>
          <w:tcPr>
            <w:tcW w:w="1284" w:type="dxa"/>
            <w:shd w:val="clear" w:color="auto" w:fill="D9D9D9" w:themeFill="background1" w:themeFillShade="D9"/>
            <w:noWrap/>
            <w:vAlign w:val="center"/>
          </w:tcPr>
          <w:p w14:paraId="5B20217E"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
                <w:bCs/>
                <w:color w:val="000000"/>
                <w:sz w:val="20"/>
                <w:szCs w:val="20"/>
                <w:lang w:eastAsia="es-CO"/>
              </w:rPr>
              <w:t>División</w:t>
            </w:r>
          </w:p>
        </w:tc>
        <w:tc>
          <w:tcPr>
            <w:tcW w:w="1003" w:type="dxa"/>
            <w:shd w:val="clear" w:color="auto" w:fill="D9D9D9" w:themeFill="background1" w:themeFillShade="D9"/>
            <w:noWrap/>
            <w:vAlign w:val="center"/>
          </w:tcPr>
          <w:p w14:paraId="7AB1B96F"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
                <w:color w:val="000000"/>
                <w:sz w:val="20"/>
                <w:szCs w:val="20"/>
                <w:lang w:eastAsia="es-CO"/>
              </w:rPr>
              <w:t>43</w:t>
            </w:r>
          </w:p>
        </w:tc>
        <w:tc>
          <w:tcPr>
            <w:tcW w:w="6415" w:type="dxa"/>
            <w:shd w:val="clear" w:color="auto" w:fill="D9D9D9" w:themeFill="background1" w:themeFillShade="D9"/>
            <w:vAlign w:val="center"/>
          </w:tcPr>
          <w:p w14:paraId="0F23CF4A" w14:textId="77777777" w:rsidR="00855B06" w:rsidRPr="00855B06" w:rsidRDefault="00855B06" w:rsidP="0044671B">
            <w:pPr>
              <w:jc w:val="both"/>
              <w:rPr>
                <w:rFonts w:ascii="Verdana" w:hAnsi="Verdana" w:cs="Arial"/>
                <w:sz w:val="20"/>
                <w:szCs w:val="20"/>
              </w:rPr>
            </w:pPr>
            <w:r w:rsidRPr="00855B06">
              <w:rPr>
                <w:rFonts w:ascii="Verdana" w:hAnsi="Verdana" w:cs="Arial"/>
                <w:b/>
                <w:bCs/>
                <w:sz w:val="20"/>
                <w:szCs w:val="20"/>
              </w:rPr>
              <w:t>Obras de ingeniería civil</w:t>
            </w:r>
          </w:p>
        </w:tc>
      </w:tr>
      <w:tr w:rsidR="00855B06" w:rsidRPr="00855B06" w14:paraId="6343B8A5" w14:textId="77777777" w:rsidTr="0044671B">
        <w:trPr>
          <w:trHeight w:val="20"/>
          <w:jc w:val="center"/>
        </w:trPr>
        <w:tc>
          <w:tcPr>
            <w:tcW w:w="1284" w:type="dxa"/>
            <w:shd w:val="clear" w:color="auto" w:fill="auto"/>
            <w:noWrap/>
            <w:vAlign w:val="center"/>
          </w:tcPr>
          <w:p w14:paraId="3D91D0C5"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Clase</w:t>
            </w:r>
          </w:p>
        </w:tc>
        <w:tc>
          <w:tcPr>
            <w:tcW w:w="1003" w:type="dxa"/>
            <w:shd w:val="clear" w:color="auto" w:fill="auto"/>
            <w:noWrap/>
            <w:vAlign w:val="center"/>
          </w:tcPr>
          <w:p w14:paraId="1E02DCD3"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4321</w:t>
            </w:r>
          </w:p>
        </w:tc>
        <w:tc>
          <w:tcPr>
            <w:tcW w:w="6415" w:type="dxa"/>
            <w:shd w:val="clear" w:color="auto" w:fill="auto"/>
            <w:vAlign w:val="center"/>
          </w:tcPr>
          <w:p w14:paraId="6EDE5A86" w14:textId="77777777" w:rsidR="00855B06" w:rsidRPr="00855B06" w:rsidRDefault="00855B06" w:rsidP="0044671B">
            <w:pPr>
              <w:rPr>
                <w:rFonts w:ascii="Verdana" w:hAnsi="Verdana" w:cs="Arial"/>
                <w:sz w:val="20"/>
                <w:szCs w:val="20"/>
              </w:rPr>
            </w:pPr>
            <w:r w:rsidRPr="00855B06">
              <w:rPr>
                <w:rFonts w:ascii="Verdana" w:hAnsi="Verdana" w:cs="Arial"/>
                <w:sz w:val="20"/>
                <w:szCs w:val="20"/>
              </w:rPr>
              <w:t>Instalaciones eléctricas</w:t>
            </w:r>
          </w:p>
        </w:tc>
      </w:tr>
      <w:tr w:rsidR="00855B06" w:rsidRPr="00855B06" w14:paraId="04DB134E" w14:textId="77777777" w:rsidTr="0044671B">
        <w:trPr>
          <w:trHeight w:val="20"/>
          <w:jc w:val="center"/>
        </w:trPr>
        <w:tc>
          <w:tcPr>
            <w:tcW w:w="1284" w:type="dxa"/>
            <w:shd w:val="clear" w:color="auto" w:fill="auto"/>
            <w:noWrap/>
            <w:vAlign w:val="center"/>
          </w:tcPr>
          <w:p w14:paraId="380F766C"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Clase</w:t>
            </w:r>
          </w:p>
        </w:tc>
        <w:tc>
          <w:tcPr>
            <w:tcW w:w="1003" w:type="dxa"/>
            <w:shd w:val="clear" w:color="auto" w:fill="auto"/>
            <w:noWrap/>
            <w:vAlign w:val="center"/>
          </w:tcPr>
          <w:p w14:paraId="443ED6F7"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4330</w:t>
            </w:r>
          </w:p>
        </w:tc>
        <w:tc>
          <w:tcPr>
            <w:tcW w:w="6415" w:type="dxa"/>
            <w:shd w:val="clear" w:color="auto" w:fill="auto"/>
            <w:vAlign w:val="center"/>
          </w:tcPr>
          <w:p w14:paraId="39C99161" w14:textId="77777777" w:rsidR="00855B06" w:rsidRPr="00855B06" w:rsidRDefault="00855B06" w:rsidP="0044671B">
            <w:pPr>
              <w:rPr>
                <w:rFonts w:ascii="Verdana" w:hAnsi="Verdana" w:cs="Arial"/>
                <w:sz w:val="20"/>
                <w:szCs w:val="20"/>
              </w:rPr>
            </w:pPr>
            <w:r w:rsidRPr="00855B06">
              <w:rPr>
                <w:rFonts w:ascii="Verdana" w:hAnsi="Verdana" w:cs="Arial"/>
                <w:sz w:val="20"/>
                <w:szCs w:val="20"/>
              </w:rPr>
              <w:t>Terminación y acabado de edificios y obras de ingeniería civil</w:t>
            </w:r>
          </w:p>
        </w:tc>
      </w:tr>
      <w:tr w:rsidR="00855B06" w:rsidRPr="00855B06" w14:paraId="4428A7E5" w14:textId="77777777" w:rsidTr="0044671B">
        <w:trPr>
          <w:trHeight w:val="20"/>
          <w:jc w:val="center"/>
        </w:trPr>
        <w:tc>
          <w:tcPr>
            <w:tcW w:w="1284" w:type="dxa"/>
            <w:shd w:val="clear" w:color="auto" w:fill="auto"/>
            <w:noWrap/>
            <w:vAlign w:val="center"/>
          </w:tcPr>
          <w:p w14:paraId="63803B60"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Clase</w:t>
            </w:r>
          </w:p>
        </w:tc>
        <w:tc>
          <w:tcPr>
            <w:tcW w:w="1003" w:type="dxa"/>
            <w:shd w:val="clear" w:color="auto" w:fill="auto"/>
            <w:noWrap/>
            <w:vAlign w:val="center"/>
          </w:tcPr>
          <w:p w14:paraId="4972B9E0"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4390</w:t>
            </w:r>
          </w:p>
        </w:tc>
        <w:tc>
          <w:tcPr>
            <w:tcW w:w="6415" w:type="dxa"/>
            <w:shd w:val="clear" w:color="auto" w:fill="auto"/>
            <w:vAlign w:val="center"/>
          </w:tcPr>
          <w:p w14:paraId="5151A4B6" w14:textId="77777777" w:rsidR="00855B06" w:rsidRPr="00855B06" w:rsidRDefault="00855B06" w:rsidP="0044671B">
            <w:pPr>
              <w:rPr>
                <w:rFonts w:ascii="Verdana" w:hAnsi="Verdana" w:cs="Arial"/>
                <w:sz w:val="20"/>
                <w:szCs w:val="20"/>
              </w:rPr>
            </w:pPr>
            <w:r w:rsidRPr="00855B06">
              <w:rPr>
                <w:rFonts w:ascii="Verdana" w:hAnsi="Verdana" w:cs="Arial"/>
                <w:sz w:val="20"/>
                <w:szCs w:val="20"/>
              </w:rPr>
              <w:t>Otras actividades especializadas para la construcción de edificios y obras de ingeniería civil</w:t>
            </w:r>
          </w:p>
        </w:tc>
      </w:tr>
      <w:tr w:rsidR="00855B06" w:rsidRPr="00855B06" w14:paraId="6BEF5A4F" w14:textId="77777777" w:rsidTr="0044671B">
        <w:trPr>
          <w:trHeight w:val="20"/>
          <w:jc w:val="center"/>
        </w:trPr>
        <w:tc>
          <w:tcPr>
            <w:tcW w:w="1284" w:type="dxa"/>
            <w:shd w:val="clear" w:color="auto" w:fill="D9D9D9" w:themeFill="background1" w:themeFillShade="D9"/>
            <w:noWrap/>
            <w:vAlign w:val="center"/>
          </w:tcPr>
          <w:p w14:paraId="66BDC47F"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192820D8"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M</w:t>
            </w:r>
          </w:p>
        </w:tc>
        <w:tc>
          <w:tcPr>
            <w:tcW w:w="6415" w:type="dxa"/>
            <w:shd w:val="clear" w:color="auto" w:fill="D9D9D9" w:themeFill="background1" w:themeFillShade="D9"/>
            <w:vAlign w:val="center"/>
          </w:tcPr>
          <w:p w14:paraId="3380B6BE" w14:textId="77777777" w:rsidR="00855B06" w:rsidRPr="00855B06" w:rsidRDefault="00855B06" w:rsidP="0044671B">
            <w:pPr>
              <w:rPr>
                <w:rFonts w:ascii="Verdana" w:hAnsi="Verdana" w:cs="Arial"/>
                <w:b/>
                <w:bCs/>
                <w:sz w:val="20"/>
                <w:szCs w:val="20"/>
              </w:rPr>
            </w:pPr>
            <w:r w:rsidRPr="00855B06">
              <w:rPr>
                <w:rFonts w:ascii="Verdana" w:hAnsi="Verdana" w:cs="Arial"/>
                <w:b/>
                <w:bCs/>
                <w:sz w:val="20"/>
                <w:szCs w:val="20"/>
              </w:rPr>
              <w:t>Actividades Profesionales, Científicas Y Técnicas</w:t>
            </w:r>
          </w:p>
        </w:tc>
      </w:tr>
      <w:tr w:rsidR="00855B06" w:rsidRPr="00855B06" w14:paraId="7A818DF1" w14:textId="77777777" w:rsidTr="0044671B">
        <w:trPr>
          <w:trHeight w:val="20"/>
          <w:jc w:val="center"/>
        </w:trPr>
        <w:tc>
          <w:tcPr>
            <w:tcW w:w="1284" w:type="dxa"/>
            <w:shd w:val="clear" w:color="auto" w:fill="auto"/>
            <w:noWrap/>
            <w:vAlign w:val="center"/>
          </w:tcPr>
          <w:p w14:paraId="586866E2"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
                <w:bCs/>
                <w:color w:val="000000"/>
                <w:sz w:val="20"/>
                <w:szCs w:val="20"/>
                <w:lang w:eastAsia="es-CO"/>
              </w:rPr>
              <w:t>División</w:t>
            </w:r>
          </w:p>
        </w:tc>
        <w:tc>
          <w:tcPr>
            <w:tcW w:w="1003" w:type="dxa"/>
            <w:shd w:val="clear" w:color="auto" w:fill="auto"/>
            <w:noWrap/>
            <w:vAlign w:val="center"/>
          </w:tcPr>
          <w:p w14:paraId="383FD261"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71</w:t>
            </w:r>
          </w:p>
        </w:tc>
        <w:tc>
          <w:tcPr>
            <w:tcW w:w="6415" w:type="dxa"/>
            <w:shd w:val="clear" w:color="auto" w:fill="auto"/>
            <w:vAlign w:val="center"/>
          </w:tcPr>
          <w:p w14:paraId="0376AAC2" w14:textId="77777777" w:rsidR="00855B06" w:rsidRPr="00855B06" w:rsidRDefault="00855B06" w:rsidP="0044671B">
            <w:pPr>
              <w:jc w:val="both"/>
              <w:rPr>
                <w:rFonts w:ascii="Verdana" w:hAnsi="Verdana" w:cs="Arial"/>
                <w:sz w:val="20"/>
                <w:szCs w:val="20"/>
              </w:rPr>
            </w:pPr>
            <w:r w:rsidRPr="00855B06">
              <w:rPr>
                <w:rFonts w:ascii="Verdana" w:hAnsi="Verdana" w:cs="Arial"/>
                <w:b/>
                <w:color w:val="000000"/>
                <w:sz w:val="20"/>
                <w:szCs w:val="20"/>
                <w:lang w:eastAsia="es-CO"/>
              </w:rPr>
              <w:t>Actividades de arquitectura e ingeniería; ensayos y análisis técnicos</w:t>
            </w:r>
          </w:p>
        </w:tc>
      </w:tr>
      <w:tr w:rsidR="00855B06" w:rsidRPr="00855B06" w14:paraId="09179A35" w14:textId="77777777" w:rsidTr="0044671B">
        <w:trPr>
          <w:trHeight w:val="20"/>
          <w:jc w:val="center"/>
        </w:trPr>
        <w:tc>
          <w:tcPr>
            <w:tcW w:w="1284" w:type="dxa"/>
            <w:shd w:val="clear" w:color="auto" w:fill="auto"/>
            <w:noWrap/>
            <w:vAlign w:val="center"/>
          </w:tcPr>
          <w:p w14:paraId="572F62F7"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Clase</w:t>
            </w:r>
          </w:p>
        </w:tc>
        <w:tc>
          <w:tcPr>
            <w:tcW w:w="1003" w:type="dxa"/>
            <w:shd w:val="clear" w:color="auto" w:fill="auto"/>
            <w:noWrap/>
            <w:vAlign w:val="center"/>
          </w:tcPr>
          <w:p w14:paraId="4FF486DB"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7110</w:t>
            </w:r>
          </w:p>
        </w:tc>
        <w:tc>
          <w:tcPr>
            <w:tcW w:w="6415" w:type="dxa"/>
            <w:shd w:val="clear" w:color="auto" w:fill="auto"/>
            <w:vAlign w:val="center"/>
          </w:tcPr>
          <w:p w14:paraId="72E65353" w14:textId="77777777" w:rsidR="00855B06" w:rsidRPr="00855B06" w:rsidRDefault="00855B06" w:rsidP="0044671B">
            <w:pPr>
              <w:jc w:val="both"/>
              <w:rPr>
                <w:rFonts w:ascii="Verdana" w:hAnsi="Verdana" w:cs="Arial"/>
                <w:sz w:val="20"/>
                <w:szCs w:val="20"/>
              </w:rPr>
            </w:pPr>
            <w:r w:rsidRPr="00855B06">
              <w:rPr>
                <w:rFonts w:ascii="Verdana" w:hAnsi="Verdana" w:cs="Arial"/>
                <w:sz w:val="20"/>
                <w:szCs w:val="20"/>
              </w:rPr>
              <w:t>Actividades de arquitectura e ingeniería y otras actividades conexas de consultoría técnica</w:t>
            </w:r>
          </w:p>
        </w:tc>
      </w:tr>
      <w:tr w:rsidR="00855B06" w:rsidRPr="00855B06" w14:paraId="2A88C54B" w14:textId="77777777" w:rsidTr="0044671B">
        <w:trPr>
          <w:trHeight w:val="20"/>
          <w:jc w:val="center"/>
        </w:trPr>
        <w:tc>
          <w:tcPr>
            <w:tcW w:w="1284" w:type="dxa"/>
            <w:shd w:val="clear" w:color="auto" w:fill="auto"/>
            <w:noWrap/>
            <w:vAlign w:val="center"/>
          </w:tcPr>
          <w:p w14:paraId="69838AE4" w14:textId="77777777" w:rsidR="00855B06" w:rsidRPr="00855B06" w:rsidRDefault="00855B06" w:rsidP="0044671B">
            <w:pPr>
              <w:jc w:val="center"/>
              <w:rPr>
                <w:rFonts w:ascii="Verdana" w:hAnsi="Verdana" w:cs="Arial"/>
                <w:color w:val="000000"/>
                <w:sz w:val="20"/>
                <w:szCs w:val="20"/>
                <w:lang w:eastAsia="es-CO"/>
              </w:rPr>
            </w:pPr>
            <w:r w:rsidRPr="00855B06">
              <w:rPr>
                <w:rFonts w:ascii="Verdana" w:hAnsi="Verdana" w:cs="Arial"/>
                <w:color w:val="000000"/>
                <w:sz w:val="20"/>
                <w:szCs w:val="20"/>
                <w:lang w:eastAsia="es-CO"/>
              </w:rPr>
              <w:t>Clase</w:t>
            </w:r>
          </w:p>
        </w:tc>
        <w:tc>
          <w:tcPr>
            <w:tcW w:w="1003" w:type="dxa"/>
            <w:shd w:val="clear" w:color="auto" w:fill="auto"/>
            <w:noWrap/>
            <w:vAlign w:val="center"/>
          </w:tcPr>
          <w:p w14:paraId="76742A09"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7111</w:t>
            </w:r>
          </w:p>
        </w:tc>
        <w:tc>
          <w:tcPr>
            <w:tcW w:w="6415" w:type="dxa"/>
            <w:shd w:val="clear" w:color="auto" w:fill="auto"/>
            <w:vAlign w:val="center"/>
          </w:tcPr>
          <w:p w14:paraId="617D99F9" w14:textId="77777777" w:rsidR="00855B06" w:rsidRPr="00855B06" w:rsidRDefault="00855B06" w:rsidP="0044671B">
            <w:pPr>
              <w:jc w:val="both"/>
              <w:rPr>
                <w:rFonts w:ascii="Verdana" w:hAnsi="Verdana" w:cs="Arial"/>
                <w:bCs/>
                <w:color w:val="000000"/>
                <w:sz w:val="20"/>
                <w:szCs w:val="20"/>
                <w:lang w:eastAsia="es-CO"/>
              </w:rPr>
            </w:pPr>
            <w:r w:rsidRPr="00855B06">
              <w:rPr>
                <w:rFonts w:ascii="Verdana" w:hAnsi="Verdana" w:cs="Arial"/>
                <w:bCs/>
                <w:color w:val="000000"/>
                <w:sz w:val="20"/>
                <w:szCs w:val="20"/>
                <w:lang w:eastAsia="es-CO"/>
              </w:rPr>
              <w:t>Actividades de arquitectura</w:t>
            </w:r>
          </w:p>
        </w:tc>
      </w:tr>
      <w:tr w:rsidR="00855B06" w:rsidRPr="00855B06" w14:paraId="20B35D44" w14:textId="77777777" w:rsidTr="0044671B">
        <w:trPr>
          <w:trHeight w:val="20"/>
          <w:jc w:val="center"/>
        </w:trPr>
        <w:tc>
          <w:tcPr>
            <w:tcW w:w="1284" w:type="dxa"/>
            <w:shd w:val="clear" w:color="auto" w:fill="auto"/>
            <w:noWrap/>
            <w:vAlign w:val="center"/>
          </w:tcPr>
          <w:p w14:paraId="5C058DEF" w14:textId="77777777" w:rsidR="00855B06" w:rsidRPr="00855B06" w:rsidRDefault="00855B06" w:rsidP="0044671B">
            <w:pPr>
              <w:jc w:val="center"/>
              <w:rPr>
                <w:rFonts w:ascii="Verdana" w:hAnsi="Verdana" w:cs="Arial"/>
                <w:color w:val="000000"/>
                <w:sz w:val="20"/>
                <w:szCs w:val="20"/>
                <w:lang w:eastAsia="es-CO"/>
              </w:rPr>
            </w:pPr>
            <w:r w:rsidRPr="00855B06">
              <w:rPr>
                <w:rFonts w:ascii="Verdana" w:hAnsi="Verdana" w:cs="Arial"/>
                <w:color w:val="000000"/>
                <w:sz w:val="20"/>
                <w:szCs w:val="20"/>
                <w:lang w:eastAsia="es-CO"/>
              </w:rPr>
              <w:t>Clase</w:t>
            </w:r>
          </w:p>
        </w:tc>
        <w:tc>
          <w:tcPr>
            <w:tcW w:w="1003" w:type="dxa"/>
            <w:shd w:val="clear" w:color="auto" w:fill="auto"/>
            <w:noWrap/>
            <w:vAlign w:val="center"/>
          </w:tcPr>
          <w:p w14:paraId="5C22F2CC" w14:textId="77777777" w:rsidR="00855B06" w:rsidRPr="00855B06" w:rsidRDefault="00855B06" w:rsidP="0044671B">
            <w:pPr>
              <w:jc w:val="center"/>
              <w:rPr>
                <w:rFonts w:ascii="Verdana" w:hAnsi="Verdana" w:cs="Arial"/>
                <w:bCs/>
                <w:color w:val="000000"/>
                <w:sz w:val="20"/>
                <w:szCs w:val="20"/>
                <w:lang w:eastAsia="es-CO"/>
              </w:rPr>
            </w:pPr>
            <w:r w:rsidRPr="00855B06">
              <w:rPr>
                <w:rFonts w:ascii="Verdana" w:hAnsi="Verdana" w:cs="Arial"/>
                <w:bCs/>
                <w:color w:val="000000"/>
                <w:sz w:val="20"/>
                <w:szCs w:val="20"/>
                <w:lang w:eastAsia="es-CO"/>
              </w:rPr>
              <w:t>7112</w:t>
            </w:r>
          </w:p>
        </w:tc>
        <w:tc>
          <w:tcPr>
            <w:tcW w:w="6415" w:type="dxa"/>
            <w:shd w:val="clear" w:color="auto" w:fill="auto"/>
            <w:vAlign w:val="center"/>
          </w:tcPr>
          <w:p w14:paraId="43C9684E" w14:textId="77777777" w:rsidR="00855B06" w:rsidRPr="00855B06" w:rsidRDefault="00855B06" w:rsidP="0044671B">
            <w:pPr>
              <w:jc w:val="both"/>
              <w:rPr>
                <w:rFonts w:ascii="Verdana" w:hAnsi="Verdana" w:cs="Arial"/>
                <w:bCs/>
                <w:color w:val="000000"/>
                <w:sz w:val="20"/>
                <w:szCs w:val="20"/>
                <w:lang w:eastAsia="es-CO"/>
              </w:rPr>
            </w:pPr>
            <w:r w:rsidRPr="00855B06">
              <w:rPr>
                <w:rFonts w:ascii="Verdana" w:hAnsi="Verdana" w:cs="Arial"/>
                <w:bCs/>
                <w:color w:val="000000"/>
                <w:sz w:val="20"/>
                <w:szCs w:val="20"/>
                <w:lang w:eastAsia="es-CO"/>
              </w:rPr>
              <w:t>Actividades de ingeniería y otras actividades conexas de consultoría</w:t>
            </w:r>
          </w:p>
        </w:tc>
      </w:tr>
    </w:tbl>
    <w:p w14:paraId="01DCE5D1" w14:textId="77777777" w:rsidR="00DE760C" w:rsidRDefault="00DE760C" w:rsidP="00DC2BB8">
      <w:pPr>
        <w:pStyle w:val="Textonotapie"/>
        <w:rPr>
          <w:rFonts w:ascii="Verdana" w:eastAsia="Arial" w:hAnsi="Verdana" w:cs="Arial"/>
          <w:sz w:val="16"/>
          <w:szCs w:val="16"/>
        </w:rPr>
      </w:pPr>
    </w:p>
    <w:p w14:paraId="69953C60" w14:textId="77777777" w:rsidR="00DE760C" w:rsidRDefault="00DE760C" w:rsidP="00DC2BB8">
      <w:pPr>
        <w:pStyle w:val="Textonotapie"/>
        <w:rPr>
          <w:rFonts w:ascii="Verdana" w:eastAsia="Arial" w:hAnsi="Verdana" w:cs="Arial"/>
          <w:sz w:val="16"/>
          <w:szCs w:val="16"/>
        </w:rPr>
      </w:pPr>
    </w:p>
    <w:p w14:paraId="223C7600" w14:textId="126937FA" w:rsidR="00DC2BB8" w:rsidRPr="00A81BAA" w:rsidRDefault="00DC2BB8" w:rsidP="00DC2BB8">
      <w:pPr>
        <w:pStyle w:val="Textonotapie"/>
        <w:rPr>
          <w:rFonts w:ascii="Verdana" w:eastAsia="Arial" w:hAnsi="Verdana" w:cs="Arial"/>
          <w:sz w:val="16"/>
          <w:szCs w:val="16"/>
          <w:lang w:val="es-ES"/>
        </w:rPr>
      </w:pPr>
      <w:r w:rsidRPr="00A81BAA">
        <w:rPr>
          <w:rFonts w:ascii="Verdana" w:eastAsia="Arial" w:hAnsi="Verdana" w:cs="Arial"/>
          <w:sz w:val="16"/>
          <w:szCs w:val="16"/>
        </w:rPr>
        <w:t xml:space="preserve">Fuente: Elaboración propia a partir del documento Clasificación Industrial Internacional Uniforme de todas las actividades económicas, revisión 4 adaptada para Colombia (CIIU Rev. 4 A.C). </w:t>
      </w:r>
      <w:r w:rsidRPr="00A81BAA">
        <w:rPr>
          <w:rFonts w:ascii="Verdana" w:hAnsi="Verdana" w:cs="Arial"/>
          <w:sz w:val="16"/>
          <w:szCs w:val="16"/>
        </w:rPr>
        <w:t xml:space="preserve">Consultado en línea </w:t>
      </w:r>
      <w:r w:rsidRPr="00A81BAA">
        <w:rPr>
          <w:rFonts w:ascii="Verdana" w:hAnsi="Verdana" w:cs="Arial"/>
          <w:sz w:val="16"/>
          <w:szCs w:val="16"/>
          <w:lang w:val="es-ES"/>
        </w:rPr>
        <w:t xml:space="preserve">en </w:t>
      </w:r>
      <w:r w:rsidR="7D3A4E99" w:rsidRPr="00A81BAA">
        <w:rPr>
          <w:rFonts w:ascii="Verdana" w:hAnsi="Verdana" w:cs="Arial"/>
          <w:sz w:val="16"/>
          <w:szCs w:val="16"/>
          <w:lang w:val="es-ES"/>
        </w:rPr>
        <w:t>n</w:t>
      </w:r>
      <w:r w:rsidRPr="00A81BAA">
        <w:rPr>
          <w:rFonts w:ascii="Verdana" w:hAnsi="Verdana" w:cs="Arial"/>
          <w:sz w:val="16"/>
          <w:szCs w:val="16"/>
          <w:lang w:val="es-ES"/>
        </w:rPr>
        <w:t xml:space="preserve">oviembre </w:t>
      </w:r>
      <w:r w:rsidRPr="00A81BAA">
        <w:rPr>
          <w:rFonts w:ascii="Verdana" w:hAnsi="Verdana" w:cs="Arial"/>
          <w:sz w:val="16"/>
          <w:szCs w:val="16"/>
        </w:rPr>
        <w:t>de 20</w:t>
      </w:r>
      <w:r w:rsidRPr="00A81BAA">
        <w:rPr>
          <w:rFonts w:ascii="Verdana" w:hAnsi="Verdana" w:cs="Arial"/>
          <w:sz w:val="16"/>
          <w:szCs w:val="16"/>
          <w:lang w:val="es-ES"/>
        </w:rPr>
        <w:t>23</w:t>
      </w:r>
      <w:r w:rsidRPr="00A81BAA">
        <w:rPr>
          <w:rFonts w:ascii="Verdana" w:hAnsi="Verdana" w:cs="Arial"/>
          <w:sz w:val="16"/>
          <w:szCs w:val="16"/>
        </w:rPr>
        <w:t xml:space="preserve">. Disponible en: </w:t>
      </w:r>
      <w:hyperlink r:id="rId68">
        <w:r w:rsidRPr="00A81BAA">
          <w:rPr>
            <w:rStyle w:val="Hipervnculo"/>
            <w:rFonts w:ascii="Verdana" w:hAnsi="Verdana" w:cs="Arial"/>
            <w:color w:val="auto"/>
            <w:sz w:val="16"/>
            <w:szCs w:val="16"/>
          </w:rPr>
          <w:t>https://www.dane.gov.co/files/sen/nomenclatura/ciiu/CIIU_Rev_4_AC2022.pdf</w:t>
        </w:r>
      </w:hyperlink>
    </w:p>
    <w:p w14:paraId="0487A75C" w14:textId="77777777" w:rsidR="00DC2BB8" w:rsidRPr="00A81BAA" w:rsidRDefault="00DC2BB8" w:rsidP="00DC2BB8">
      <w:pPr>
        <w:pStyle w:val="Sinespaciado"/>
        <w:spacing w:line="276" w:lineRule="auto"/>
        <w:jc w:val="both"/>
        <w:rPr>
          <w:rFonts w:ascii="Verdana" w:hAnsi="Verdana" w:cs="Arial"/>
        </w:rPr>
      </w:pPr>
    </w:p>
    <w:p w14:paraId="4E322A8A" w14:textId="77777777" w:rsidR="00507C38" w:rsidRPr="00507C38" w:rsidRDefault="00507C38" w:rsidP="00507C38">
      <w:pPr>
        <w:pStyle w:val="Sinespaciado"/>
        <w:spacing w:line="276" w:lineRule="auto"/>
        <w:jc w:val="both"/>
        <w:rPr>
          <w:rFonts w:ascii="Verdana" w:hAnsi="Verdana" w:cs="Arial"/>
          <w:sz w:val="22"/>
          <w:szCs w:val="22"/>
        </w:rPr>
      </w:pPr>
      <w:r w:rsidRPr="00507C38">
        <w:rPr>
          <w:rFonts w:ascii="Verdana" w:hAnsi="Verdana" w:cs="Arial"/>
          <w:sz w:val="22"/>
          <w:szCs w:val="22"/>
        </w:rPr>
        <w:t xml:space="preserve">Conforme con lo anterior, </w:t>
      </w:r>
      <w:bookmarkStart w:id="34" w:name="_Hlk81924300"/>
      <w:r w:rsidRPr="00507C38">
        <w:rPr>
          <w:rFonts w:ascii="Verdana" w:hAnsi="Verdana" w:cs="Arial"/>
          <w:sz w:val="22"/>
          <w:szCs w:val="22"/>
        </w:rPr>
        <w:t>se analizan los indicadores financieros del sector con corte a 31 de diciembre del año 2023. Para obtener la información de referencia para establecer los indicadores mínimos habilitantes, se realizaron búsquedas de las empresas clasificadas en los códigos CIIU anteriormente señalados, en las siguientes bases de datos públicas que contienen la información de los estados financieros de las empresas:</w:t>
      </w:r>
    </w:p>
    <w:p w14:paraId="7596C732" w14:textId="77777777" w:rsidR="00507C38" w:rsidRPr="00507C38" w:rsidRDefault="00507C38" w:rsidP="00507C38">
      <w:pPr>
        <w:pStyle w:val="Sinespaciado"/>
        <w:spacing w:line="276" w:lineRule="auto"/>
        <w:jc w:val="both"/>
        <w:rPr>
          <w:rFonts w:ascii="Verdana" w:hAnsi="Verdana" w:cs="Arial"/>
          <w:sz w:val="22"/>
          <w:szCs w:val="22"/>
        </w:rPr>
      </w:pPr>
    </w:p>
    <w:p w14:paraId="3464CBEA" w14:textId="77777777" w:rsidR="00507C38" w:rsidRPr="00507C38" w:rsidRDefault="259C2C0B" w:rsidP="00E42FDE">
      <w:pPr>
        <w:pStyle w:val="Sinespaciado"/>
        <w:numPr>
          <w:ilvl w:val="0"/>
          <w:numId w:val="57"/>
        </w:numPr>
        <w:ind w:left="360"/>
        <w:jc w:val="both"/>
        <w:rPr>
          <w:rFonts w:ascii="Verdana" w:hAnsi="Verdana" w:cs="Arial"/>
          <w:b/>
          <w:bCs/>
          <w:sz w:val="22"/>
          <w:szCs w:val="22"/>
        </w:rPr>
      </w:pPr>
      <w:r w:rsidRPr="449377F1">
        <w:rPr>
          <w:rFonts w:ascii="Verdana" w:hAnsi="Verdana" w:cs="Arial"/>
          <w:i/>
          <w:iCs/>
          <w:sz w:val="22"/>
          <w:szCs w:val="22"/>
          <w:u w:val="single"/>
        </w:rPr>
        <w:t>Sistema Integrado de Información Societario (SIIS) – Superintendencia de Sociedades</w:t>
      </w:r>
      <w:r w:rsidR="00507C38" w:rsidRPr="00507C38">
        <w:rPr>
          <w:rStyle w:val="Refdenotaalpie"/>
          <w:rFonts w:ascii="Verdana" w:hAnsi="Verdana" w:cs="Arial"/>
          <w:sz w:val="22"/>
          <w:szCs w:val="22"/>
        </w:rPr>
        <w:footnoteReference w:id="29"/>
      </w:r>
      <w:r w:rsidRPr="00507C38">
        <w:rPr>
          <w:rFonts w:ascii="Verdana" w:hAnsi="Verdana" w:cs="Arial"/>
          <w:sz w:val="22"/>
          <w:szCs w:val="22"/>
        </w:rPr>
        <w:t xml:space="preserve">: </w:t>
      </w:r>
    </w:p>
    <w:p w14:paraId="19EFA880" w14:textId="77777777" w:rsidR="00507C38" w:rsidRPr="00507C38" w:rsidRDefault="00507C38" w:rsidP="00507C38">
      <w:pPr>
        <w:pStyle w:val="Sinespaciado"/>
        <w:ind w:left="360"/>
        <w:jc w:val="both"/>
        <w:rPr>
          <w:rFonts w:ascii="Verdana" w:hAnsi="Verdana" w:cs="Arial"/>
          <w:b/>
          <w:bCs/>
          <w:sz w:val="22"/>
          <w:szCs w:val="22"/>
        </w:rPr>
      </w:pPr>
    </w:p>
    <w:p w14:paraId="1A1FFDD6" w14:textId="77777777" w:rsidR="00507C38" w:rsidRPr="00507C38" w:rsidRDefault="00507C38" w:rsidP="00507C38">
      <w:pPr>
        <w:pStyle w:val="Sinespaciado"/>
        <w:ind w:left="360"/>
        <w:jc w:val="both"/>
        <w:rPr>
          <w:rFonts w:ascii="Verdana" w:hAnsi="Verdana" w:cs="Arial"/>
          <w:b/>
          <w:bCs/>
          <w:sz w:val="22"/>
          <w:szCs w:val="22"/>
        </w:rPr>
      </w:pPr>
      <w:r w:rsidRPr="00507C38">
        <w:rPr>
          <w:rFonts w:ascii="Verdana" w:hAnsi="Verdana" w:cs="Arial"/>
          <w:sz w:val="22"/>
          <w:szCs w:val="22"/>
        </w:rPr>
        <w:t xml:space="preserve">filtrando por el código CIIU </w:t>
      </w:r>
      <w:r w:rsidRPr="00507C38">
        <w:rPr>
          <w:rFonts w:ascii="Verdana" w:hAnsi="Verdana" w:cs="Arial"/>
          <w:b/>
          <w:bCs/>
          <w:sz w:val="22"/>
          <w:szCs w:val="22"/>
        </w:rPr>
        <w:t>4111- Construcción de edificios residenciales, 4112 - Construcción de edificios no residenciales, 4220 - Construcción de proyectos de servicio público y 4290 - Construcción de otras obras de ingeniería civil</w:t>
      </w:r>
      <w:r w:rsidRPr="00507C38">
        <w:rPr>
          <w:rFonts w:ascii="Verdana" w:hAnsi="Verdana" w:cs="Arial"/>
          <w:sz w:val="22"/>
          <w:szCs w:val="22"/>
        </w:rPr>
        <w:t xml:space="preserve">, en la base del SIIS se identificaron un total de </w:t>
      </w:r>
      <w:r w:rsidRPr="00507C38">
        <w:rPr>
          <w:rFonts w:ascii="Verdana" w:hAnsi="Verdana" w:cs="Arial"/>
          <w:b/>
          <w:bCs/>
          <w:sz w:val="22"/>
          <w:szCs w:val="22"/>
        </w:rPr>
        <w:t xml:space="preserve">Mil seiscientos diecisiete (1617) </w:t>
      </w:r>
      <w:r w:rsidRPr="00507C38">
        <w:rPr>
          <w:rFonts w:ascii="Verdana" w:hAnsi="Verdana" w:cs="Arial"/>
          <w:sz w:val="22"/>
          <w:szCs w:val="22"/>
        </w:rPr>
        <w:t xml:space="preserve">empresas. </w:t>
      </w:r>
    </w:p>
    <w:p w14:paraId="5859AB38" w14:textId="77777777" w:rsidR="00507C38" w:rsidRPr="00507C38" w:rsidRDefault="00507C38" w:rsidP="00507C38">
      <w:pPr>
        <w:pStyle w:val="Sinespaciado"/>
        <w:jc w:val="both"/>
        <w:rPr>
          <w:rFonts w:ascii="Verdana" w:hAnsi="Verdana" w:cs="Arial"/>
          <w:sz w:val="22"/>
          <w:szCs w:val="22"/>
        </w:rPr>
      </w:pPr>
    </w:p>
    <w:p w14:paraId="030A7131" w14:textId="77777777" w:rsidR="00507C38" w:rsidRPr="00507C38" w:rsidRDefault="00507C38" w:rsidP="00507C38">
      <w:pPr>
        <w:pStyle w:val="Sinespaciado"/>
        <w:ind w:left="360"/>
        <w:jc w:val="both"/>
        <w:rPr>
          <w:rFonts w:ascii="Verdana" w:hAnsi="Verdana" w:cs="Arial"/>
          <w:b/>
          <w:bCs/>
          <w:i/>
          <w:iCs/>
          <w:sz w:val="22"/>
          <w:szCs w:val="22"/>
        </w:rPr>
      </w:pPr>
    </w:p>
    <w:bookmarkEnd w:id="34"/>
    <w:p w14:paraId="42A52337" w14:textId="77777777" w:rsidR="00507C38" w:rsidRPr="00507C38" w:rsidRDefault="259C2C0B" w:rsidP="00E42FDE">
      <w:pPr>
        <w:pStyle w:val="Prrafodelista"/>
        <w:numPr>
          <w:ilvl w:val="0"/>
          <w:numId w:val="56"/>
        </w:numPr>
        <w:autoSpaceDE w:val="0"/>
        <w:autoSpaceDN w:val="0"/>
        <w:spacing w:after="0" w:line="276" w:lineRule="auto"/>
        <w:ind w:left="360"/>
        <w:contextualSpacing w:val="0"/>
        <w:rPr>
          <w:rFonts w:ascii="Verdana" w:hAnsi="Verdana" w:cs="Arial"/>
          <w:color w:val="000000"/>
          <w:sz w:val="20"/>
          <w:szCs w:val="20"/>
        </w:rPr>
      </w:pPr>
      <w:r w:rsidRPr="449377F1">
        <w:rPr>
          <w:rFonts w:ascii="Verdana" w:hAnsi="Verdana" w:cs="Arial"/>
          <w:i/>
          <w:iCs/>
          <w:color w:val="000000"/>
          <w:sz w:val="20"/>
          <w:szCs w:val="20"/>
          <w:u w:val="single"/>
        </w:rPr>
        <w:t>Registro Único Empresarial y Social- Confecámaras</w:t>
      </w:r>
      <w:r w:rsidRPr="00507C38">
        <w:rPr>
          <w:rStyle w:val="Refdenotaalpie"/>
          <w:rFonts w:ascii="Verdana" w:hAnsi="Verdana" w:cs="Arial"/>
          <w:color w:val="000000"/>
          <w:sz w:val="20"/>
          <w:szCs w:val="20"/>
        </w:rPr>
        <w:t xml:space="preserve"> </w:t>
      </w:r>
      <w:r w:rsidR="00507C38" w:rsidRPr="00507C38">
        <w:rPr>
          <w:rStyle w:val="Refdenotaalpie"/>
          <w:rFonts w:ascii="Verdana" w:hAnsi="Verdana" w:cs="Arial"/>
          <w:color w:val="000000"/>
          <w:sz w:val="20"/>
          <w:szCs w:val="20"/>
        </w:rPr>
        <w:footnoteReference w:id="30"/>
      </w:r>
      <w:r w:rsidRPr="00507C38">
        <w:rPr>
          <w:rFonts w:ascii="Verdana" w:hAnsi="Verdana" w:cs="Arial"/>
          <w:color w:val="000000"/>
          <w:sz w:val="20"/>
          <w:szCs w:val="20"/>
        </w:rPr>
        <w:t>:</w:t>
      </w:r>
    </w:p>
    <w:p w14:paraId="5444DA96" w14:textId="77777777" w:rsidR="00507C38" w:rsidRPr="00507C38" w:rsidRDefault="00507C38" w:rsidP="00507C38">
      <w:pPr>
        <w:pStyle w:val="Prrafodelista"/>
        <w:autoSpaceDE w:val="0"/>
        <w:autoSpaceDN w:val="0"/>
        <w:spacing w:after="0"/>
        <w:ind w:left="360"/>
        <w:rPr>
          <w:rFonts w:ascii="Verdana" w:hAnsi="Verdana" w:cs="Arial"/>
          <w:i/>
          <w:iCs/>
          <w:color w:val="000000"/>
          <w:sz w:val="20"/>
          <w:szCs w:val="20"/>
        </w:rPr>
      </w:pPr>
    </w:p>
    <w:p w14:paraId="708282A8" w14:textId="77777777" w:rsidR="00507C38" w:rsidRPr="00507C38" w:rsidRDefault="00507C38" w:rsidP="00507C38">
      <w:pPr>
        <w:pStyle w:val="Prrafodelista"/>
        <w:autoSpaceDE w:val="0"/>
        <w:autoSpaceDN w:val="0"/>
        <w:spacing w:after="0"/>
        <w:ind w:left="360"/>
        <w:rPr>
          <w:rFonts w:ascii="Verdana" w:hAnsi="Verdana" w:cs="Arial"/>
          <w:color w:val="000000"/>
          <w:sz w:val="20"/>
          <w:szCs w:val="20"/>
        </w:rPr>
      </w:pPr>
      <w:r w:rsidRPr="00507C38">
        <w:rPr>
          <w:rFonts w:ascii="Verdana" w:hAnsi="Verdana" w:cs="Arial"/>
          <w:color w:val="000000"/>
          <w:sz w:val="20"/>
          <w:szCs w:val="20"/>
        </w:rPr>
        <w:t>Teniendo en cuenta que en esta página se debe buscar empresa por empresa, se buscaron los NIT de las empresas identificadas como proveedores potenciales de los servicios de obra de infraestructura de social.</w:t>
      </w:r>
    </w:p>
    <w:p w14:paraId="59DB62E3" w14:textId="77777777" w:rsidR="00507C38" w:rsidRPr="00507C38" w:rsidRDefault="00507C38" w:rsidP="00507C38">
      <w:pPr>
        <w:autoSpaceDE w:val="0"/>
        <w:autoSpaceDN w:val="0"/>
        <w:ind w:left="360"/>
        <w:jc w:val="both"/>
        <w:rPr>
          <w:rFonts w:ascii="Verdana" w:hAnsi="Verdana" w:cs="Arial"/>
          <w:color w:val="000000"/>
          <w:sz w:val="22"/>
          <w:szCs w:val="22"/>
        </w:rPr>
      </w:pPr>
    </w:p>
    <w:p w14:paraId="506D820B" w14:textId="77777777" w:rsidR="00507C38" w:rsidRPr="00507C38" w:rsidRDefault="00507C38" w:rsidP="00507C38">
      <w:pPr>
        <w:autoSpaceDE w:val="0"/>
        <w:autoSpaceDN w:val="0"/>
        <w:ind w:left="360"/>
        <w:jc w:val="both"/>
        <w:rPr>
          <w:rFonts w:ascii="Verdana" w:hAnsi="Verdana" w:cs="Arial"/>
          <w:color w:val="000000"/>
          <w:sz w:val="22"/>
          <w:szCs w:val="22"/>
        </w:rPr>
      </w:pPr>
      <w:r w:rsidRPr="00507C38">
        <w:rPr>
          <w:rFonts w:ascii="Verdana" w:hAnsi="Verdana" w:cs="Arial"/>
          <w:color w:val="000000"/>
          <w:sz w:val="22"/>
          <w:szCs w:val="22"/>
        </w:rPr>
        <w:t xml:space="preserve">Mediante esta herramienta se identificaron los indicadores de </w:t>
      </w:r>
      <w:r w:rsidRPr="00507C38">
        <w:rPr>
          <w:rFonts w:ascii="Verdana" w:hAnsi="Verdana" w:cs="Arial"/>
          <w:b/>
          <w:bCs/>
          <w:color w:val="000000"/>
          <w:sz w:val="22"/>
          <w:szCs w:val="22"/>
        </w:rPr>
        <w:t>trescientas treinta y ocho empresas (338)</w:t>
      </w:r>
      <w:r w:rsidRPr="00507C38">
        <w:rPr>
          <w:rFonts w:ascii="Verdana" w:hAnsi="Verdana" w:cs="Arial"/>
          <w:color w:val="000000"/>
          <w:sz w:val="22"/>
          <w:szCs w:val="22"/>
        </w:rPr>
        <w:t xml:space="preserve"> empresas, las cuales se encuentran clasificadas en los códigos CIIU </w:t>
      </w:r>
      <w:r w:rsidRPr="00507C38">
        <w:rPr>
          <w:rFonts w:ascii="Verdana" w:hAnsi="Verdana" w:cs="Arial"/>
          <w:b/>
          <w:bCs/>
          <w:sz w:val="22"/>
          <w:szCs w:val="22"/>
          <w:lang w:eastAsia="es-CO"/>
        </w:rPr>
        <w:t>4111- Construcción de edificios residenciales, 4112 - Construcción de edificios no residenciales, 4220 - Construcción de proyectos de servicio público y 4290 - Construcción de otras obras de ingeniería civil, 3312 - Mantenimiento y reparación especializado de maquinaria y equipo, 4210 - Construcción de carreteras y vías de ferrocarril, 4321 - Instalaciones eléctricas, 4330 - Terminación y acabado de edificios y obras de ingeniería civil, 4390 - Otras actividades especializadas para la construcción de edificios y obras de ingeniería civil, 7110 - Actividades de arquitectura e ingeniería y otras actividades conexas de consultoría técnica , 7111 - Actividades de arquitectura y 7112 - Actividades de ingeniería y otras actividades conexas de consultoría.</w:t>
      </w:r>
    </w:p>
    <w:p w14:paraId="1422C933" w14:textId="77777777" w:rsidR="00507C38" w:rsidRPr="00507C38" w:rsidRDefault="00507C38" w:rsidP="00507C38">
      <w:pPr>
        <w:autoSpaceDE w:val="0"/>
        <w:autoSpaceDN w:val="0"/>
        <w:ind w:left="360"/>
        <w:jc w:val="both"/>
        <w:rPr>
          <w:rFonts w:ascii="Verdana" w:hAnsi="Verdana" w:cs="Arial"/>
          <w:color w:val="000000"/>
          <w:sz w:val="22"/>
          <w:szCs w:val="22"/>
        </w:rPr>
      </w:pPr>
    </w:p>
    <w:p w14:paraId="158D5DE8" w14:textId="77777777" w:rsidR="00507C38" w:rsidRPr="00507C38" w:rsidRDefault="00507C38" w:rsidP="00507C38">
      <w:pPr>
        <w:autoSpaceDE w:val="0"/>
        <w:autoSpaceDN w:val="0"/>
        <w:ind w:left="360"/>
        <w:jc w:val="both"/>
        <w:rPr>
          <w:rFonts w:ascii="Verdana" w:hAnsi="Verdana" w:cs="Arial"/>
          <w:color w:val="000000"/>
          <w:sz w:val="16"/>
          <w:szCs w:val="16"/>
        </w:rPr>
      </w:pPr>
      <w:r w:rsidRPr="00507C38">
        <w:rPr>
          <w:rFonts w:ascii="Verdana" w:hAnsi="Verdana" w:cs="Arial"/>
          <w:color w:val="000000"/>
          <w:sz w:val="16"/>
          <w:szCs w:val="16"/>
        </w:rPr>
        <w:t>Nota: se precisa que las empresas clasificadas con los códigos CIIU secundarios, corresponden a empresas que pese a estar clasificadas con estos códigos, durante el análisis realizado se logró establecer que pueden prestan los servicios</w:t>
      </w:r>
      <w:r w:rsidRPr="00507C38">
        <w:rPr>
          <w:rFonts w:ascii="Verdana" w:eastAsia="Arial" w:hAnsi="Verdana" w:cs="Arial"/>
          <w:sz w:val="16"/>
          <w:szCs w:val="16"/>
        </w:rPr>
        <w:t xml:space="preserve"> objeto de análisis.</w:t>
      </w:r>
    </w:p>
    <w:p w14:paraId="6B583F7B" w14:textId="77777777" w:rsidR="00507C38" w:rsidRPr="00507C38" w:rsidRDefault="00507C38" w:rsidP="00507C38">
      <w:pPr>
        <w:autoSpaceDE w:val="0"/>
        <w:autoSpaceDN w:val="0"/>
        <w:jc w:val="both"/>
        <w:rPr>
          <w:rFonts w:ascii="Verdana" w:hAnsi="Verdana" w:cs="Arial"/>
          <w:color w:val="000000"/>
          <w:sz w:val="22"/>
          <w:szCs w:val="22"/>
        </w:rPr>
      </w:pPr>
    </w:p>
    <w:p w14:paraId="33884659" w14:textId="77777777" w:rsidR="00507C38" w:rsidRPr="00507C38" w:rsidRDefault="00507C38" w:rsidP="00507C38">
      <w:pPr>
        <w:autoSpaceDE w:val="0"/>
        <w:autoSpaceDN w:val="0"/>
        <w:jc w:val="both"/>
        <w:rPr>
          <w:rFonts w:ascii="Verdana" w:hAnsi="Verdana" w:cs="Arial"/>
          <w:color w:val="000000"/>
          <w:sz w:val="22"/>
          <w:szCs w:val="22"/>
        </w:rPr>
      </w:pPr>
      <w:r w:rsidRPr="00507C38">
        <w:rPr>
          <w:rFonts w:ascii="Verdana" w:hAnsi="Verdana" w:cs="Arial"/>
          <w:color w:val="000000"/>
          <w:sz w:val="22"/>
          <w:szCs w:val="22"/>
        </w:rPr>
        <w:t xml:space="preserve">En consecuencia, se cuenta con una muestra de </w:t>
      </w:r>
      <w:r w:rsidRPr="00507C38">
        <w:rPr>
          <w:rFonts w:ascii="Verdana" w:hAnsi="Verdana" w:cs="Arial"/>
          <w:b/>
          <w:bCs/>
          <w:color w:val="000000"/>
          <w:sz w:val="22"/>
          <w:szCs w:val="22"/>
        </w:rPr>
        <w:t>MIL NOVECIENTAS CINCUENTA Y CINCO</w:t>
      </w:r>
      <w:r w:rsidRPr="00507C38">
        <w:rPr>
          <w:rFonts w:ascii="Verdana" w:hAnsi="Verdana" w:cs="Arial"/>
          <w:b/>
          <w:bCs/>
          <w:sz w:val="22"/>
          <w:szCs w:val="22"/>
          <w:lang w:eastAsia="es-CO"/>
        </w:rPr>
        <w:t xml:space="preserve"> (1.955) </w:t>
      </w:r>
      <w:r w:rsidRPr="00507C38">
        <w:rPr>
          <w:rFonts w:ascii="Verdana" w:hAnsi="Verdana" w:cs="Arial"/>
          <w:color w:val="000000"/>
          <w:sz w:val="22"/>
          <w:szCs w:val="22"/>
        </w:rPr>
        <w:t>empresas para realizar el análisis de los indicadores financieros.</w:t>
      </w:r>
    </w:p>
    <w:p w14:paraId="26ECA74E" w14:textId="77777777" w:rsidR="0059677C" w:rsidRPr="00A81BAA" w:rsidRDefault="0059677C" w:rsidP="0059677C">
      <w:pPr>
        <w:rPr>
          <w:rFonts w:ascii="Verdana" w:hAnsi="Verdana" w:cs="Arial"/>
          <w:sz w:val="22"/>
          <w:szCs w:val="22"/>
        </w:rPr>
      </w:pPr>
    </w:p>
    <w:p w14:paraId="6ED1D995" w14:textId="19DEF2B2" w:rsidR="009F1CFF" w:rsidRPr="00A81BAA" w:rsidRDefault="00036DAD" w:rsidP="00F92A7F">
      <w:pPr>
        <w:autoSpaceDE w:val="0"/>
        <w:autoSpaceDN w:val="0"/>
        <w:spacing w:line="276" w:lineRule="auto"/>
        <w:rPr>
          <w:rFonts w:ascii="Verdana" w:hAnsi="Verdana" w:cs="Arial"/>
          <w:b/>
          <w:sz w:val="22"/>
          <w:szCs w:val="22"/>
        </w:rPr>
      </w:pPr>
      <w:r w:rsidRPr="00A81BAA">
        <w:rPr>
          <w:rFonts w:ascii="Verdana" w:hAnsi="Verdana" w:cs="Arial"/>
          <w:b/>
          <w:sz w:val="22"/>
          <w:szCs w:val="22"/>
        </w:rPr>
        <w:t>Tamaño empresarial de la muestra analizada</w:t>
      </w:r>
    </w:p>
    <w:p w14:paraId="74031145" w14:textId="77777777" w:rsidR="00466F6B" w:rsidRPr="00A81BAA" w:rsidRDefault="00466F6B" w:rsidP="00F92A7F">
      <w:pPr>
        <w:autoSpaceDE w:val="0"/>
        <w:autoSpaceDN w:val="0"/>
        <w:spacing w:line="276" w:lineRule="auto"/>
        <w:rPr>
          <w:rFonts w:ascii="Verdana" w:hAnsi="Verdana" w:cs="Arial"/>
          <w:b/>
          <w:sz w:val="22"/>
          <w:szCs w:val="22"/>
        </w:rPr>
      </w:pPr>
    </w:p>
    <w:p w14:paraId="07912AFB" w14:textId="707A60DC" w:rsidR="009F1CFF" w:rsidRPr="00A81BAA" w:rsidRDefault="0865ACC7" w:rsidP="009F1CFF">
      <w:pPr>
        <w:jc w:val="both"/>
        <w:rPr>
          <w:rFonts w:ascii="Verdana" w:hAnsi="Verdana" w:cs="Arial"/>
          <w:sz w:val="22"/>
          <w:szCs w:val="22"/>
        </w:rPr>
      </w:pPr>
      <w:r w:rsidRPr="00A81BAA">
        <w:rPr>
          <w:rFonts w:ascii="Verdana" w:hAnsi="Verdana" w:cs="Arial"/>
          <w:sz w:val="22"/>
          <w:szCs w:val="22"/>
        </w:rPr>
        <w:t>Conforme a lo definido en el Decreto 1860 de 2021</w:t>
      </w:r>
      <w:r w:rsidR="009F1CFF" w:rsidRPr="00A81BAA">
        <w:rPr>
          <w:rStyle w:val="Refdenotaalpie"/>
          <w:rFonts w:ascii="Verdana" w:hAnsi="Verdana" w:cs="Arial"/>
          <w:sz w:val="22"/>
          <w:szCs w:val="22"/>
          <w:lang w:val="es-MX" w:eastAsia="es-CO"/>
        </w:rPr>
        <w:footnoteReference w:id="31"/>
      </w:r>
      <w:r w:rsidRPr="00A81BAA">
        <w:rPr>
          <w:rFonts w:ascii="Verdana" w:hAnsi="Verdana" w:cs="Arial"/>
          <w:sz w:val="22"/>
          <w:szCs w:val="22"/>
          <w:lang w:val="es-MX" w:eastAsia="es-CO"/>
        </w:rPr>
        <w:t>, a continuación</w:t>
      </w:r>
      <w:r w:rsidR="2893ECFA" w:rsidRPr="00A81BAA">
        <w:rPr>
          <w:rFonts w:ascii="Verdana" w:hAnsi="Verdana" w:cs="Arial"/>
          <w:sz w:val="22"/>
          <w:szCs w:val="22"/>
          <w:lang w:val="es-MX" w:eastAsia="es-CO"/>
        </w:rPr>
        <w:t>,</w:t>
      </w:r>
      <w:r w:rsidRPr="00A81BAA">
        <w:rPr>
          <w:rFonts w:ascii="Verdana" w:hAnsi="Verdana" w:cs="Arial"/>
          <w:sz w:val="22"/>
          <w:szCs w:val="22"/>
          <w:lang w:val="es-MX" w:eastAsia="es-CO"/>
        </w:rPr>
        <w:t xml:space="preserve"> se realiza la clasificación de las </w:t>
      </w:r>
      <w:r w:rsidRPr="00A81BAA">
        <w:rPr>
          <w:rFonts w:ascii="Verdana" w:hAnsi="Verdana" w:cs="Arial"/>
          <w:b/>
          <w:bCs/>
          <w:sz w:val="22"/>
          <w:szCs w:val="22"/>
          <w:lang w:val="es-MX" w:eastAsia="es-CO"/>
        </w:rPr>
        <w:t>1</w:t>
      </w:r>
      <w:r w:rsidR="4B8A3292">
        <w:rPr>
          <w:rFonts w:ascii="Verdana" w:hAnsi="Verdana" w:cs="Arial"/>
          <w:b/>
          <w:bCs/>
          <w:sz w:val="22"/>
          <w:szCs w:val="22"/>
          <w:lang w:val="es-MX" w:eastAsia="es-CO"/>
        </w:rPr>
        <w:t>.955</w:t>
      </w:r>
      <w:r w:rsidRPr="00A81BAA">
        <w:rPr>
          <w:rFonts w:ascii="Verdana" w:hAnsi="Verdana" w:cs="Arial"/>
          <w:b/>
          <w:bCs/>
          <w:sz w:val="22"/>
          <w:szCs w:val="22"/>
          <w:lang w:val="es-MX" w:eastAsia="es-CO"/>
        </w:rPr>
        <w:t xml:space="preserve"> </w:t>
      </w:r>
      <w:r w:rsidRPr="00A81BAA">
        <w:rPr>
          <w:rFonts w:ascii="Verdana" w:hAnsi="Verdana" w:cs="Arial"/>
          <w:sz w:val="22"/>
          <w:szCs w:val="22"/>
          <w:lang w:val="es-MX" w:eastAsia="es-CO"/>
        </w:rPr>
        <w:t xml:space="preserve">empresas de la muestra, </w:t>
      </w:r>
      <w:r w:rsidRPr="00A81BAA">
        <w:rPr>
          <w:rFonts w:ascii="Verdana" w:hAnsi="Verdana" w:cs="Arial"/>
          <w:sz w:val="22"/>
          <w:szCs w:val="22"/>
        </w:rPr>
        <w:t>por sectores (Manufacturero o Industrial, Servicios y Comercio) y por tamaño empresarial (Micro, Pequeña, Mediana y Gran empresa).</w:t>
      </w:r>
    </w:p>
    <w:p w14:paraId="672A9847" w14:textId="77777777" w:rsidR="009F1CFF" w:rsidRPr="00A81BAA" w:rsidRDefault="009F1CFF" w:rsidP="009F1CFF">
      <w:pPr>
        <w:jc w:val="both"/>
        <w:rPr>
          <w:rFonts w:ascii="Verdana" w:hAnsi="Verdana" w:cs="Arial"/>
          <w:sz w:val="22"/>
          <w:szCs w:val="22"/>
        </w:rPr>
      </w:pPr>
    </w:p>
    <w:p w14:paraId="6820C55D" w14:textId="77777777" w:rsidR="009F1CFF" w:rsidRPr="00A81BAA" w:rsidRDefault="009F1CFF" w:rsidP="009F1CFF">
      <w:pPr>
        <w:jc w:val="both"/>
        <w:rPr>
          <w:rFonts w:ascii="Verdana" w:hAnsi="Verdana" w:cs="Arial"/>
          <w:sz w:val="22"/>
          <w:szCs w:val="22"/>
        </w:rPr>
      </w:pPr>
      <w:r w:rsidRPr="00A81BAA">
        <w:rPr>
          <w:rFonts w:ascii="Verdana" w:hAnsi="Verdana" w:cs="Arial"/>
          <w:sz w:val="22"/>
          <w:szCs w:val="22"/>
        </w:rPr>
        <w:t>La clasificación por sectores se realizó con base en los CIIU en los que se encuentran clasificadas las empresas que pueden ofrecer los servicios de obra de infraestructura de transporte.</w:t>
      </w:r>
    </w:p>
    <w:p w14:paraId="4C407E5D" w14:textId="77777777" w:rsidR="009F1CFF" w:rsidRPr="00A81BAA" w:rsidRDefault="009F1CFF" w:rsidP="009F1CFF">
      <w:pPr>
        <w:jc w:val="both"/>
        <w:rPr>
          <w:rFonts w:ascii="Verdana" w:hAnsi="Verdana" w:cs="Arial"/>
          <w:sz w:val="22"/>
          <w:szCs w:val="22"/>
        </w:rPr>
      </w:pPr>
    </w:p>
    <w:p w14:paraId="613CA01B" w14:textId="77777777" w:rsidR="009F1CFF" w:rsidRPr="00A81BAA" w:rsidRDefault="0865ACC7" w:rsidP="009F1CFF">
      <w:pPr>
        <w:jc w:val="both"/>
        <w:rPr>
          <w:rFonts w:ascii="Verdana" w:hAnsi="Verdana" w:cs="Arial"/>
          <w:sz w:val="22"/>
          <w:szCs w:val="22"/>
        </w:rPr>
      </w:pPr>
      <w:r w:rsidRPr="00A81BAA">
        <w:rPr>
          <w:rFonts w:ascii="Verdana" w:hAnsi="Verdana" w:cs="Arial"/>
          <w:sz w:val="22"/>
          <w:szCs w:val="22"/>
        </w:rPr>
        <w:t>Po su parte, la clasificación del tamaño empresarial se realizó de acuerdo con la cuenta de ingresos por actividades ordinarias anuales siguiendo las disposiciones del Decreto 957 de 2019</w:t>
      </w:r>
      <w:r w:rsidR="009F1CFF" w:rsidRPr="00A81BAA">
        <w:rPr>
          <w:rStyle w:val="Refdenotaalpie"/>
          <w:rFonts w:ascii="Verdana" w:hAnsi="Verdana" w:cs="Arial"/>
          <w:sz w:val="22"/>
          <w:szCs w:val="22"/>
        </w:rPr>
        <w:footnoteReference w:id="32"/>
      </w:r>
      <w:r w:rsidRPr="00A81BAA">
        <w:rPr>
          <w:rFonts w:ascii="Verdana" w:hAnsi="Verdana" w:cs="Arial"/>
          <w:sz w:val="22"/>
          <w:szCs w:val="22"/>
        </w:rPr>
        <w:t xml:space="preserve"> y aplicándoles el factor clasificatorio con las Unidades de Valor Unitario (U.V.T.)</w:t>
      </w:r>
    </w:p>
    <w:p w14:paraId="6DD72258" w14:textId="77777777" w:rsidR="009F1CFF" w:rsidRPr="00A81BAA" w:rsidRDefault="009F1CFF" w:rsidP="009F1CFF">
      <w:pPr>
        <w:jc w:val="both"/>
        <w:rPr>
          <w:rFonts w:ascii="Verdana" w:hAnsi="Verdana" w:cs="Arial"/>
          <w:sz w:val="22"/>
          <w:szCs w:val="22"/>
        </w:rPr>
      </w:pPr>
    </w:p>
    <w:p w14:paraId="714D7171" w14:textId="77777777" w:rsidR="009F1CFF" w:rsidRPr="00A81BAA" w:rsidRDefault="009F1CFF" w:rsidP="009F1CFF">
      <w:pPr>
        <w:jc w:val="both"/>
        <w:rPr>
          <w:rFonts w:ascii="Verdana" w:hAnsi="Verdana" w:cs="Arial"/>
          <w:sz w:val="22"/>
          <w:szCs w:val="22"/>
        </w:rPr>
      </w:pPr>
      <w:r w:rsidRPr="00A81BAA">
        <w:rPr>
          <w:rFonts w:ascii="Verdana" w:hAnsi="Verdana" w:cs="Arial"/>
          <w:sz w:val="22"/>
          <w:szCs w:val="22"/>
        </w:rPr>
        <w:t>Realizada la clasificación de las empresas de la muestra de acuerdo con las metodologías señaladas, se logra identificar que las empresas de la muestra pertenecen al sector servicios.</w:t>
      </w:r>
    </w:p>
    <w:p w14:paraId="641C1984" w14:textId="77777777" w:rsidR="00CE22C8" w:rsidRPr="00A81BAA" w:rsidRDefault="00CE22C8" w:rsidP="009F1CFF">
      <w:pPr>
        <w:jc w:val="both"/>
        <w:rPr>
          <w:rFonts w:ascii="Verdana" w:hAnsi="Verdana" w:cs="Arial"/>
          <w:sz w:val="22"/>
          <w:szCs w:val="22"/>
        </w:rPr>
      </w:pPr>
    </w:p>
    <w:p w14:paraId="63946742" w14:textId="32726826" w:rsidR="000F2DD6" w:rsidRPr="000F2DD6" w:rsidRDefault="000F2DD6" w:rsidP="000F2DD6">
      <w:pPr>
        <w:jc w:val="both"/>
        <w:rPr>
          <w:rFonts w:ascii="Verdana" w:hAnsi="Verdana" w:cs="Arial"/>
          <w:sz w:val="22"/>
          <w:szCs w:val="22"/>
        </w:rPr>
      </w:pPr>
      <w:r w:rsidRPr="000F2DD6">
        <w:rPr>
          <w:rFonts w:ascii="Verdana" w:hAnsi="Verdana" w:cs="Arial"/>
          <w:sz w:val="22"/>
          <w:szCs w:val="22"/>
        </w:rPr>
        <w:t>Por otro lado, y con relación al tamaño empresarial, el análisis arrojó como resultados que el</w:t>
      </w:r>
      <w:r w:rsidR="00F44C26" w:rsidRPr="00F44C26">
        <w:rPr>
          <w:rFonts w:ascii="Verdana" w:hAnsi="Verdana" w:cs="Arial"/>
          <w:sz w:val="22"/>
          <w:szCs w:val="22"/>
        </w:rPr>
        <w:t xml:space="preserve"> 29% de las empresas de la muestra analizada son microempresas, el 23% pequeñas empresas, el 26% medianas y el 22% se categorizan como gran empresa. Del 1% de las empresas no se obtuvo información para poder realizar la clasificación.</w:t>
      </w:r>
    </w:p>
    <w:p w14:paraId="2D18BB02" w14:textId="77777777" w:rsidR="0006191A" w:rsidRPr="000F2DD6" w:rsidRDefault="0006191A" w:rsidP="0006191A">
      <w:pPr>
        <w:rPr>
          <w:lang w:eastAsia="en-US"/>
        </w:rPr>
      </w:pPr>
    </w:p>
    <w:p w14:paraId="07727EA7" w14:textId="0F887406" w:rsidR="00300976" w:rsidRPr="005C7E10" w:rsidRDefault="00933D03" w:rsidP="005C7E10">
      <w:pPr>
        <w:pStyle w:val="Descripcin"/>
        <w:jc w:val="center"/>
        <w:rPr>
          <w:rFonts w:ascii="Verdana" w:hAnsi="Verdana" w:cs="Arial"/>
          <w:sz w:val="22"/>
          <w:szCs w:val="22"/>
        </w:rPr>
      </w:pPr>
      <w:bookmarkStart w:id="35" w:name="_Toc180136794"/>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27</w:t>
      </w:r>
      <w:r w:rsidRPr="005C7E10">
        <w:rPr>
          <w:rFonts w:ascii="Verdana" w:hAnsi="Verdana"/>
          <w:sz w:val="22"/>
          <w:szCs w:val="22"/>
        </w:rPr>
        <w:fldChar w:fldCharType="end"/>
      </w:r>
      <w:r w:rsidRPr="005C7E10">
        <w:rPr>
          <w:rFonts w:ascii="Verdana" w:hAnsi="Verdana"/>
          <w:sz w:val="22"/>
          <w:szCs w:val="22"/>
        </w:rPr>
        <w:t>. Tamaño empresarial</w:t>
      </w:r>
      <w:bookmarkEnd w:id="35"/>
    </w:p>
    <w:p w14:paraId="40D1354F" w14:textId="4CBC5319" w:rsidR="009F1CFF" w:rsidRPr="00A81BAA" w:rsidRDefault="004A3A23" w:rsidP="009F1CFF">
      <w:pPr>
        <w:jc w:val="center"/>
        <w:rPr>
          <w:rFonts w:ascii="Verdana" w:hAnsi="Verdana" w:cs="Arial"/>
          <w:noProof/>
          <w14:ligatures w14:val="standardContextual"/>
        </w:rPr>
      </w:pPr>
      <w:r>
        <w:rPr>
          <w:noProof/>
          <w14:ligatures w14:val="standardContextual"/>
        </w:rPr>
        <w:lastRenderedPageBreak/>
        <w:drawing>
          <wp:inline distT="0" distB="0" distL="0" distR="0" wp14:anchorId="6FCCC7B6" wp14:editId="1E1684F5">
            <wp:extent cx="3416867" cy="2807996"/>
            <wp:effectExtent l="0" t="0" r="12700" b="11430"/>
            <wp:docPr id="910570352" name="Gráfico 1">
              <a:extLst xmlns:a="http://schemas.openxmlformats.org/drawingml/2006/main">
                <a:ext uri="{FF2B5EF4-FFF2-40B4-BE49-F238E27FC236}">
                  <a16:creationId xmlns:a16="http://schemas.microsoft.com/office/drawing/2014/main" id="{459FD9F1-1285-4BAF-8789-A16A9BB190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4F6EAF2" w14:textId="77777777" w:rsidR="009F1CFF" w:rsidRPr="00A81BAA" w:rsidRDefault="009F1CFF" w:rsidP="009F1CFF">
      <w:pPr>
        <w:jc w:val="center"/>
        <w:rPr>
          <w:rFonts w:ascii="Verdana" w:hAnsi="Verdana" w:cs="Arial"/>
          <w:sz w:val="16"/>
          <w:szCs w:val="16"/>
        </w:rPr>
      </w:pPr>
      <w:r w:rsidRPr="00A81BAA">
        <w:rPr>
          <w:rFonts w:ascii="Verdana" w:hAnsi="Verdana" w:cs="Arial"/>
          <w:sz w:val="16"/>
          <w:szCs w:val="16"/>
        </w:rPr>
        <w:t>Elaboración propia</w:t>
      </w:r>
    </w:p>
    <w:p w14:paraId="7FA0182F" w14:textId="77777777" w:rsidR="009F1CFF" w:rsidRPr="00A81BAA" w:rsidRDefault="009F1CFF" w:rsidP="009F1CFF">
      <w:pPr>
        <w:autoSpaceDE w:val="0"/>
        <w:autoSpaceDN w:val="0"/>
        <w:jc w:val="both"/>
        <w:rPr>
          <w:rFonts w:ascii="Verdana" w:hAnsi="Verdana" w:cs="Arial"/>
          <w:b/>
          <w:bCs/>
          <w:sz w:val="22"/>
          <w:szCs w:val="22"/>
          <w:u w:val="single"/>
        </w:rPr>
      </w:pPr>
    </w:p>
    <w:p w14:paraId="518BFCBE" w14:textId="77777777" w:rsidR="00466F6B" w:rsidRPr="00A81BAA" w:rsidRDefault="00466F6B" w:rsidP="00F92A7F">
      <w:pPr>
        <w:spacing w:after="200" w:line="276" w:lineRule="auto"/>
        <w:rPr>
          <w:rFonts w:ascii="Verdana" w:hAnsi="Verdana" w:cs="Arial"/>
          <w:b/>
          <w:sz w:val="22"/>
          <w:szCs w:val="22"/>
        </w:rPr>
      </w:pPr>
    </w:p>
    <w:p w14:paraId="3BCCADD9" w14:textId="3D8F0092" w:rsidR="009F1CFF" w:rsidRPr="00A81BAA" w:rsidRDefault="00466F6B" w:rsidP="00F92A7F">
      <w:pPr>
        <w:spacing w:after="200" w:line="276" w:lineRule="auto"/>
        <w:rPr>
          <w:rFonts w:ascii="Verdana" w:hAnsi="Verdana" w:cs="Arial"/>
          <w:b/>
          <w:sz w:val="22"/>
          <w:szCs w:val="22"/>
        </w:rPr>
      </w:pPr>
      <w:r w:rsidRPr="00A81BAA">
        <w:rPr>
          <w:rFonts w:ascii="Verdana" w:hAnsi="Verdana" w:cs="Arial"/>
          <w:b/>
          <w:sz w:val="22"/>
          <w:szCs w:val="22"/>
        </w:rPr>
        <w:t>Tipo de proveedor que contrata con entidades públicas</w:t>
      </w:r>
    </w:p>
    <w:p w14:paraId="5D43849A" w14:textId="3787E65B" w:rsidR="00E55A85" w:rsidRDefault="00AA1F3A" w:rsidP="009F1CFF">
      <w:pPr>
        <w:jc w:val="both"/>
        <w:rPr>
          <w:rFonts w:ascii="Verdana" w:hAnsi="Verdana" w:cs="Arial"/>
          <w:sz w:val="22"/>
          <w:szCs w:val="22"/>
          <w:lang w:val="es-MX"/>
        </w:rPr>
      </w:pPr>
      <w:r w:rsidRPr="00AA1F3A">
        <w:rPr>
          <w:rFonts w:ascii="Verdana" w:hAnsi="Verdana" w:cs="Arial"/>
          <w:sz w:val="22"/>
          <w:szCs w:val="22"/>
          <w:lang w:val="es-MX"/>
        </w:rPr>
        <w:t>Como un insumo adicional para identificar el tipo de proveedor que participa en procesos de selección para la adquisición de servicios de obra de infraestructura social, se realizó un análisis de 3.780 contratos suscritos por Entidades públicas entre los años 2018 y 2024, del cual se pudo identificar las siguientes conclusiones:</w:t>
      </w:r>
    </w:p>
    <w:p w14:paraId="6252031B" w14:textId="77777777" w:rsidR="00AA1F3A" w:rsidRPr="00A81BAA" w:rsidRDefault="00AA1F3A" w:rsidP="009F1CFF">
      <w:pPr>
        <w:jc w:val="both"/>
        <w:rPr>
          <w:rFonts w:ascii="Verdana" w:hAnsi="Verdana" w:cs="Arial"/>
          <w:sz w:val="22"/>
          <w:szCs w:val="22"/>
          <w:lang w:val="es-MX"/>
        </w:rPr>
      </w:pPr>
    </w:p>
    <w:p w14:paraId="6469C5CD" w14:textId="77777777" w:rsidR="00782548" w:rsidRPr="00782548" w:rsidRDefault="00782548" w:rsidP="00E42FDE">
      <w:pPr>
        <w:pStyle w:val="Prrafodelista"/>
        <w:numPr>
          <w:ilvl w:val="0"/>
          <w:numId w:val="56"/>
        </w:numPr>
        <w:rPr>
          <w:rFonts w:ascii="Verdana" w:hAnsi="Verdana" w:cs="Arial"/>
          <w:lang w:val="es-MX"/>
        </w:rPr>
      </w:pPr>
      <w:r w:rsidRPr="00782548">
        <w:rPr>
          <w:rFonts w:ascii="Verdana" w:hAnsi="Verdana" w:cs="Arial"/>
          <w:lang w:val="es-MX"/>
        </w:rPr>
        <w:t>De acuerdo con la muestra, estas son las 30 Entidades que más contratan este tipo de servicios:</w:t>
      </w:r>
    </w:p>
    <w:p w14:paraId="6C08041E" w14:textId="77777777" w:rsidR="00331533" w:rsidRDefault="00331533" w:rsidP="00FE2C92">
      <w:pPr>
        <w:pStyle w:val="Prrafodelista"/>
        <w:spacing w:after="0" w:line="276" w:lineRule="auto"/>
        <w:ind w:left="567"/>
        <w:contextualSpacing w:val="0"/>
        <w:jc w:val="center"/>
        <w:rPr>
          <w:rFonts w:ascii="Verdana" w:hAnsi="Verdana" w:cs="Arial"/>
          <w:b/>
          <w:bCs/>
          <w:sz w:val="20"/>
          <w:szCs w:val="20"/>
          <w:lang w:val="es-MX"/>
        </w:rPr>
      </w:pPr>
    </w:p>
    <w:p w14:paraId="2062EF5A" w14:textId="77777777" w:rsidR="0006191A" w:rsidRDefault="0006191A" w:rsidP="00FE2C92">
      <w:pPr>
        <w:pStyle w:val="Prrafodelista"/>
        <w:spacing w:after="0" w:line="276" w:lineRule="auto"/>
        <w:ind w:left="567"/>
        <w:contextualSpacing w:val="0"/>
        <w:jc w:val="center"/>
        <w:rPr>
          <w:rFonts w:ascii="Verdana" w:hAnsi="Verdana" w:cs="Arial"/>
          <w:b/>
          <w:bCs/>
          <w:sz w:val="20"/>
          <w:szCs w:val="20"/>
          <w:lang w:val="es-MX"/>
        </w:rPr>
      </w:pPr>
    </w:p>
    <w:p w14:paraId="23409887" w14:textId="233EBD58" w:rsidR="008212F1" w:rsidRPr="00A81BAA" w:rsidRDefault="00331533" w:rsidP="005C7E10">
      <w:pPr>
        <w:pStyle w:val="Descripcin"/>
        <w:spacing w:after="0"/>
        <w:jc w:val="center"/>
        <w:rPr>
          <w:rFonts w:ascii="Verdana" w:hAnsi="Verdana" w:cs="Arial"/>
          <w:lang w:val="es-MX"/>
        </w:rPr>
      </w:pPr>
      <w:bookmarkStart w:id="36" w:name="_Toc180136824"/>
      <w:r w:rsidRPr="005C7E10">
        <w:rPr>
          <w:rFonts w:ascii="Verdana" w:hAnsi="Verdana"/>
          <w:sz w:val="22"/>
          <w:szCs w:val="22"/>
        </w:rPr>
        <w:t xml:space="preserve">Tabla </w:t>
      </w:r>
      <w:r w:rsidRPr="005C7E10">
        <w:rPr>
          <w:rFonts w:ascii="Verdana" w:hAnsi="Verdana"/>
          <w:sz w:val="22"/>
          <w:szCs w:val="22"/>
        </w:rPr>
        <w:fldChar w:fldCharType="begin"/>
      </w:r>
      <w:r w:rsidRPr="005C7E10">
        <w:rPr>
          <w:rFonts w:ascii="Verdana" w:hAnsi="Verdana"/>
          <w:sz w:val="22"/>
          <w:szCs w:val="22"/>
        </w:rPr>
        <w:instrText xml:space="preserve"> SEQ Tabla \* ARABIC </w:instrText>
      </w:r>
      <w:r w:rsidRPr="005C7E10">
        <w:rPr>
          <w:rFonts w:ascii="Verdana" w:hAnsi="Verdana"/>
          <w:sz w:val="22"/>
          <w:szCs w:val="22"/>
        </w:rPr>
        <w:fldChar w:fldCharType="separate"/>
      </w:r>
      <w:r w:rsidR="00CF739E">
        <w:rPr>
          <w:rFonts w:ascii="Verdana" w:hAnsi="Verdana"/>
          <w:noProof/>
          <w:sz w:val="22"/>
          <w:szCs w:val="22"/>
        </w:rPr>
        <w:t>8</w:t>
      </w:r>
      <w:r w:rsidRPr="005C7E10">
        <w:rPr>
          <w:rFonts w:ascii="Verdana" w:hAnsi="Verdana"/>
          <w:sz w:val="22"/>
          <w:szCs w:val="22"/>
        </w:rPr>
        <w:fldChar w:fldCharType="end"/>
      </w:r>
      <w:r w:rsidRPr="005C7E10">
        <w:rPr>
          <w:rFonts w:ascii="Verdana" w:hAnsi="Verdana"/>
          <w:sz w:val="22"/>
          <w:szCs w:val="22"/>
        </w:rPr>
        <w:t>. Valor promedio de contratación</w:t>
      </w:r>
      <w:bookmarkEnd w:id="36"/>
    </w:p>
    <w:p w14:paraId="389C7DB7" w14:textId="77777777" w:rsidR="003122F1" w:rsidRDefault="003122F1" w:rsidP="004C212C">
      <w:pPr>
        <w:ind w:left="708"/>
        <w:jc w:val="center"/>
        <w:rPr>
          <w:rFonts w:ascii="Verdana" w:hAnsi="Verdana" w:cs="Arial"/>
          <w:sz w:val="16"/>
          <w:szCs w:val="16"/>
          <w:lang w:val="es-MX"/>
        </w:rPr>
      </w:pPr>
    </w:p>
    <w:p w14:paraId="2F62C430" w14:textId="77777777" w:rsidR="003122F1" w:rsidRDefault="003122F1" w:rsidP="004C212C">
      <w:pPr>
        <w:ind w:left="708"/>
        <w:jc w:val="center"/>
        <w:rPr>
          <w:rFonts w:ascii="Verdana" w:hAnsi="Verdana" w:cs="Arial"/>
          <w:sz w:val="16"/>
          <w:szCs w:val="16"/>
          <w:lang w:val="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48"/>
        <w:gridCol w:w="2756"/>
        <w:gridCol w:w="1643"/>
      </w:tblGrid>
      <w:tr w:rsidR="002F03A5" w:rsidRPr="002F03A5" w14:paraId="703F5819" w14:textId="77777777" w:rsidTr="002F03A5">
        <w:trPr>
          <w:trHeight w:val="20"/>
          <w:tblHeader/>
          <w:jc w:val="center"/>
        </w:trPr>
        <w:tc>
          <w:tcPr>
            <w:tcW w:w="4348" w:type="dxa"/>
            <w:shd w:val="clear" w:color="auto" w:fill="D9D9D9" w:themeFill="background1" w:themeFillShade="D9"/>
            <w:noWrap/>
            <w:vAlign w:val="center"/>
            <w:hideMark/>
          </w:tcPr>
          <w:p w14:paraId="0B61CB6D" w14:textId="77777777" w:rsidR="002F03A5" w:rsidRPr="002F03A5" w:rsidRDefault="002F03A5" w:rsidP="0044671B">
            <w:pPr>
              <w:jc w:val="center"/>
              <w:rPr>
                <w:rFonts w:ascii="Verdana" w:hAnsi="Verdana" w:cs="Arial"/>
                <w:b/>
                <w:bCs/>
                <w:color w:val="000000"/>
                <w:sz w:val="20"/>
                <w:szCs w:val="20"/>
                <w:lang w:eastAsia="es-CO"/>
              </w:rPr>
            </w:pPr>
            <w:r w:rsidRPr="002F03A5">
              <w:rPr>
                <w:rFonts w:ascii="Verdana" w:hAnsi="Verdana" w:cs="Arial"/>
                <w:b/>
                <w:bCs/>
                <w:color w:val="000000"/>
                <w:sz w:val="20"/>
                <w:szCs w:val="20"/>
                <w:lang w:eastAsia="es-CO"/>
              </w:rPr>
              <w:t>Entidades Contratantes</w:t>
            </w:r>
          </w:p>
        </w:tc>
        <w:tc>
          <w:tcPr>
            <w:tcW w:w="2756" w:type="dxa"/>
            <w:shd w:val="clear" w:color="auto" w:fill="D9D9D9" w:themeFill="background1" w:themeFillShade="D9"/>
            <w:vAlign w:val="center"/>
            <w:hideMark/>
          </w:tcPr>
          <w:p w14:paraId="41C5DE7A" w14:textId="77777777" w:rsidR="002F03A5" w:rsidRPr="002F03A5" w:rsidRDefault="002F03A5" w:rsidP="0044671B">
            <w:pPr>
              <w:jc w:val="center"/>
              <w:rPr>
                <w:rFonts w:ascii="Verdana" w:hAnsi="Verdana" w:cs="Arial"/>
                <w:b/>
                <w:bCs/>
                <w:color w:val="000000"/>
                <w:sz w:val="20"/>
                <w:szCs w:val="20"/>
                <w:lang w:eastAsia="es-CO"/>
              </w:rPr>
            </w:pPr>
            <w:r w:rsidRPr="002F03A5">
              <w:rPr>
                <w:rFonts w:ascii="Verdana" w:hAnsi="Verdana" w:cs="Arial"/>
                <w:b/>
                <w:bCs/>
                <w:color w:val="000000"/>
                <w:sz w:val="20"/>
                <w:szCs w:val="20"/>
                <w:lang w:eastAsia="es-CO"/>
              </w:rPr>
              <w:t>Valor total contratado</w:t>
            </w:r>
          </w:p>
        </w:tc>
        <w:tc>
          <w:tcPr>
            <w:tcW w:w="1643" w:type="dxa"/>
            <w:shd w:val="clear" w:color="auto" w:fill="D9D9D9" w:themeFill="background1" w:themeFillShade="D9"/>
            <w:vAlign w:val="center"/>
            <w:hideMark/>
          </w:tcPr>
          <w:p w14:paraId="5EF4CBE7" w14:textId="77777777" w:rsidR="002F03A5" w:rsidRPr="002F03A5" w:rsidRDefault="002F03A5" w:rsidP="0044671B">
            <w:pPr>
              <w:jc w:val="center"/>
              <w:rPr>
                <w:rFonts w:ascii="Verdana" w:hAnsi="Verdana" w:cs="Arial"/>
                <w:b/>
                <w:bCs/>
                <w:color w:val="000000"/>
                <w:sz w:val="20"/>
                <w:szCs w:val="20"/>
                <w:lang w:eastAsia="es-CO"/>
              </w:rPr>
            </w:pPr>
            <w:r w:rsidRPr="002F03A5">
              <w:rPr>
                <w:rFonts w:ascii="Verdana" w:hAnsi="Verdana" w:cs="Arial"/>
                <w:b/>
                <w:bCs/>
                <w:color w:val="000000"/>
                <w:sz w:val="20"/>
                <w:szCs w:val="20"/>
                <w:lang w:eastAsia="es-CO"/>
              </w:rPr>
              <w:t>Cantidad total de contratos</w:t>
            </w:r>
          </w:p>
        </w:tc>
      </w:tr>
      <w:tr w:rsidR="002F03A5" w:rsidRPr="002F03A5" w14:paraId="1014DA54" w14:textId="77777777" w:rsidTr="002F03A5">
        <w:trPr>
          <w:trHeight w:val="20"/>
          <w:jc w:val="center"/>
        </w:trPr>
        <w:tc>
          <w:tcPr>
            <w:tcW w:w="4348" w:type="dxa"/>
            <w:shd w:val="clear" w:color="auto" w:fill="auto"/>
            <w:noWrap/>
            <w:vAlign w:val="bottom"/>
            <w:hideMark/>
          </w:tcPr>
          <w:p w14:paraId="4923A899"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UNIDAD DE SERVICIOS PENITENCIARIOS Y CARCELARIOS - USPEC</w:t>
            </w:r>
          </w:p>
        </w:tc>
        <w:tc>
          <w:tcPr>
            <w:tcW w:w="2756" w:type="dxa"/>
            <w:shd w:val="clear" w:color="auto" w:fill="auto"/>
            <w:noWrap/>
            <w:vAlign w:val="bottom"/>
            <w:hideMark/>
          </w:tcPr>
          <w:p w14:paraId="7807D69C"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$ 1.394.328.763.684</w:t>
            </w:r>
          </w:p>
        </w:tc>
        <w:tc>
          <w:tcPr>
            <w:tcW w:w="1643" w:type="dxa"/>
            <w:shd w:val="clear" w:color="auto" w:fill="auto"/>
            <w:noWrap/>
            <w:vAlign w:val="bottom"/>
            <w:hideMark/>
          </w:tcPr>
          <w:p w14:paraId="5FC1277D"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94</w:t>
            </w:r>
          </w:p>
        </w:tc>
      </w:tr>
      <w:tr w:rsidR="002F03A5" w:rsidRPr="002F03A5" w14:paraId="4543C75C" w14:textId="77777777" w:rsidTr="002F03A5">
        <w:trPr>
          <w:trHeight w:val="20"/>
          <w:jc w:val="center"/>
        </w:trPr>
        <w:tc>
          <w:tcPr>
            <w:tcW w:w="4348" w:type="dxa"/>
            <w:shd w:val="clear" w:color="auto" w:fill="auto"/>
            <w:noWrap/>
            <w:vAlign w:val="bottom"/>
            <w:hideMark/>
          </w:tcPr>
          <w:p w14:paraId="0B087BEC"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lastRenderedPageBreak/>
              <w:t>SECRETARIA DE EDUCACION DEL DISTRITO</w:t>
            </w:r>
          </w:p>
        </w:tc>
        <w:tc>
          <w:tcPr>
            <w:tcW w:w="2756" w:type="dxa"/>
            <w:shd w:val="clear" w:color="auto" w:fill="auto"/>
            <w:noWrap/>
            <w:vAlign w:val="bottom"/>
            <w:hideMark/>
          </w:tcPr>
          <w:p w14:paraId="5F86B113"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$ 1.256.589.094.749</w:t>
            </w:r>
          </w:p>
        </w:tc>
        <w:tc>
          <w:tcPr>
            <w:tcW w:w="1643" w:type="dxa"/>
            <w:shd w:val="clear" w:color="auto" w:fill="auto"/>
            <w:noWrap/>
            <w:vAlign w:val="bottom"/>
            <w:hideMark/>
          </w:tcPr>
          <w:p w14:paraId="4D44036A"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109</w:t>
            </w:r>
          </w:p>
        </w:tc>
      </w:tr>
      <w:tr w:rsidR="002F03A5" w:rsidRPr="002F03A5" w14:paraId="41D60E52" w14:textId="77777777" w:rsidTr="002F03A5">
        <w:trPr>
          <w:trHeight w:val="20"/>
          <w:jc w:val="center"/>
        </w:trPr>
        <w:tc>
          <w:tcPr>
            <w:tcW w:w="4348" w:type="dxa"/>
            <w:shd w:val="clear" w:color="auto" w:fill="auto"/>
            <w:noWrap/>
            <w:vAlign w:val="bottom"/>
            <w:hideMark/>
          </w:tcPr>
          <w:p w14:paraId="5443E3B2"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IDRD - ENTIDAD OFICIAL</w:t>
            </w:r>
          </w:p>
        </w:tc>
        <w:tc>
          <w:tcPr>
            <w:tcW w:w="2756" w:type="dxa"/>
            <w:shd w:val="clear" w:color="auto" w:fill="auto"/>
            <w:noWrap/>
            <w:vAlign w:val="bottom"/>
            <w:hideMark/>
          </w:tcPr>
          <w:p w14:paraId="4B83043F"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$ 1.236.766.475.528</w:t>
            </w:r>
          </w:p>
        </w:tc>
        <w:tc>
          <w:tcPr>
            <w:tcW w:w="1643" w:type="dxa"/>
            <w:shd w:val="clear" w:color="auto" w:fill="auto"/>
            <w:noWrap/>
            <w:vAlign w:val="bottom"/>
            <w:hideMark/>
          </w:tcPr>
          <w:p w14:paraId="7C46C3E4"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77</w:t>
            </w:r>
          </w:p>
        </w:tc>
      </w:tr>
      <w:tr w:rsidR="002F03A5" w:rsidRPr="002F03A5" w14:paraId="423377F3" w14:textId="77777777" w:rsidTr="002F03A5">
        <w:trPr>
          <w:trHeight w:val="20"/>
          <w:jc w:val="center"/>
        </w:trPr>
        <w:tc>
          <w:tcPr>
            <w:tcW w:w="4348" w:type="dxa"/>
            <w:shd w:val="clear" w:color="auto" w:fill="auto"/>
            <w:noWrap/>
            <w:vAlign w:val="bottom"/>
            <w:hideMark/>
          </w:tcPr>
          <w:p w14:paraId="4BF02971"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POLICIA NACIONAL - DIRECCION LOGISTICA Y FINANCIERA</w:t>
            </w:r>
          </w:p>
        </w:tc>
        <w:tc>
          <w:tcPr>
            <w:tcW w:w="2756" w:type="dxa"/>
            <w:shd w:val="clear" w:color="auto" w:fill="auto"/>
            <w:noWrap/>
            <w:vAlign w:val="bottom"/>
            <w:hideMark/>
          </w:tcPr>
          <w:p w14:paraId="5772C318"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$ 553.955.550.233</w:t>
            </w:r>
          </w:p>
        </w:tc>
        <w:tc>
          <w:tcPr>
            <w:tcW w:w="1643" w:type="dxa"/>
            <w:shd w:val="clear" w:color="auto" w:fill="auto"/>
            <w:noWrap/>
            <w:vAlign w:val="bottom"/>
            <w:hideMark/>
          </w:tcPr>
          <w:p w14:paraId="68B350E6"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57</w:t>
            </w:r>
          </w:p>
        </w:tc>
      </w:tr>
      <w:tr w:rsidR="002F03A5" w:rsidRPr="002F03A5" w14:paraId="7AB3AF38" w14:textId="77777777" w:rsidTr="002F03A5">
        <w:trPr>
          <w:trHeight w:val="20"/>
          <w:jc w:val="center"/>
        </w:trPr>
        <w:tc>
          <w:tcPr>
            <w:tcW w:w="4348" w:type="dxa"/>
            <w:shd w:val="clear" w:color="auto" w:fill="auto"/>
            <w:noWrap/>
            <w:vAlign w:val="bottom"/>
            <w:hideMark/>
          </w:tcPr>
          <w:p w14:paraId="4B8D6A70"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CENTRAL ADMINISTRATIVA ESPECIALIZADA INGENIEROS CENAC INGENIEROS</w:t>
            </w:r>
          </w:p>
        </w:tc>
        <w:tc>
          <w:tcPr>
            <w:tcW w:w="2756" w:type="dxa"/>
            <w:shd w:val="clear" w:color="auto" w:fill="auto"/>
            <w:noWrap/>
            <w:vAlign w:val="bottom"/>
            <w:hideMark/>
          </w:tcPr>
          <w:p w14:paraId="0B391745"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$ 368.877.737.799</w:t>
            </w:r>
          </w:p>
        </w:tc>
        <w:tc>
          <w:tcPr>
            <w:tcW w:w="1643" w:type="dxa"/>
            <w:shd w:val="clear" w:color="auto" w:fill="auto"/>
            <w:noWrap/>
            <w:vAlign w:val="bottom"/>
            <w:hideMark/>
          </w:tcPr>
          <w:p w14:paraId="283E579B"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168</w:t>
            </w:r>
          </w:p>
        </w:tc>
      </w:tr>
      <w:tr w:rsidR="002F03A5" w:rsidRPr="002F03A5" w14:paraId="1525D7FC" w14:textId="77777777" w:rsidTr="002F03A5">
        <w:trPr>
          <w:trHeight w:val="20"/>
          <w:jc w:val="center"/>
        </w:trPr>
        <w:tc>
          <w:tcPr>
            <w:tcW w:w="4348" w:type="dxa"/>
            <w:shd w:val="clear" w:color="auto" w:fill="auto"/>
            <w:noWrap/>
            <w:vAlign w:val="bottom"/>
            <w:hideMark/>
          </w:tcPr>
          <w:p w14:paraId="5A55F659"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SECRETARIA DISTRITAL DE SEGURIDAD, CONVIVENCIA Y JUSTICIA</w:t>
            </w:r>
          </w:p>
        </w:tc>
        <w:tc>
          <w:tcPr>
            <w:tcW w:w="2756" w:type="dxa"/>
            <w:shd w:val="clear" w:color="auto" w:fill="auto"/>
            <w:noWrap/>
            <w:vAlign w:val="bottom"/>
            <w:hideMark/>
          </w:tcPr>
          <w:p w14:paraId="2ED889AD"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$ 305.432.698.840</w:t>
            </w:r>
          </w:p>
        </w:tc>
        <w:tc>
          <w:tcPr>
            <w:tcW w:w="1643" w:type="dxa"/>
            <w:shd w:val="clear" w:color="auto" w:fill="auto"/>
            <w:noWrap/>
            <w:vAlign w:val="bottom"/>
            <w:hideMark/>
          </w:tcPr>
          <w:p w14:paraId="4426876A"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2</w:t>
            </w:r>
          </w:p>
        </w:tc>
      </w:tr>
      <w:tr w:rsidR="002F03A5" w:rsidRPr="002F03A5" w14:paraId="467BA16D" w14:textId="77777777" w:rsidTr="002F03A5">
        <w:trPr>
          <w:trHeight w:val="20"/>
          <w:jc w:val="center"/>
        </w:trPr>
        <w:tc>
          <w:tcPr>
            <w:tcW w:w="4348" w:type="dxa"/>
            <w:shd w:val="clear" w:color="auto" w:fill="auto"/>
            <w:noWrap/>
            <w:vAlign w:val="bottom"/>
            <w:hideMark/>
          </w:tcPr>
          <w:p w14:paraId="67DB964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SECRETARÍA DISTRITAL DE CULTURA, RECREACIÓN Y DEPORTE</w:t>
            </w:r>
          </w:p>
        </w:tc>
        <w:tc>
          <w:tcPr>
            <w:tcW w:w="2756" w:type="dxa"/>
            <w:shd w:val="clear" w:color="auto" w:fill="auto"/>
            <w:noWrap/>
            <w:vAlign w:val="bottom"/>
            <w:hideMark/>
          </w:tcPr>
          <w:p w14:paraId="6E219A7A"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$ 180.741.354.487</w:t>
            </w:r>
          </w:p>
        </w:tc>
        <w:tc>
          <w:tcPr>
            <w:tcW w:w="1643" w:type="dxa"/>
            <w:shd w:val="clear" w:color="auto" w:fill="auto"/>
            <w:noWrap/>
            <w:vAlign w:val="bottom"/>
            <w:hideMark/>
          </w:tcPr>
          <w:p w14:paraId="1A30355B"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4</w:t>
            </w:r>
          </w:p>
        </w:tc>
      </w:tr>
      <w:tr w:rsidR="002F03A5" w:rsidRPr="002F03A5" w14:paraId="5DC23140" w14:textId="77777777" w:rsidTr="002F03A5">
        <w:trPr>
          <w:trHeight w:val="20"/>
          <w:jc w:val="center"/>
        </w:trPr>
        <w:tc>
          <w:tcPr>
            <w:tcW w:w="4348" w:type="dxa"/>
            <w:shd w:val="clear" w:color="auto" w:fill="auto"/>
            <w:noWrap/>
            <w:vAlign w:val="bottom"/>
            <w:hideMark/>
          </w:tcPr>
          <w:p w14:paraId="0FECA360"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COMANDO FAC</w:t>
            </w:r>
          </w:p>
        </w:tc>
        <w:tc>
          <w:tcPr>
            <w:tcW w:w="2756" w:type="dxa"/>
            <w:shd w:val="clear" w:color="auto" w:fill="auto"/>
            <w:noWrap/>
            <w:vAlign w:val="bottom"/>
            <w:hideMark/>
          </w:tcPr>
          <w:p w14:paraId="04444603"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$ 178.214.614.462</w:t>
            </w:r>
          </w:p>
        </w:tc>
        <w:tc>
          <w:tcPr>
            <w:tcW w:w="1643" w:type="dxa"/>
            <w:shd w:val="clear" w:color="auto" w:fill="auto"/>
            <w:noWrap/>
            <w:vAlign w:val="bottom"/>
            <w:hideMark/>
          </w:tcPr>
          <w:p w14:paraId="4A3E940A"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94</w:t>
            </w:r>
          </w:p>
        </w:tc>
      </w:tr>
      <w:tr w:rsidR="002F03A5" w:rsidRPr="002F03A5" w14:paraId="5F2B06C4" w14:textId="77777777" w:rsidTr="002F03A5">
        <w:trPr>
          <w:trHeight w:val="20"/>
          <w:jc w:val="center"/>
        </w:trPr>
        <w:tc>
          <w:tcPr>
            <w:tcW w:w="4348" w:type="dxa"/>
            <w:shd w:val="clear" w:color="auto" w:fill="auto"/>
            <w:noWrap/>
            <w:vAlign w:val="bottom"/>
            <w:hideMark/>
          </w:tcPr>
          <w:p w14:paraId="7DE85A7C"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MINCULTURA</w:t>
            </w:r>
          </w:p>
        </w:tc>
        <w:tc>
          <w:tcPr>
            <w:tcW w:w="2756" w:type="dxa"/>
            <w:shd w:val="clear" w:color="auto" w:fill="auto"/>
            <w:noWrap/>
            <w:vAlign w:val="bottom"/>
            <w:hideMark/>
          </w:tcPr>
          <w:p w14:paraId="55E43903"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$ 175.514.713.427</w:t>
            </w:r>
          </w:p>
        </w:tc>
        <w:tc>
          <w:tcPr>
            <w:tcW w:w="1643" w:type="dxa"/>
            <w:shd w:val="clear" w:color="auto" w:fill="auto"/>
            <w:noWrap/>
            <w:vAlign w:val="bottom"/>
            <w:hideMark/>
          </w:tcPr>
          <w:p w14:paraId="2F6C0C92"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53</w:t>
            </w:r>
          </w:p>
        </w:tc>
      </w:tr>
      <w:tr w:rsidR="002F03A5" w:rsidRPr="002F03A5" w14:paraId="7C41A30D" w14:textId="77777777" w:rsidTr="002F03A5">
        <w:trPr>
          <w:trHeight w:val="20"/>
          <w:jc w:val="center"/>
        </w:trPr>
        <w:tc>
          <w:tcPr>
            <w:tcW w:w="4348" w:type="dxa"/>
            <w:shd w:val="clear" w:color="auto" w:fill="auto"/>
            <w:noWrap/>
            <w:vAlign w:val="bottom"/>
            <w:hideMark/>
          </w:tcPr>
          <w:p w14:paraId="10AF8338"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SUBRED INTEGRADA DE SERVICIOS DE SALUD SUR OCCIDENTE ESE.</w:t>
            </w:r>
          </w:p>
        </w:tc>
        <w:tc>
          <w:tcPr>
            <w:tcW w:w="2756" w:type="dxa"/>
            <w:shd w:val="clear" w:color="auto" w:fill="auto"/>
            <w:noWrap/>
            <w:vAlign w:val="bottom"/>
            <w:hideMark/>
          </w:tcPr>
          <w:p w14:paraId="3849B20B"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$ 127.248.717.713</w:t>
            </w:r>
          </w:p>
        </w:tc>
        <w:tc>
          <w:tcPr>
            <w:tcW w:w="1643" w:type="dxa"/>
            <w:shd w:val="clear" w:color="auto" w:fill="auto"/>
            <w:noWrap/>
            <w:vAlign w:val="bottom"/>
            <w:hideMark/>
          </w:tcPr>
          <w:p w14:paraId="7E401A65"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10</w:t>
            </w:r>
          </w:p>
        </w:tc>
      </w:tr>
      <w:tr w:rsidR="002F03A5" w:rsidRPr="002F03A5" w14:paraId="4EEF4B28" w14:textId="77777777" w:rsidTr="002F03A5">
        <w:trPr>
          <w:trHeight w:val="20"/>
          <w:jc w:val="center"/>
        </w:trPr>
        <w:tc>
          <w:tcPr>
            <w:tcW w:w="4348" w:type="dxa"/>
            <w:shd w:val="clear" w:color="auto" w:fill="auto"/>
            <w:noWrap/>
            <w:vAlign w:val="bottom"/>
            <w:hideMark/>
          </w:tcPr>
          <w:p w14:paraId="7D192E6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HOSPITAL UNIVERSITARIO DEL VALLE EVARISTO GARCIA E.S.E.</w:t>
            </w:r>
          </w:p>
        </w:tc>
        <w:tc>
          <w:tcPr>
            <w:tcW w:w="2756" w:type="dxa"/>
            <w:shd w:val="clear" w:color="auto" w:fill="auto"/>
            <w:noWrap/>
            <w:vAlign w:val="bottom"/>
            <w:hideMark/>
          </w:tcPr>
          <w:p w14:paraId="4A16B316"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$ 117.170.391.480</w:t>
            </w:r>
          </w:p>
        </w:tc>
        <w:tc>
          <w:tcPr>
            <w:tcW w:w="1643" w:type="dxa"/>
            <w:shd w:val="clear" w:color="auto" w:fill="auto"/>
            <w:noWrap/>
            <w:vAlign w:val="bottom"/>
            <w:hideMark/>
          </w:tcPr>
          <w:p w14:paraId="63E12257"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2</w:t>
            </w:r>
          </w:p>
        </w:tc>
      </w:tr>
      <w:tr w:rsidR="002F03A5" w:rsidRPr="002F03A5" w14:paraId="27984B4C" w14:textId="77777777" w:rsidTr="002F03A5">
        <w:trPr>
          <w:trHeight w:val="20"/>
          <w:jc w:val="center"/>
        </w:trPr>
        <w:tc>
          <w:tcPr>
            <w:tcW w:w="4348" w:type="dxa"/>
            <w:shd w:val="clear" w:color="auto" w:fill="auto"/>
            <w:noWrap/>
            <w:vAlign w:val="bottom"/>
            <w:hideMark/>
          </w:tcPr>
          <w:p w14:paraId="4D23186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DIRECCION DE BIENESTAR DE LA POLICIA NACIONAL</w:t>
            </w:r>
          </w:p>
        </w:tc>
        <w:tc>
          <w:tcPr>
            <w:tcW w:w="2756" w:type="dxa"/>
            <w:shd w:val="clear" w:color="auto" w:fill="auto"/>
            <w:noWrap/>
            <w:vAlign w:val="bottom"/>
            <w:hideMark/>
          </w:tcPr>
          <w:p w14:paraId="566CA75F"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$ 116.434.884.783</w:t>
            </w:r>
          </w:p>
        </w:tc>
        <w:tc>
          <w:tcPr>
            <w:tcW w:w="1643" w:type="dxa"/>
            <w:shd w:val="clear" w:color="auto" w:fill="auto"/>
            <w:noWrap/>
            <w:vAlign w:val="bottom"/>
            <w:hideMark/>
          </w:tcPr>
          <w:p w14:paraId="215DD3EF"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24</w:t>
            </w:r>
          </w:p>
        </w:tc>
      </w:tr>
      <w:tr w:rsidR="002F03A5" w:rsidRPr="002F03A5" w14:paraId="0362DE21" w14:textId="77777777" w:rsidTr="002F03A5">
        <w:trPr>
          <w:trHeight w:val="20"/>
          <w:jc w:val="center"/>
        </w:trPr>
        <w:tc>
          <w:tcPr>
            <w:tcW w:w="4348" w:type="dxa"/>
            <w:shd w:val="clear" w:color="auto" w:fill="auto"/>
            <w:noWrap/>
            <w:vAlign w:val="bottom"/>
            <w:hideMark/>
          </w:tcPr>
          <w:p w14:paraId="188D636D"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ARMADA NACIONAL BASE NAVAL NO. 6 ARC BOGOTA</w:t>
            </w:r>
          </w:p>
        </w:tc>
        <w:tc>
          <w:tcPr>
            <w:tcW w:w="2756" w:type="dxa"/>
            <w:shd w:val="clear" w:color="auto" w:fill="auto"/>
            <w:noWrap/>
            <w:vAlign w:val="bottom"/>
            <w:hideMark/>
          </w:tcPr>
          <w:p w14:paraId="032C04A6"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$ 100.613.723.566</w:t>
            </w:r>
          </w:p>
        </w:tc>
        <w:tc>
          <w:tcPr>
            <w:tcW w:w="1643" w:type="dxa"/>
            <w:shd w:val="clear" w:color="auto" w:fill="auto"/>
            <w:noWrap/>
            <w:vAlign w:val="bottom"/>
            <w:hideMark/>
          </w:tcPr>
          <w:p w14:paraId="4ABB02AF"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16</w:t>
            </w:r>
          </w:p>
        </w:tc>
      </w:tr>
      <w:tr w:rsidR="002F03A5" w:rsidRPr="002F03A5" w14:paraId="318388C7" w14:textId="77777777" w:rsidTr="002F03A5">
        <w:trPr>
          <w:trHeight w:val="20"/>
          <w:jc w:val="center"/>
        </w:trPr>
        <w:tc>
          <w:tcPr>
            <w:tcW w:w="4348" w:type="dxa"/>
            <w:shd w:val="clear" w:color="auto" w:fill="auto"/>
            <w:noWrap/>
            <w:vAlign w:val="bottom"/>
            <w:hideMark/>
          </w:tcPr>
          <w:p w14:paraId="02F04759"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SERVICIO NACIONAL DE APRENDIZAJE</w:t>
            </w:r>
          </w:p>
        </w:tc>
        <w:tc>
          <w:tcPr>
            <w:tcW w:w="2756" w:type="dxa"/>
            <w:shd w:val="clear" w:color="auto" w:fill="auto"/>
            <w:noWrap/>
            <w:vAlign w:val="bottom"/>
            <w:hideMark/>
          </w:tcPr>
          <w:p w14:paraId="56EDCD04"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$ 87.674.190.153</w:t>
            </w:r>
          </w:p>
        </w:tc>
        <w:tc>
          <w:tcPr>
            <w:tcW w:w="1643" w:type="dxa"/>
            <w:shd w:val="clear" w:color="auto" w:fill="auto"/>
            <w:noWrap/>
            <w:vAlign w:val="bottom"/>
            <w:hideMark/>
          </w:tcPr>
          <w:p w14:paraId="7BDEE852"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77</w:t>
            </w:r>
          </w:p>
        </w:tc>
      </w:tr>
      <w:tr w:rsidR="002F03A5" w:rsidRPr="002F03A5" w14:paraId="5BF436AD" w14:textId="77777777" w:rsidTr="002F03A5">
        <w:trPr>
          <w:trHeight w:val="20"/>
          <w:jc w:val="center"/>
        </w:trPr>
        <w:tc>
          <w:tcPr>
            <w:tcW w:w="4348" w:type="dxa"/>
            <w:shd w:val="clear" w:color="auto" w:fill="auto"/>
            <w:noWrap/>
            <w:vAlign w:val="bottom"/>
            <w:hideMark/>
          </w:tcPr>
          <w:p w14:paraId="1E22FED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GOBERNACION DEL DEPARTAMENTO DEL CESAR</w:t>
            </w:r>
          </w:p>
        </w:tc>
        <w:tc>
          <w:tcPr>
            <w:tcW w:w="2756" w:type="dxa"/>
            <w:shd w:val="clear" w:color="auto" w:fill="auto"/>
            <w:noWrap/>
            <w:vAlign w:val="bottom"/>
            <w:hideMark/>
          </w:tcPr>
          <w:p w14:paraId="3F97D2C1"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$ 87.556.948.987</w:t>
            </w:r>
          </w:p>
        </w:tc>
        <w:tc>
          <w:tcPr>
            <w:tcW w:w="1643" w:type="dxa"/>
            <w:shd w:val="clear" w:color="auto" w:fill="auto"/>
            <w:noWrap/>
            <w:vAlign w:val="bottom"/>
            <w:hideMark/>
          </w:tcPr>
          <w:p w14:paraId="3E7CFC9F"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7</w:t>
            </w:r>
          </w:p>
        </w:tc>
      </w:tr>
      <w:tr w:rsidR="002F03A5" w:rsidRPr="002F03A5" w14:paraId="63A37C08" w14:textId="77777777" w:rsidTr="002F03A5">
        <w:trPr>
          <w:trHeight w:val="20"/>
          <w:jc w:val="center"/>
        </w:trPr>
        <w:tc>
          <w:tcPr>
            <w:tcW w:w="4348" w:type="dxa"/>
            <w:shd w:val="clear" w:color="auto" w:fill="auto"/>
            <w:noWrap/>
            <w:vAlign w:val="bottom"/>
            <w:hideMark/>
          </w:tcPr>
          <w:p w14:paraId="42E27FA9"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DIRECCION DE SANIDAD DE LA POLICIA NACIONAL - DISAN PONAL</w:t>
            </w:r>
          </w:p>
        </w:tc>
        <w:tc>
          <w:tcPr>
            <w:tcW w:w="2756" w:type="dxa"/>
            <w:shd w:val="clear" w:color="auto" w:fill="auto"/>
            <w:noWrap/>
            <w:vAlign w:val="bottom"/>
            <w:hideMark/>
          </w:tcPr>
          <w:p w14:paraId="0648570E"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$ 81.877.819.907</w:t>
            </w:r>
          </w:p>
        </w:tc>
        <w:tc>
          <w:tcPr>
            <w:tcW w:w="1643" w:type="dxa"/>
            <w:shd w:val="clear" w:color="auto" w:fill="auto"/>
            <w:noWrap/>
            <w:vAlign w:val="bottom"/>
            <w:hideMark/>
          </w:tcPr>
          <w:p w14:paraId="204073B4"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13</w:t>
            </w:r>
          </w:p>
        </w:tc>
      </w:tr>
      <w:tr w:rsidR="002F03A5" w:rsidRPr="002F03A5" w14:paraId="499FEC3C" w14:textId="77777777" w:rsidTr="002F03A5">
        <w:trPr>
          <w:trHeight w:val="20"/>
          <w:jc w:val="center"/>
        </w:trPr>
        <w:tc>
          <w:tcPr>
            <w:tcW w:w="4348" w:type="dxa"/>
            <w:shd w:val="clear" w:color="auto" w:fill="auto"/>
            <w:noWrap/>
            <w:vAlign w:val="bottom"/>
            <w:hideMark/>
          </w:tcPr>
          <w:p w14:paraId="11DA2F3A"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DIRECCION GENERAL MARITIMA - SUBDIRECCION ADMINISTRATIVA Y FINANCIERA - SUBAFIN</w:t>
            </w:r>
          </w:p>
        </w:tc>
        <w:tc>
          <w:tcPr>
            <w:tcW w:w="2756" w:type="dxa"/>
            <w:shd w:val="clear" w:color="auto" w:fill="auto"/>
            <w:noWrap/>
            <w:vAlign w:val="bottom"/>
            <w:hideMark/>
          </w:tcPr>
          <w:p w14:paraId="7A528242"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$ 79.488.597.386</w:t>
            </w:r>
          </w:p>
        </w:tc>
        <w:tc>
          <w:tcPr>
            <w:tcW w:w="1643" w:type="dxa"/>
            <w:shd w:val="clear" w:color="auto" w:fill="auto"/>
            <w:noWrap/>
            <w:vAlign w:val="bottom"/>
            <w:hideMark/>
          </w:tcPr>
          <w:p w14:paraId="4A5C150A"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10</w:t>
            </w:r>
          </w:p>
        </w:tc>
      </w:tr>
      <w:tr w:rsidR="002F03A5" w:rsidRPr="002F03A5" w14:paraId="11F6A260" w14:textId="77777777" w:rsidTr="002F03A5">
        <w:trPr>
          <w:trHeight w:val="20"/>
          <w:jc w:val="center"/>
        </w:trPr>
        <w:tc>
          <w:tcPr>
            <w:tcW w:w="4348" w:type="dxa"/>
            <w:shd w:val="clear" w:color="auto" w:fill="auto"/>
            <w:noWrap/>
            <w:vAlign w:val="bottom"/>
            <w:hideMark/>
          </w:tcPr>
          <w:p w14:paraId="17369E34"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 xml:space="preserve">RAMA JUDICIAL </w:t>
            </w:r>
            <w:r w:rsidRPr="002F03A5">
              <w:rPr>
                <w:rFonts w:ascii="Verdana" w:hAnsi="Verdana" w:cs="Verdana"/>
                <w:color w:val="000000"/>
                <w:sz w:val="20"/>
                <w:szCs w:val="20"/>
                <w:lang w:eastAsia="es-CO"/>
              </w:rPr>
              <w:t>–</w:t>
            </w:r>
            <w:r w:rsidRPr="002F03A5">
              <w:rPr>
                <w:rFonts w:ascii="Verdana" w:hAnsi="Verdana" w:cs="Arial"/>
                <w:color w:val="000000"/>
                <w:sz w:val="20"/>
                <w:szCs w:val="20"/>
                <w:lang w:eastAsia="es-CO"/>
              </w:rPr>
              <w:t xml:space="preserve"> DIRECCI</w:t>
            </w:r>
            <w:r w:rsidRPr="002F03A5">
              <w:rPr>
                <w:rFonts w:ascii="Verdana" w:hAnsi="Verdana" w:cs="Verdana"/>
                <w:color w:val="000000"/>
                <w:sz w:val="20"/>
                <w:szCs w:val="20"/>
                <w:lang w:eastAsia="es-CO"/>
              </w:rPr>
              <w:t>Ó</w:t>
            </w:r>
            <w:r w:rsidRPr="002F03A5">
              <w:rPr>
                <w:rFonts w:ascii="Verdana" w:hAnsi="Verdana" w:cs="Arial"/>
                <w:color w:val="000000"/>
                <w:sz w:val="20"/>
                <w:szCs w:val="20"/>
                <w:lang w:eastAsia="es-CO"/>
              </w:rPr>
              <w:t>N EJECUTIVA DE ADMINISTRACI</w:t>
            </w:r>
            <w:r w:rsidRPr="002F03A5">
              <w:rPr>
                <w:rFonts w:ascii="Verdana" w:hAnsi="Verdana" w:cs="Verdana"/>
                <w:color w:val="000000"/>
                <w:sz w:val="20"/>
                <w:szCs w:val="20"/>
                <w:lang w:eastAsia="es-CO"/>
              </w:rPr>
              <w:t>Ó</w:t>
            </w:r>
            <w:r w:rsidRPr="002F03A5">
              <w:rPr>
                <w:rFonts w:ascii="Verdana" w:hAnsi="Verdana" w:cs="Arial"/>
                <w:color w:val="000000"/>
                <w:sz w:val="20"/>
                <w:szCs w:val="20"/>
                <w:lang w:eastAsia="es-CO"/>
              </w:rPr>
              <w:t>N JUDICIAL</w:t>
            </w:r>
          </w:p>
        </w:tc>
        <w:tc>
          <w:tcPr>
            <w:tcW w:w="2756" w:type="dxa"/>
            <w:shd w:val="clear" w:color="auto" w:fill="auto"/>
            <w:noWrap/>
            <w:vAlign w:val="bottom"/>
            <w:hideMark/>
          </w:tcPr>
          <w:p w14:paraId="255FF3A7"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$ 76.399.148.977</w:t>
            </w:r>
          </w:p>
        </w:tc>
        <w:tc>
          <w:tcPr>
            <w:tcW w:w="1643" w:type="dxa"/>
            <w:shd w:val="clear" w:color="auto" w:fill="auto"/>
            <w:noWrap/>
            <w:vAlign w:val="bottom"/>
            <w:hideMark/>
          </w:tcPr>
          <w:p w14:paraId="6D13216F"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18</w:t>
            </w:r>
          </w:p>
        </w:tc>
      </w:tr>
      <w:tr w:rsidR="002F03A5" w:rsidRPr="002F03A5" w14:paraId="60682523" w14:textId="77777777" w:rsidTr="002F03A5">
        <w:trPr>
          <w:trHeight w:val="20"/>
          <w:jc w:val="center"/>
        </w:trPr>
        <w:tc>
          <w:tcPr>
            <w:tcW w:w="4348" w:type="dxa"/>
            <w:shd w:val="clear" w:color="auto" w:fill="auto"/>
            <w:noWrap/>
            <w:vAlign w:val="bottom"/>
            <w:hideMark/>
          </w:tcPr>
          <w:p w14:paraId="3DC00AE0"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FONDO ROTATORIO DE LA POLICIA NACIONAL</w:t>
            </w:r>
          </w:p>
        </w:tc>
        <w:tc>
          <w:tcPr>
            <w:tcW w:w="2756" w:type="dxa"/>
            <w:shd w:val="clear" w:color="auto" w:fill="auto"/>
            <w:noWrap/>
            <w:vAlign w:val="bottom"/>
            <w:hideMark/>
          </w:tcPr>
          <w:p w14:paraId="0B6E1097"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$ 75.409.473.035</w:t>
            </w:r>
          </w:p>
        </w:tc>
        <w:tc>
          <w:tcPr>
            <w:tcW w:w="1643" w:type="dxa"/>
            <w:shd w:val="clear" w:color="auto" w:fill="auto"/>
            <w:noWrap/>
            <w:vAlign w:val="bottom"/>
            <w:hideMark/>
          </w:tcPr>
          <w:p w14:paraId="187F22D6"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30</w:t>
            </w:r>
          </w:p>
        </w:tc>
      </w:tr>
      <w:tr w:rsidR="002F03A5" w:rsidRPr="002F03A5" w14:paraId="0887C992" w14:textId="77777777" w:rsidTr="002F03A5">
        <w:trPr>
          <w:trHeight w:val="20"/>
          <w:jc w:val="center"/>
        </w:trPr>
        <w:tc>
          <w:tcPr>
            <w:tcW w:w="4348" w:type="dxa"/>
            <w:shd w:val="clear" w:color="auto" w:fill="auto"/>
            <w:noWrap/>
            <w:vAlign w:val="bottom"/>
            <w:hideMark/>
          </w:tcPr>
          <w:p w14:paraId="16658ECD"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INSTITUTO DE CASAS FISCALES DE EJERCITO</w:t>
            </w:r>
          </w:p>
        </w:tc>
        <w:tc>
          <w:tcPr>
            <w:tcW w:w="2756" w:type="dxa"/>
            <w:shd w:val="clear" w:color="auto" w:fill="auto"/>
            <w:noWrap/>
            <w:vAlign w:val="bottom"/>
            <w:hideMark/>
          </w:tcPr>
          <w:p w14:paraId="51241534"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$ 74.543.748.045</w:t>
            </w:r>
          </w:p>
        </w:tc>
        <w:tc>
          <w:tcPr>
            <w:tcW w:w="1643" w:type="dxa"/>
            <w:shd w:val="clear" w:color="auto" w:fill="auto"/>
            <w:noWrap/>
            <w:vAlign w:val="bottom"/>
            <w:hideMark/>
          </w:tcPr>
          <w:p w14:paraId="704E57B6"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38</w:t>
            </w:r>
          </w:p>
        </w:tc>
      </w:tr>
      <w:tr w:rsidR="002F03A5" w:rsidRPr="002F03A5" w14:paraId="17993115" w14:textId="77777777" w:rsidTr="002F03A5">
        <w:trPr>
          <w:trHeight w:val="20"/>
          <w:jc w:val="center"/>
        </w:trPr>
        <w:tc>
          <w:tcPr>
            <w:tcW w:w="4348" w:type="dxa"/>
            <w:shd w:val="clear" w:color="auto" w:fill="auto"/>
            <w:noWrap/>
            <w:vAlign w:val="bottom"/>
            <w:hideMark/>
          </w:tcPr>
          <w:p w14:paraId="5C4CA19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GOBERNACION DEL MAGDALENA</w:t>
            </w:r>
          </w:p>
        </w:tc>
        <w:tc>
          <w:tcPr>
            <w:tcW w:w="2756" w:type="dxa"/>
            <w:shd w:val="clear" w:color="auto" w:fill="auto"/>
            <w:noWrap/>
            <w:vAlign w:val="bottom"/>
            <w:hideMark/>
          </w:tcPr>
          <w:p w14:paraId="02E0A0A9"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$ 71.354.891.589</w:t>
            </w:r>
          </w:p>
        </w:tc>
        <w:tc>
          <w:tcPr>
            <w:tcW w:w="1643" w:type="dxa"/>
            <w:shd w:val="clear" w:color="auto" w:fill="auto"/>
            <w:noWrap/>
            <w:vAlign w:val="bottom"/>
            <w:hideMark/>
          </w:tcPr>
          <w:p w14:paraId="7E8035B4"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4</w:t>
            </w:r>
          </w:p>
        </w:tc>
      </w:tr>
      <w:tr w:rsidR="002F03A5" w:rsidRPr="002F03A5" w14:paraId="180BB333" w14:textId="77777777" w:rsidTr="002F03A5">
        <w:trPr>
          <w:trHeight w:val="20"/>
          <w:jc w:val="center"/>
        </w:trPr>
        <w:tc>
          <w:tcPr>
            <w:tcW w:w="4348" w:type="dxa"/>
            <w:shd w:val="clear" w:color="auto" w:fill="auto"/>
            <w:noWrap/>
            <w:vAlign w:val="bottom"/>
            <w:hideMark/>
          </w:tcPr>
          <w:p w14:paraId="6AFCB264"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SECRETARÍA DISTRITAL DE INTEGRACIÓN SOCIAL</w:t>
            </w:r>
          </w:p>
        </w:tc>
        <w:tc>
          <w:tcPr>
            <w:tcW w:w="2756" w:type="dxa"/>
            <w:shd w:val="clear" w:color="auto" w:fill="auto"/>
            <w:noWrap/>
            <w:vAlign w:val="bottom"/>
            <w:hideMark/>
          </w:tcPr>
          <w:p w14:paraId="7B549645"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$ 67.811.576.356</w:t>
            </w:r>
          </w:p>
        </w:tc>
        <w:tc>
          <w:tcPr>
            <w:tcW w:w="1643" w:type="dxa"/>
            <w:shd w:val="clear" w:color="auto" w:fill="auto"/>
            <w:noWrap/>
            <w:vAlign w:val="bottom"/>
            <w:hideMark/>
          </w:tcPr>
          <w:p w14:paraId="7715BD4A"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6</w:t>
            </w:r>
          </w:p>
        </w:tc>
      </w:tr>
      <w:tr w:rsidR="002F03A5" w:rsidRPr="002F03A5" w14:paraId="29309765" w14:textId="77777777" w:rsidTr="002F03A5">
        <w:trPr>
          <w:trHeight w:val="20"/>
          <w:jc w:val="center"/>
        </w:trPr>
        <w:tc>
          <w:tcPr>
            <w:tcW w:w="4348" w:type="dxa"/>
            <w:shd w:val="clear" w:color="auto" w:fill="auto"/>
            <w:noWrap/>
            <w:vAlign w:val="bottom"/>
            <w:hideMark/>
          </w:tcPr>
          <w:p w14:paraId="13E673FC"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lastRenderedPageBreak/>
              <w:t>GOBERNACIÓN DEPARTAMENTO DEL PUTUMAYO</w:t>
            </w:r>
          </w:p>
        </w:tc>
        <w:tc>
          <w:tcPr>
            <w:tcW w:w="2756" w:type="dxa"/>
            <w:shd w:val="clear" w:color="auto" w:fill="auto"/>
            <w:noWrap/>
            <w:vAlign w:val="bottom"/>
            <w:hideMark/>
          </w:tcPr>
          <w:p w14:paraId="0AFC56D4"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$ 64.883.606.313</w:t>
            </w:r>
          </w:p>
        </w:tc>
        <w:tc>
          <w:tcPr>
            <w:tcW w:w="1643" w:type="dxa"/>
            <w:shd w:val="clear" w:color="auto" w:fill="auto"/>
            <w:noWrap/>
            <w:vAlign w:val="bottom"/>
            <w:hideMark/>
          </w:tcPr>
          <w:p w14:paraId="0D9BB30C"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15</w:t>
            </w:r>
          </w:p>
        </w:tc>
      </w:tr>
      <w:tr w:rsidR="002F03A5" w:rsidRPr="002F03A5" w14:paraId="55CC6A08" w14:textId="77777777" w:rsidTr="002F03A5">
        <w:trPr>
          <w:trHeight w:val="20"/>
          <w:jc w:val="center"/>
        </w:trPr>
        <w:tc>
          <w:tcPr>
            <w:tcW w:w="4348" w:type="dxa"/>
            <w:shd w:val="clear" w:color="auto" w:fill="auto"/>
            <w:noWrap/>
            <w:vAlign w:val="bottom"/>
            <w:hideMark/>
          </w:tcPr>
          <w:p w14:paraId="482CD4D5"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ESCUELA SUPERIOR DE ADMINISTRACIÓN PUBLICA</w:t>
            </w:r>
          </w:p>
        </w:tc>
        <w:tc>
          <w:tcPr>
            <w:tcW w:w="2756" w:type="dxa"/>
            <w:shd w:val="clear" w:color="auto" w:fill="auto"/>
            <w:noWrap/>
            <w:vAlign w:val="bottom"/>
            <w:hideMark/>
          </w:tcPr>
          <w:p w14:paraId="7AEDD2BB"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$ 57.074.947.265</w:t>
            </w:r>
          </w:p>
        </w:tc>
        <w:tc>
          <w:tcPr>
            <w:tcW w:w="1643" w:type="dxa"/>
            <w:shd w:val="clear" w:color="auto" w:fill="auto"/>
            <w:noWrap/>
            <w:vAlign w:val="bottom"/>
            <w:hideMark/>
          </w:tcPr>
          <w:p w14:paraId="10BA4A98"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17</w:t>
            </w:r>
          </w:p>
        </w:tc>
      </w:tr>
      <w:tr w:rsidR="002F03A5" w:rsidRPr="002F03A5" w14:paraId="208D59B4" w14:textId="77777777" w:rsidTr="002F03A5">
        <w:trPr>
          <w:trHeight w:val="20"/>
          <w:jc w:val="center"/>
        </w:trPr>
        <w:tc>
          <w:tcPr>
            <w:tcW w:w="4348" w:type="dxa"/>
            <w:shd w:val="clear" w:color="auto" w:fill="auto"/>
            <w:noWrap/>
            <w:vAlign w:val="bottom"/>
            <w:hideMark/>
          </w:tcPr>
          <w:p w14:paraId="1E0C9351"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ARMADA NACIONAL - BASE NAVAL NO.1 ARC BOLÍVAR</w:t>
            </w:r>
          </w:p>
        </w:tc>
        <w:tc>
          <w:tcPr>
            <w:tcW w:w="2756" w:type="dxa"/>
            <w:shd w:val="clear" w:color="auto" w:fill="auto"/>
            <w:noWrap/>
            <w:vAlign w:val="bottom"/>
            <w:hideMark/>
          </w:tcPr>
          <w:p w14:paraId="637C5F2B"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$ 54.701.459.910</w:t>
            </w:r>
          </w:p>
        </w:tc>
        <w:tc>
          <w:tcPr>
            <w:tcW w:w="1643" w:type="dxa"/>
            <w:shd w:val="clear" w:color="auto" w:fill="auto"/>
            <w:noWrap/>
            <w:vAlign w:val="bottom"/>
            <w:hideMark/>
          </w:tcPr>
          <w:p w14:paraId="355BDF2C"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57</w:t>
            </w:r>
          </w:p>
        </w:tc>
      </w:tr>
      <w:tr w:rsidR="002F03A5" w:rsidRPr="002F03A5" w14:paraId="0A410863" w14:textId="77777777" w:rsidTr="002F03A5">
        <w:trPr>
          <w:trHeight w:val="20"/>
          <w:jc w:val="center"/>
        </w:trPr>
        <w:tc>
          <w:tcPr>
            <w:tcW w:w="4348" w:type="dxa"/>
            <w:shd w:val="clear" w:color="auto" w:fill="auto"/>
            <w:noWrap/>
            <w:vAlign w:val="bottom"/>
            <w:hideMark/>
          </w:tcPr>
          <w:p w14:paraId="69B70323"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MUNICIPIO DE ENVIGADO</w:t>
            </w:r>
          </w:p>
        </w:tc>
        <w:tc>
          <w:tcPr>
            <w:tcW w:w="2756" w:type="dxa"/>
            <w:shd w:val="clear" w:color="auto" w:fill="auto"/>
            <w:noWrap/>
            <w:vAlign w:val="bottom"/>
            <w:hideMark/>
          </w:tcPr>
          <w:p w14:paraId="2D005120"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$ 48.120.397.379</w:t>
            </w:r>
          </w:p>
        </w:tc>
        <w:tc>
          <w:tcPr>
            <w:tcW w:w="1643" w:type="dxa"/>
            <w:shd w:val="clear" w:color="auto" w:fill="auto"/>
            <w:noWrap/>
            <w:vAlign w:val="bottom"/>
            <w:hideMark/>
          </w:tcPr>
          <w:p w14:paraId="0034F253"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17</w:t>
            </w:r>
          </w:p>
        </w:tc>
      </w:tr>
      <w:tr w:rsidR="002F03A5" w:rsidRPr="002F03A5" w14:paraId="1F99BC01" w14:textId="77777777" w:rsidTr="002F03A5">
        <w:trPr>
          <w:trHeight w:val="20"/>
          <w:jc w:val="center"/>
        </w:trPr>
        <w:tc>
          <w:tcPr>
            <w:tcW w:w="4348" w:type="dxa"/>
            <w:shd w:val="clear" w:color="auto" w:fill="auto"/>
            <w:noWrap/>
            <w:vAlign w:val="bottom"/>
            <w:hideMark/>
          </w:tcPr>
          <w:p w14:paraId="7BEB7436"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PROCURADURIA GENERAL DE LA NACION</w:t>
            </w:r>
          </w:p>
        </w:tc>
        <w:tc>
          <w:tcPr>
            <w:tcW w:w="2756" w:type="dxa"/>
            <w:shd w:val="clear" w:color="auto" w:fill="auto"/>
            <w:noWrap/>
            <w:vAlign w:val="bottom"/>
            <w:hideMark/>
          </w:tcPr>
          <w:p w14:paraId="12D63751"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$ 44.990.210.368</w:t>
            </w:r>
          </w:p>
        </w:tc>
        <w:tc>
          <w:tcPr>
            <w:tcW w:w="1643" w:type="dxa"/>
            <w:shd w:val="clear" w:color="auto" w:fill="auto"/>
            <w:noWrap/>
            <w:vAlign w:val="bottom"/>
            <w:hideMark/>
          </w:tcPr>
          <w:p w14:paraId="3F14E4C9"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16</w:t>
            </w:r>
          </w:p>
        </w:tc>
      </w:tr>
      <w:tr w:rsidR="002F03A5" w:rsidRPr="002F03A5" w14:paraId="2473C849" w14:textId="77777777" w:rsidTr="002F03A5">
        <w:trPr>
          <w:trHeight w:val="20"/>
          <w:jc w:val="center"/>
        </w:trPr>
        <w:tc>
          <w:tcPr>
            <w:tcW w:w="4348" w:type="dxa"/>
            <w:shd w:val="clear" w:color="auto" w:fill="auto"/>
            <w:noWrap/>
            <w:vAlign w:val="bottom"/>
            <w:hideMark/>
          </w:tcPr>
          <w:p w14:paraId="67CE22B1"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SANTIAGO DE CALI DISTRITO ESPECIAL - SECRETARIA DE CULTURA</w:t>
            </w:r>
          </w:p>
        </w:tc>
        <w:tc>
          <w:tcPr>
            <w:tcW w:w="2756" w:type="dxa"/>
            <w:shd w:val="clear" w:color="auto" w:fill="auto"/>
            <w:noWrap/>
            <w:vAlign w:val="bottom"/>
            <w:hideMark/>
          </w:tcPr>
          <w:p w14:paraId="6A15C035"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$ 44.150.457.788</w:t>
            </w:r>
          </w:p>
        </w:tc>
        <w:tc>
          <w:tcPr>
            <w:tcW w:w="1643" w:type="dxa"/>
            <w:shd w:val="clear" w:color="auto" w:fill="auto"/>
            <w:noWrap/>
            <w:vAlign w:val="bottom"/>
            <w:hideMark/>
          </w:tcPr>
          <w:p w14:paraId="5F7B9E46"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32</w:t>
            </w:r>
          </w:p>
        </w:tc>
      </w:tr>
      <w:tr w:rsidR="002F03A5" w:rsidRPr="002F03A5" w14:paraId="05744247" w14:textId="77777777" w:rsidTr="002F03A5">
        <w:trPr>
          <w:trHeight w:val="20"/>
          <w:jc w:val="center"/>
        </w:trPr>
        <w:tc>
          <w:tcPr>
            <w:tcW w:w="4348" w:type="dxa"/>
            <w:shd w:val="clear" w:color="auto" w:fill="auto"/>
            <w:noWrap/>
            <w:vAlign w:val="bottom"/>
            <w:hideMark/>
          </w:tcPr>
          <w:p w14:paraId="08D75EBB"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DIRECCION DE EDUCACION POLICIAL</w:t>
            </w:r>
          </w:p>
        </w:tc>
        <w:tc>
          <w:tcPr>
            <w:tcW w:w="2756" w:type="dxa"/>
            <w:shd w:val="clear" w:color="auto" w:fill="auto"/>
            <w:noWrap/>
            <w:vAlign w:val="bottom"/>
            <w:hideMark/>
          </w:tcPr>
          <w:p w14:paraId="4959E6FA"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$ 43.234.403.680</w:t>
            </w:r>
          </w:p>
        </w:tc>
        <w:tc>
          <w:tcPr>
            <w:tcW w:w="1643" w:type="dxa"/>
            <w:shd w:val="clear" w:color="auto" w:fill="auto"/>
            <w:noWrap/>
            <w:vAlign w:val="bottom"/>
            <w:hideMark/>
          </w:tcPr>
          <w:p w14:paraId="18FEE3C2"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14</w:t>
            </w:r>
          </w:p>
        </w:tc>
      </w:tr>
      <w:tr w:rsidR="002F03A5" w:rsidRPr="002F03A5" w14:paraId="27DBF91A" w14:textId="77777777" w:rsidTr="002F03A5">
        <w:trPr>
          <w:trHeight w:val="20"/>
          <w:jc w:val="center"/>
        </w:trPr>
        <w:tc>
          <w:tcPr>
            <w:tcW w:w="4348" w:type="dxa"/>
            <w:shd w:val="clear" w:color="auto" w:fill="auto"/>
            <w:noWrap/>
            <w:vAlign w:val="bottom"/>
            <w:hideMark/>
          </w:tcPr>
          <w:p w14:paraId="581F4521" w14:textId="77777777" w:rsidR="002F03A5" w:rsidRPr="002F03A5" w:rsidRDefault="002F03A5" w:rsidP="0044671B">
            <w:pPr>
              <w:jc w:val="both"/>
              <w:rPr>
                <w:rFonts w:ascii="Verdana" w:hAnsi="Verdana" w:cs="Arial"/>
                <w:color w:val="000000"/>
                <w:sz w:val="20"/>
                <w:szCs w:val="20"/>
                <w:lang w:eastAsia="es-CO"/>
              </w:rPr>
            </w:pPr>
            <w:r w:rsidRPr="002F03A5">
              <w:rPr>
                <w:rFonts w:ascii="Verdana" w:hAnsi="Verdana" w:cs="Arial"/>
                <w:color w:val="000000"/>
                <w:sz w:val="20"/>
                <w:szCs w:val="20"/>
                <w:lang w:eastAsia="es-CO"/>
              </w:rPr>
              <w:t>SECRETARIA DE EDUCACION DE CALI</w:t>
            </w:r>
          </w:p>
        </w:tc>
        <w:tc>
          <w:tcPr>
            <w:tcW w:w="2756" w:type="dxa"/>
            <w:shd w:val="clear" w:color="auto" w:fill="auto"/>
            <w:noWrap/>
            <w:vAlign w:val="bottom"/>
            <w:hideMark/>
          </w:tcPr>
          <w:p w14:paraId="42ABEAB0" w14:textId="77777777" w:rsidR="002F03A5" w:rsidRPr="002F03A5" w:rsidRDefault="002F03A5" w:rsidP="0044671B">
            <w:pPr>
              <w:jc w:val="right"/>
              <w:rPr>
                <w:rFonts w:ascii="Verdana" w:hAnsi="Verdana" w:cs="Arial"/>
                <w:color w:val="000000"/>
                <w:sz w:val="20"/>
                <w:szCs w:val="20"/>
                <w:lang w:eastAsia="es-CO"/>
              </w:rPr>
            </w:pPr>
            <w:r w:rsidRPr="002F03A5">
              <w:rPr>
                <w:rFonts w:ascii="Verdana" w:hAnsi="Verdana" w:cs="Arial"/>
                <w:color w:val="000000"/>
                <w:sz w:val="20"/>
                <w:szCs w:val="20"/>
                <w:lang w:eastAsia="es-CO"/>
              </w:rPr>
              <w:t>$ 43.095.715.118</w:t>
            </w:r>
          </w:p>
        </w:tc>
        <w:tc>
          <w:tcPr>
            <w:tcW w:w="1643" w:type="dxa"/>
            <w:shd w:val="clear" w:color="auto" w:fill="auto"/>
            <w:noWrap/>
            <w:vAlign w:val="bottom"/>
            <w:hideMark/>
          </w:tcPr>
          <w:p w14:paraId="58574AC3" w14:textId="77777777" w:rsidR="002F03A5" w:rsidRPr="002F03A5" w:rsidRDefault="002F03A5" w:rsidP="0044671B">
            <w:pPr>
              <w:jc w:val="center"/>
              <w:rPr>
                <w:rFonts w:ascii="Verdana" w:hAnsi="Verdana" w:cs="Arial"/>
                <w:color w:val="000000"/>
                <w:sz w:val="20"/>
                <w:szCs w:val="20"/>
                <w:lang w:eastAsia="es-CO"/>
              </w:rPr>
            </w:pPr>
            <w:r w:rsidRPr="002F03A5">
              <w:rPr>
                <w:rFonts w:ascii="Verdana" w:hAnsi="Verdana" w:cs="Arial"/>
                <w:color w:val="000000"/>
                <w:sz w:val="20"/>
                <w:szCs w:val="20"/>
                <w:lang w:eastAsia="es-CO"/>
              </w:rPr>
              <w:t>81</w:t>
            </w:r>
          </w:p>
        </w:tc>
      </w:tr>
    </w:tbl>
    <w:p w14:paraId="41150553" w14:textId="77777777" w:rsidR="003122F1" w:rsidRDefault="003122F1" w:rsidP="004C212C">
      <w:pPr>
        <w:ind w:left="708"/>
        <w:jc w:val="center"/>
        <w:rPr>
          <w:rFonts w:ascii="Verdana" w:hAnsi="Verdana" w:cs="Arial"/>
          <w:sz w:val="16"/>
          <w:szCs w:val="16"/>
          <w:lang w:val="es-MX"/>
        </w:rPr>
      </w:pPr>
    </w:p>
    <w:p w14:paraId="6C605762" w14:textId="7CE6E611" w:rsidR="009F1CFF" w:rsidRDefault="004C212C" w:rsidP="004C212C">
      <w:pPr>
        <w:ind w:left="708"/>
        <w:jc w:val="center"/>
        <w:rPr>
          <w:rFonts w:ascii="Verdana" w:hAnsi="Verdana" w:cs="Arial"/>
          <w:sz w:val="16"/>
          <w:szCs w:val="16"/>
          <w:lang w:val="es-MX"/>
        </w:rPr>
      </w:pPr>
      <w:r w:rsidRPr="004C212C">
        <w:rPr>
          <w:rFonts w:ascii="Verdana" w:hAnsi="Verdana" w:cs="Arial"/>
          <w:sz w:val="16"/>
          <w:szCs w:val="16"/>
          <w:lang w:val="es-MX"/>
        </w:rPr>
        <w:t>Elaboración</w:t>
      </w:r>
      <w:r w:rsidR="00331533" w:rsidRPr="005C7E10">
        <w:rPr>
          <w:rFonts w:ascii="Verdana" w:hAnsi="Verdana" w:cs="Arial"/>
          <w:sz w:val="16"/>
          <w:szCs w:val="16"/>
          <w:lang w:val="es-MX"/>
        </w:rPr>
        <w:t xml:space="preserve"> propia.</w:t>
      </w:r>
    </w:p>
    <w:p w14:paraId="0D2A33B8" w14:textId="77777777" w:rsidR="004C212C" w:rsidRDefault="004C212C" w:rsidP="004C212C">
      <w:pPr>
        <w:ind w:left="708"/>
        <w:jc w:val="center"/>
        <w:rPr>
          <w:rFonts w:ascii="Verdana" w:hAnsi="Verdana" w:cs="Arial"/>
          <w:sz w:val="16"/>
          <w:szCs w:val="16"/>
          <w:lang w:val="es-MX"/>
        </w:rPr>
      </w:pPr>
    </w:p>
    <w:p w14:paraId="1A999427" w14:textId="77777777" w:rsidR="004C212C" w:rsidRPr="005C7E10" w:rsidRDefault="004C212C" w:rsidP="005C7E10">
      <w:pPr>
        <w:ind w:left="708"/>
        <w:jc w:val="center"/>
        <w:rPr>
          <w:rFonts w:ascii="Verdana" w:hAnsi="Verdana" w:cs="Arial"/>
          <w:sz w:val="16"/>
          <w:szCs w:val="16"/>
          <w:lang w:val="es-MX"/>
        </w:rPr>
      </w:pPr>
    </w:p>
    <w:p w14:paraId="7A176075" w14:textId="14239C35" w:rsidR="00E37291" w:rsidRPr="00E37291" w:rsidRDefault="00E37291" w:rsidP="00E42FDE">
      <w:pPr>
        <w:pStyle w:val="Prrafodelista"/>
        <w:numPr>
          <w:ilvl w:val="0"/>
          <w:numId w:val="56"/>
        </w:numPr>
        <w:rPr>
          <w:rFonts w:ascii="Verdana" w:hAnsi="Verdana" w:cs="Arial"/>
          <w:lang w:val="es-MX"/>
        </w:rPr>
      </w:pPr>
      <w:r w:rsidRPr="00E37291">
        <w:rPr>
          <w:rFonts w:ascii="Verdana" w:hAnsi="Verdana" w:cs="Arial"/>
          <w:lang w:val="es-MX"/>
        </w:rPr>
        <w:t xml:space="preserve">Analizando la muestra conforme con los rangos de presupuesto en SMMLV conforme con las matrices de experiencia, se puede evidenciar que la mayoría de los contratos de la muestra, se encuentran por debajo de los &lt;4.000 </w:t>
      </w:r>
      <w:r w:rsidR="0050584C" w:rsidRPr="00E37291">
        <w:rPr>
          <w:rFonts w:ascii="Verdana" w:hAnsi="Verdana" w:cs="Arial"/>
          <w:lang w:val="es-MX"/>
        </w:rPr>
        <w:t>SMMLV tal</w:t>
      </w:r>
      <w:r w:rsidRPr="00E37291">
        <w:rPr>
          <w:rFonts w:ascii="Verdana" w:hAnsi="Verdana" w:cs="Arial"/>
          <w:lang w:val="es-MX"/>
        </w:rPr>
        <w:t xml:space="preserve"> y como se puede evidenciar en la siguiente gráfica:</w:t>
      </w:r>
    </w:p>
    <w:p w14:paraId="5D5A3D59" w14:textId="01BC7AA7" w:rsidR="004C212C" w:rsidRPr="005C7E10" w:rsidRDefault="004C212C" w:rsidP="005C7E10">
      <w:pPr>
        <w:pStyle w:val="Descripcin"/>
        <w:jc w:val="center"/>
        <w:rPr>
          <w:rFonts w:ascii="Verdana" w:hAnsi="Verdana" w:cs="Arial"/>
          <w:b w:val="0"/>
          <w:bCs w:val="0"/>
        </w:rPr>
      </w:pPr>
      <w:bookmarkStart w:id="37" w:name="_Toc180136795"/>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28</w:t>
      </w:r>
      <w:r w:rsidRPr="005C7E10">
        <w:rPr>
          <w:rFonts w:ascii="Verdana" w:hAnsi="Verdana"/>
          <w:sz w:val="22"/>
          <w:szCs w:val="22"/>
        </w:rPr>
        <w:fldChar w:fldCharType="end"/>
      </w:r>
      <w:r w:rsidRPr="005C7E10">
        <w:rPr>
          <w:rFonts w:ascii="Verdana" w:hAnsi="Verdana"/>
          <w:sz w:val="22"/>
          <w:szCs w:val="22"/>
        </w:rPr>
        <w:t>. Presupuesto en SMMLV</w:t>
      </w:r>
      <w:bookmarkEnd w:id="37"/>
    </w:p>
    <w:tbl>
      <w:tblPr>
        <w:tblW w:w="4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1885"/>
      </w:tblGrid>
      <w:tr w:rsidR="0050584C" w:rsidRPr="0050584C" w14:paraId="458C17D9" w14:textId="77777777" w:rsidTr="0044671B">
        <w:trPr>
          <w:trHeight w:val="20"/>
          <w:tblHeader/>
          <w:jc w:val="center"/>
        </w:trPr>
        <w:tc>
          <w:tcPr>
            <w:tcW w:w="2547" w:type="dxa"/>
            <w:shd w:val="clear" w:color="auto" w:fill="F2F2F2" w:themeFill="background1" w:themeFillShade="F2"/>
            <w:noWrap/>
            <w:vAlign w:val="center"/>
            <w:hideMark/>
          </w:tcPr>
          <w:p w14:paraId="08FDCA0E" w14:textId="77777777" w:rsidR="0050584C" w:rsidRPr="0050584C" w:rsidRDefault="0050584C" w:rsidP="0044671B">
            <w:pPr>
              <w:jc w:val="center"/>
              <w:rPr>
                <w:rFonts w:ascii="Verdana" w:hAnsi="Verdana" w:cs="Arial"/>
                <w:b/>
                <w:bCs/>
                <w:color w:val="000000"/>
                <w:sz w:val="20"/>
                <w:szCs w:val="20"/>
                <w:lang w:eastAsia="es-CO"/>
              </w:rPr>
            </w:pPr>
            <w:r w:rsidRPr="0050584C">
              <w:rPr>
                <w:rFonts w:ascii="Verdana" w:hAnsi="Verdana" w:cs="Arial"/>
                <w:b/>
                <w:bCs/>
                <w:color w:val="000000"/>
                <w:sz w:val="20"/>
                <w:szCs w:val="20"/>
                <w:lang w:eastAsia="es-CO"/>
              </w:rPr>
              <w:t>Rango de SMMLV</w:t>
            </w:r>
          </w:p>
        </w:tc>
        <w:tc>
          <w:tcPr>
            <w:tcW w:w="1885" w:type="dxa"/>
            <w:shd w:val="clear" w:color="auto" w:fill="F2F2F2" w:themeFill="background1" w:themeFillShade="F2"/>
            <w:noWrap/>
            <w:vAlign w:val="center"/>
            <w:hideMark/>
          </w:tcPr>
          <w:p w14:paraId="0B3D30F7" w14:textId="77777777" w:rsidR="0050584C" w:rsidRPr="0050584C" w:rsidRDefault="0050584C" w:rsidP="0044671B">
            <w:pPr>
              <w:jc w:val="center"/>
              <w:rPr>
                <w:rFonts w:ascii="Verdana" w:hAnsi="Verdana" w:cs="Arial"/>
                <w:b/>
                <w:bCs/>
                <w:color w:val="000000"/>
                <w:sz w:val="20"/>
                <w:szCs w:val="20"/>
                <w:lang w:eastAsia="es-CO"/>
              </w:rPr>
            </w:pPr>
            <w:r w:rsidRPr="0050584C">
              <w:rPr>
                <w:rFonts w:ascii="Verdana" w:hAnsi="Verdana" w:cs="Arial"/>
                <w:b/>
                <w:bCs/>
                <w:color w:val="000000"/>
                <w:sz w:val="20"/>
                <w:szCs w:val="20"/>
                <w:lang w:eastAsia="es-CO"/>
              </w:rPr>
              <w:t>Cantidad de Contrato</w:t>
            </w:r>
          </w:p>
        </w:tc>
      </w:tr>
      <w:tr w:rsidR="0050584C" w:rsidRPr="0050584C" w14:paraId="591E2E11" w14:textId="77777777" w:rsidTr="0044671B">
        <w:trPr>
          <w:trHeight w:val="20"/>
          <w:jc w:val="center"/>
        </w:trPr>
        <w:tc>
          <w:tcPr>
            <w:tcW w:w="2547" w:type="dxa"/>
            <w:shd w:val="clear" w:color="auto" w:fill="auto"/>
            <w:noWrap/>
            <w:vAlign w:val="bottom"/>
            <w:hideMark/>
          </w:tcPr>
          <w:p w14:paraId="2A7BA870" w14:textId="77777777" w:rsidR="0050584C" w:rsidRPr="0050584C" w:rsidRDefault="0050584C" w:rsidP="0044671B">
            <w:pPr>
              <w:rPr>
                <w:rFonts w:ascii="Verdana" w:hAnsi="Verdana" w:cs="Arial"/>
                <w:color w:val="000000"/>
                <w:sz w:val="20"/>
                <w:szCs w:val="20"/>
                <w:lang w:eastAsia="es-CO"/>
              </w:rPr>
            </w:pPr>
            <w:r w:rsidRPr="0050584C">
              <w:rPr>
                <w:rFonts w:ascii="Verdana" w:hAnsi="Verdana" w:cs="Arial"/>
                <w:color w:val="000000"/>
                <w:sz w:val="20"/>
                <w:szCs w:val="20"/>
                <w:lang w:eastAsia="es-CO"/>
              </w:rPr>
              <w:t>&lt;300 smmlv</w:t>
            </w:r>
          </w:p>
        </w:tc>
        <w:tc>
          <w:tcPr>
            <w:tcW w:w="1885" w:type="dxa"/>
            <w:shd w:val="clear" w:color="auto" w:fill="auto"/>
            <w:noWrap/>
            <w:vAlign w:val="bottom"/>
            <w:hideMark/>
          </w:tcPr>
          <w:p w14:paraId="64F9AAE6" w14:textId="77777777" w:rsidR="0050584C" w:rsidRPr="0050584C" w:rsidRDefault="0050584C" w:rsidP="0044671B">
            <w:pPr>
              <w:jc w:val="right"/>
              <w:rPr>
                <w:rFonts w:ascii="Verdana" w:hAnsi="Verdana" w:cs="Arial"/>
                <w:color w:val="000000"/>
                <w:sz w:val="20"/>
                <w:szCs w:val="20"/>
                <w:lang w:eastAsia="es-CO"/>
              </w:rPr>
            </w:pPr>
            <w:r w:rsidRPr="0050584C">
              <w:rPr>
                <w:rFonts w:ascii="Verdana" w:hAnsi="Verdana" w:cs="Arial"/>
                <w:color w:val="000000"/>
                <w:sz w:val="20"/>
                <w:szCs w:val="20"/>
                <w:lang w:eastAsia="es-CO"/>
              </w:rPr>
              <w:t>1684</w:t>
            </w:r>
          </w:p>
        </w:tc>
      </w:tr>
      <w:tr w:rsidR="0050584C" w:rsidRPr="0050584C" w14:paraId="61490CD5" w14:textId="77777777" w:rsidTr="0044671B">
        <w:trPr>
          <w:trHeight w:val="20"/>
          <w:jc w:val="center"/>
        </w:trPr>
        <w:tc>
          <w:tcPr>
            <w:tcW w:w="2547" w:type="dxa"/>
            <w:shd w:val="clear" w:color="auto" w:fill="auto"/>
            <w:noWrap/>
            <w:vAlign w:val="bottom"/>
            <w:hideMark/>
          </w:tcPr>
          <w:p w14:paraId="75DA2D52" w14:textId="77777777" w:rsidR="0050584C" w:rsidRPr="0050584C" w:rsidRDefault="0050584C" w:rsidP="0044671B">
            <w:pPr>
              <w:rPr>
                <w:rFonts w:ascii="Verdana" w:hAnsi="Verdana" w:cs="Arial"/>
                <w:color w:val="000000"/>
                <w:sz w:val="20"/>
                <w:szCs w:val="20"/>
                <w:lang w:eastAsia="es-CO"/>
              </w:rPr>
            </w:pPr>
            <w:r w:rsidRPr="0050584C">
              <w:rPr>
                <w:rFonts w:ascii="Verdana" w:hAnsi="Verdana" w:cs="Arial"/>
                <w:color w:val="000000"/>
                <w:sz w:val="20"/>
                <w:szCs w:val="20"/>
                <w:lang w:eastAsia="es-CO"/>
              </w:rPr>
              <w:t>&gt;=300 y 800 smmlv</w:t>
            </w:r>
          </w:p>
        </w:tc>
        <w:tc>
          <w:tcPr>
            <w:tcW w:w="1885" w:type="dxa"/>
            <w:shd w:val="clear" w:color="auto" w:fill="auto"/>
            <w:noWrap/>
            <w:vAlign w:val="bottom"/>
            <w:hideMark/>
          </w:tcPr>
          <w:p w14:paraId="4E099940" w14:textId="77777777" w:rsidR="0050584C" w:rsidRPr="0050584C" w:rsidRDefault="0050584C" w:rsidP="0044671B">
            <w:pPr>
              <w:jc w:val="right"/>
              <w:rPr>
                <w:rFonts w:ascii="Verdana" w:hAnsi="Verdana" w:cs="Arial"/>
                <w:color w:val="000000"/>
                <w:sz w:val="20"/>
                <w:szCs w:val="20"/>
                <w:lang w:eastAsia="es-CO"/>
              </w:rPr>
            </w:pPr>
            <w:r w:rsidRPr="0050584C">
              <w:rPr>
                <w:rFonts w:ascii="Verdana" w:hAnsi="Verdana" w:cs="Arial"/>
                <w:color w:val="000000"/>
                <w:sz w:val="20"/>
                <w:szCs w:val="20"/>
                <w:lang w:eastAsia="es-CO"/>
              </w:rPr>
              <w:t>1012</w:t>
            </w:r>
          </w:p>
        </w:tc>
      </w:tr>
      <w:tr w:rsidR="0050584C" w:rsidRPr="0050584C" w14:paraId="0B25844D" w14:textId="77777777" w:rsidTr="0044671B">
        <w:trPr>
          <w:trHeight w:val="20"/>
          <w:jc w:val="center"/>
        </w:trPr>
        <w:tc>
          <w:tcPr>
            <w:tcW w:w="2547" w:type="dxa"/>
            <w:shd w:val="clear" w:color="auto" w:fill="auto"/>
            <w:noWrap/>
            <w:vAlign w:val="bottom"/>
            <w:hideMark/>
          </w:tcPr>
          <w:p w14:paraId="4A7E2663" w14:textId="77777777" w:rsidR="0050584C" w:rsidRPr="0050584C" w:rsidRDefault="0050584C" w:rsidP="0044671B">
            <w:pPr>
              <w:rPr>
                <w:rFonts w:ascii="Verdana" w:hAnsi="Verdana" w:cs="Arial"/>
                <w:color w:val="000000"/>
                <w:sz w:val="20"/>
                <w:szCs w:val="20"/>
                <w:lang w:eastAsia="es-CO"/>
              </w:rPr>
            </w:pPr>
            <w:r w:rsidRPr="0050584C">
              <w:rPr>
                <w:rFonts w:ascii="Verdana" w:hAnsi="Verdana" w:cs="Arial"/>
                <w:color w:val="000000"/>
                <w:sz w:val="20"/>
                <w:szCs w:val="20"/>
                <w:lang w:eastAsia="es-CO"/>
              </w:rPr>
              <w:t>&gt;=801 y 1.500 smmlv</w:t>
            </w:r>
          </w:p>
        </w:tc>
        <w:tc>
          <w:tcPr>
            <w:tcW w:w="1885" w:type="dxa"/>
            <w:shd w:val="clear" w:color="auto" w:fill="auto"/>
            <w:noWrap/>
            <w:vAlign w:val="bottom"/>
            <w:hideMark/>
          </w:tcPr>
          <w:p w14:paraId="64938A17" w14:textId="77777777" w:rsidR="0050584C" w:rsidRPr="0050584C" w:rsidRDefault="0050584C" w:rsidP="0044671B">
            <w:pPr>
              <w:jc w:val="right"/>
              <w:rPr>
                <w:rFonts w:ascii="Verdana" w:hAnsi="Verdana" w:cs="Arial"/>
                <w:color w:val="000000"/>
                <w:sz w:val="20"/>
                <w:szCs w:val="20"/>
                <w:lang w:eastAsia="es-CO"/>
              </w:rPr>
            </w:pPr>
            <w:r w:rsidRPr="0050584C">
              <w:rPr>
                <w:rFonts w:ascii="Verdana" w:hAnsi="Verdana" w:cs="Arial"/>
                <w:color w:val="000000"/>
                <w:sz w:val="20"/>
                <w:szCs w:val="20"/>
                <w:lang w:eastAsia="es-CO"/>
              </w:rPr>
              <w:t>422</w:t>
            </w:r>
          </w:p>
        </w:tc>
      </w:tr>
      <w:tr w:rsidR="0050584C" w:rsidRPr="0050584C" w14:paraId="4425DE65" w14:textId="77777777" w:rsidTr="0044671B">
        <w:trPr>
          <w:trHeight w:val="20"/>
          <w:jc w:val="center"/>
        </w:trPr>
        <w:tc>
          <w:tcPr>
            <w:tcW w:w="2547" w:type="dxa"/>
            <w:shd w:val="clear" w:color="auto" w:fill="auto"/>
            <w:noWrap/>
            <w:vAlign w:val="bottom"/>
            <w:hideMark/>
          </w:tcPr>
          <w:p w14:paraId="39513FAF" w14:textId="77777777" w:rsidR="0050584C" w:rsidRPr="0050584C" w:rsidRDefault="0050584C" w:rsidP="0044671B">
            <w:pPr>
              <w:rPr>
                <w:rFonts w:ascii="Verdana" w:hAnsi="Verdana" w:cs="Arial"/>
                <w:color w:val="000000"/>
                <w:sz w:val="20"/>
                <w:szCs w:val="20"/>
                <w:lang w:eastAsia="es-CO"/>
              </w:rPr>
            </w:pPr>
            <w:r w:rsidRPr="0050584C">
              <w:rPr>
                <w:rFonts w:ascii="Verdana" w:hAnsi="Verdana" w:cs="Arial"/>
                <w:color w:val="000000"/>
                <w:sz w:val="20"/>
                <w:szCs w:val="20"/>
                <w:lang w:eastAsia="es-CO"/>
              </w:rPr>
              <w:t>&gt;=1.501 y 4.000 smmlv</w:t>
            </w:r>
          </w:p>
        </w:tc>
        <w:tc>
          <w:tcPr>
            <w:tcW w:w="1885" w:type="dxa"/>
            <w:shd w:val="clear" w:color="auto" w:fill="auto"/>
            <w:noWrap/>
            <w:vAlign w:val="bottom"/>
            <w:hideMark/>
          </w:tcPr>
          <w:p w14:paraId="7D0501E0" w14:textId="77777777" w:rsidR="0050584C" w:rsidRPr="0050584C" w:rsidRDefault="0050584C" w:rsidP="0044671B">
            <w:pPr>
              <w:jc w:val="right"/>
              <w:rPr>
                <w:rFonts w:ascii="Verdana" w:hAnsi="Verdana" w:cs="Arial"/>
                <w:color w:val="000000"/>
                <w:sz w:val="20"/>
                <w:szCs w:val="20"/>
                <w:lang w:eastAsia="es-CO"/>
              </w:rPr>
            </w:pPr>
            <w:r w:rsidRPr="0050584C">
              <w:rPr>
                <w:rFonts w:ascii="Verdana" w:hAnsi="Verdana" w:cs="Arial"/>
                <w:color w:val="000000"/>
                <w:sz w:val="20"/>
                <w:szCs w:val="20"/>
                <w:lang w:eastAsia="es-CO"/>
              </w:rPr>
              <w:t>352</w:t>
            </w:r>
          </w:p>
        </w:tc>
      </w:tr>
      <w:tr w:rsidR="0050584C" w:rsidRPr="0050584C" w14:paraId="072D42BD" w14:textId="77777777" w:rsidTr="0044671B">
        <w:trPr>
          <w:trHeight w:val="20"/>
          <w:jc w:val="center"/>
        </w:trPr>
        <w:tc>
          <w:tcPr>
            <w:tcW w:w="2547" w:type="dxa"/>
            <w:shd w:val="clear" w:color="auto" w:fill="auto"/>
            <w:noWrap/>
            <w:vAlign w:val="bottom"/>
            <w:hideMark/>
          </w:tcPr>
          <w:p w14:paraId="7BD19172" w14:textId="77777777" w:rsidR="0050584C" w:rsidRPr="0050584C" w:rsidRDefault="0050584C" w:rsidP="0044671B">
            <w:pPr>
              <w:rPr>
                <w:rFonts w:ascii="Verdana" w:hAnsi="Verdana" w:cs="Arial"/>
                <w:color w:val="000000"/>
                <w:sz w:val="20"/>
                <w:szCs w:val="20"/>
                <w:lang w:eastAsia="es-CO"/>
              </w:rPr>
            </w:pPr>
            <w:r w:rsidRPr="0050584C">
              <w:rPr>
                <w:rFonts w:ascii="Verdana" w:hAnsi="Verdana" w:cs="Arial"/>
                <w:color w:val="000000"/>
                <w:sz w:val="20"/>
                <w:szCs w:val="20"/>
                <w:lang w:eastAsia="es-CO"/>
              </w:rPr>
              <w:t>&gt;= 4.001</w:t>
            </w:r>
          </w:p>
        </w:tc>
        <w:tc>
          <w:tcPr>
            <w:tcW w:w="1885" w:type="dxa"/>
            <w:shd w:val="clear" w:color="auto" w:fill="auto"/>
            <w:noWrap/>
            <w:vAlign w:val="bottom"/>
            <w:hideMark/>
          </w:tcPr>
          <w:p w14:paraId="31C5AA91" w14:textId="77777777" w:rsidR="0050584C" w:rsidRPr="0050584C" w:rsidRDefault="0050584C" w:rsidP="0044671B">
            <w:pPr>
              <w:jc w:val="right"/>
              <w:rPr>
                <w:rFonts w:ascii="Verdana" w:hAnsi="Verdana" w:cs="Arial"/>
                <w:color w:val="000000"/>
                <w:sz w:val="20"/>
                <w:szCs w:val="20"/>
                <w:lang w:eastAsia="es-CO"/>
              </w:rPr>
            </w:pPr>
            <w:r w:rsidRPr="0050584C">
              <w:rPr>
                <w:rFonts w:ascii="Verdana" w:hAnsi="Verdana" w:cs="Arial"/>
                <w:color w:val="000000"/>
                <w:sz w:val="20"/>
                <w:szCs w:val="20"/>
                <w:lang w:eastAsia="es-CO"/>
              </w:rPr>
              <w:t>310</w:t>
            </w:r>
          </w:p>
        </w:tc>
      </w:tr>
      <w:tr w:rsidR="0050584C" w:rsidRPr="0050584C" w14:paraId="7DC056B8" w14:textId="77777777" w:rsidTr="0044671B">
        <w:trPr>
          <w:trHeight w:val="20"/>
          <w:jc w:val="center"/>
        </w:trPr>
        <w:tc>
          <w:tcPr>
            <w:tcW w:w="2547" w:type="dxa"/>
            <w:shd w:val="clear" w:color="auto" w:fill="F2F2F2" w:themeFill="background1" w:themeFillShade="F2"/>
            <w:noWrap/>
            <w:vAlign w:val="bottom"/>
            <w:hideMark/>
          </w:tcPr>
          <w:p w14:paraId="6E65F9C4" w14:textId="77777777" w:rsidR="0050584C" w:rsidRPr="0050584C" w:rsidRDefault="0050584C" w:rsidP="0044671B">
            <w:pPr>
              <w:rPr>
                <w:rFonts w:ascii="Verdana" w:hAnsi="Verdana" w:cs="Arial"/>
                <w:b/>
                <w:bCs/>
                <w:color w:val="000000"/>
                <w:sz w:val="20"/>
                <w:szCs w:val="20"/>
                <w:lang w:eastAsia="es-CO"/>
              </w:rPr>
            </w:pPr>
            <w:proofErr w:type="gramStart"/>
            <w:r w:rsidRPr="0050584C">
              <w:rPr>
                <w:rFonts w:ascii="Verdana" w:hAnsi="Verdana" w:cs="Arial"/>
                <w:b/>
                <w:bCs/>
                <w:color w:val="000000"/>
                <w:sz w:val="20"/>
                <w:szCs w:val="20"/>
                <w:lang w:eastAsia="es-CO"/>
              </w:rPr>
              <w:t>Total</w:t>
            </w:r>
            <w:proofErr w:type="gramEnd"/>
            <w:r w:rsidRPr="0050584C">
              <w:rPr>
                <w:rFonts w:ascii="Verdana" w:hAnsi="Verdana" w:cs="Arial"/>
                <w:b/>
                <w:bCs/>
                <w:color w:val="000000"/>
                <w:sz w:val="20"/>
                <w:szCs w:val="20"/>
                <w:lang w:eastAsia="es-CO"/>
              </w:rPr>
              <w:t xml:space="preserve"> general</w:t>
            </w:r>
          </w:p>
        </w:tc>
        <w:tc>
          <w:tcPr>
            <w:tcW w:w="1885" w:type="dxa"/>
            <w:shd w:val="clear" w:color="auto" w:fill="F2F2F2" w:themeFill="background1" w:themeFillShade="F2"/>
            <w:noWrap/>
            <w:vAlign w:val="bottom"/>
            <w:hideMark/>
          </w:tcPr>
          <w:p w14:paraId="592BBB61" w14:textId="77777777" w:rsidR="0050584C" w:rsidRPr="0050584C" w:rsidRDefault="0050584C" w:rsidP="0044671B">
            <w:pPr>
              <w:jc w:val="right"/>
              <w:rPr>
                <w:rFonts w:ascii="Verdana" w:hAnsi="Verdana" w:cs="Arial"/>
                <w:b/>
                <w:bCs/>
                <w:color w:val="000000"/>
                <w:sz w:val="20"/>
                <w:szCs w:val="20"/>
                <w:lang w:eastAsia="es-CO"/>
              </w:rPr>
            </w:pPr>
            <w:r w:rsidRPr="0050584C">
              <w:rPr>
                <w:rFonts w:ascii="Verdana" w:hAnsi="Verdana" w:cs="Arial"/>
                <w:b/>
                <w:bCs/>
                <w:color w:val="000000"/>
                <w:sz w:val="20"/>
                <w:szCs w:val="20"/>
                <w:lang w:eastAsia="es-CO"/>
              </w:rPr>
              <w:t>3780</w:t>
            </w:r>
          </w:p>
        </w:tc>
      </w:tr>
    </w:tbl>
    <w:p w14:paraId="26229246" w14:textId="5E9984F7" w:rsidR="00620AB4" w:rsidRPr="00A81BAA" w:rsidRDefault="000E160A" w:rsidP="00FE2C92">
      <w:pPr>
        <w:pStyle w:val="Prrafodelista"/>
        <w:spacing w:after="200" w:line="276" w:lineRule="auto"/>
        <w:ind w:left="1068"/>
        <w:contextualSpacing w:val="0"/>
        <w:jc w:val="center"/>
        <w:rPr>
          <w:rFonts w:ascii="Verdana" w:hAnsi="Verdana" w:cs="Arial"/>
          <w:sz w:val="16"/>
          <w:szCs w:val="16"/>
          <w:lang w:val="es-MX"/>
        </w:rPr>
      </w:pPr>
      <w:r w:rsidRPr="00A81BAA">
        <w:rPr>
          <w:rFonts w:ascii="Verdana" w:hAnsi="Verdana" w:cs="Arial"/>
          <w:sz w:val="16"/>
          <w:szCs w:val="16"/>
          <w:lang w:val="es-MX"/>
        </w:rPr>
        <w:t>Elaboración propia</w:t>
      </w:r>
    </w:p>
    <w:p w14:paraId="7FC46F1E" w14:textId="77777777" w:rsidR="00785A07" w:rsidRPr="00785A07" w:rsidRDefault="00785A07" w:rsidP="00785A07">
      <w:pPr>
        <w:pStyle w:val="Descripcin"/>
        <w:jc w:val="center"/>
        <w:rPr>
          <w:rFonts w:ascii="Verdana" w:hAnsi="Verdana" w:cs="Arial"/>
          <w:b w:val="0"/>
          <w:bCs w:val="0"/>
          <w:sz w:val="22"/>
          <w:szCs w:val="22"/>
          <w:lang w:val="es-MX" w:eastAsia="es-CO"/>
        </w:rPr>
      </w:pPr>
    </w:p>
    <w:p w14:paraId="2DE7BD59" w14:textId="77777777" w:rsidR="00785A07" w:rsidRPr="00785A07" w:rsidRDefault="00785A07" w:rsidP="00E42FDE">
      <w:pPr>
        <w:pStyle w:val="Descripcin"/>
        <w:numPr>
          <w:ilvl w:val="0"/>
          <w:numId w:val="56"/>
        </w:numPr>
        <w:jc w:val="both"/>
        <w:rPr>
          <w:rFonts w:ascii="Verdana" w:hAnsi="Verdana" w:cs="Arial"/>
          <w:b w:val="0"/>
          <w:bCs w:val="0"/>
          <w:sz w:val="22"/>
          <w:szCs w:val="22"/>
          <w:lang w:val="es-MX" w:eastAsia="es-CO"/>
        </w:rPr>
      </w:pPr>
      <w:r w:rsidRPr="00785A07">
        <w:rPr>
          <w:rFonts w:ascii="Verdana" w:hAnsi="Verdana" w:cs="Arial"/>
          <w:b w:val="0"/>
          <w:bCs w:val="0"/>
          <w:sz w:val="22"/>
          <w:szCs w:val="22"/>
          <w:lang w:val="es-MX" w:eastAsia="es-CO"/>
        </w:rPr>
        <w:t>Del total de la muestra analizada, 1.237 contratos fueron suscritos bajo una figura plural (consorcios), tal y como se puede evidenciar a continuación:</w:t>
      </w:r>
    </w:p>
    <w:p w14:paraId="38EA20B7" w14:textId="42130523" w:rsidR="00960AB5" w:rsidRPr="00960AB5" w:rsidRDefault="00960AB5" w:rsidP="005C7E10">
      <w:pPr>
        <w:pStyle w:val="Descripcin"/>
        <w:jc w:val="center"/>
        <w:rPr>
          <w:rFonts w:ascii="Verdana" w:hAnsi="Verdana" w:cs="Arial"/>
        </w:rPr>
      </w:pPr>
      <w:bookmarkStart w:id="38" w:name="_Toc180136796"/>
      <w:r w:rsidRPr="005C7E10">
        <w:rPr>
          <w:rFonts w:ascii="Verdana" w:hAnsi="Verdana" w:cs="Arial"/>
          <w:sz w:val="22"/>
          <w:szCs w:val="22"/>
          <w:lang w:val="es-CO" w:eastAsia="es-CO"/>
        </w:rPr>
        <w:t xml:space="preserve">Gráfica </w:t>
      </w:r>
      <w:r w:rsidRPr="005C7E10">
        <w:rPr>
          <w:rFonts w:ascii="Verdana" w:hAnsi="Verdana" w:cs="Arial"/>
          <w:sz w:val="22"/>
          <w:szCs w:val="22"/>
          <w:lang w:val="es-CO" w:eastAsia="es-CO"/>
        </w:rPr>
        <w:fldChar w:fldCharType="begin"/>
      </w:r>
      <w:r w:rsidRPr="005C7E10">
        <w:rPr>
          <w:rFonts w:ascii="Verdana" w:hAnsi="Verdana" w:cs="Arial"/>
          <w:sz w:val="22"/>
          <w:szCs w:val="22"/>
          <w:lang w:val="es-CO" w:eastAsia="es-CO"/>
        </w:rPr>
        <w:instrText xml:space="preserve"> SEQ Gráfica \* ARABIC </w:instrText>
      </w:r>
      <w:r w:rsidRPr="005C7E10">
        <w:rPr>
          <w:rFonts w:ascii="Verdana" w:hAnsi="Verdana" w:cs="Arial"/>
          <w:sz w:val="22"/>
          <w:szCs w:val="22"/>
          <w:lang w:val="es-CO" w:eastAsia="es-CO"/>
        </w:rPr>
        <w:fldChar w:fldCharType="separate"/>
      </w:r>
      <w:r w:rsidR="00BC476F">
        <w:rPr>
          <w:rFonts w:ascii="Verdana" w:hAnsi="Verdana" w:cs="Arial"/>
          <w:noProof/>
          <w:sz w:val="22"/>
          <w:szCs w:val="22"/>
          <w:lang w:val="es-CO" w:eastAsia="es-CO"/>
        </w:rPr>
        <w:t>29</w:t>
      </w:r>
      <w:r w:rsidRPr="005C7E10">
        <w:rPr>
          <w:rFonts w:ascii="Verdana" w:hAnsi="Verdana" w:cs="Arial"/>
          <w:sz w:val="22"/>
          <w:szCs w:val="22"/>
          <w:lang w:val="es-CO" w:eastAsia="es-CO"/>
        </w:rPr>
        <w:fldChar w:fldCharType="end"/>
      </w:r>
      <w:r w:rsidRPr="005C7E10">
        <w:rPr>
          <w:rFonts w:ascii="Verdana" w:hAnsi="Verdana" w:cs="Arial"/>
          <w:sz w:val="22"/>
          <w:szCs w:val="22"/>
          <w:lang w:val="es-CO" w:eastAsia="es-CO"/>
        </w:rPr>
        <w:t>. Tipología de Contratista</w:t>
      </w:r>
      <w:bookmarkEnd w:id="38"/>
    </w:p>
    <w:p w14:paraId="2CE642B2" w14:textId="04AD1EBE" w:rsidR="009F1CFF" w:rsidRPr="00A81BAA" w:rsidRDefault="005318C9" w:rsidP="009F1CFF">
      <w:pPr>
        <w:pStyle w:val="Prrafodelista"/>
        <w:ind w:left="567"/>
        <w:jc w:val="center"/>
        <w:rPr>
          <w:rFonts w:ascii="Verdana" w:hAnsi="Verdana" w:cs="Arial"/>
          <w:b/>
          <w:bCs/>
          <w:lang w:val="es-MX"/>
        </w:rPr>
      </w:pPr>
      <w:r>
        <w:rPr>
          <w:noProof/>
          <w14:ligatures w14:val="standardContextual"/>
        </w:rPr>
        <w:lastRenderedPageBreak/>
        <w:drawing>
          <wp:inline distT="0" distB="0" distL="0" distR="0" wp14:anchorId="00811D71" wp14:editId="7453374A">
            <wp:extent cx="3713259" cy="1987550"/>
            <wp:effectExtent l="0" t="0" r="1905" b="12700"/>
            <wp:docPr id="1092085352" name="Gráfico 1">
              <a:extLst xmlns:a="http://schemas.openxmlformats.org/drawingml/2006/main">
                <a:ext uri="{FF2B5EF4-FFF2-40B4-BE49-F238E27FC236}">
                  <a16:creationId xmlns:a16="http://schemas.microsoft.com/office/drawing/2014/main" id="{2C93D438-915E-07D2-5CCB-ACB1F19A19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7E52522" w14:textId="76B716D5" w:rsidR="00FE0A4E" w:rsidRPr="00A81BAA" w:rsidRDefault="00FE0A4E" w:rsidP="00FE2C92">
      <w:pPr>
        <w:pStyle w:val="Prrafodelista"/>
        <w:spacing w:after="200" w:line="276" w:lineRule="auto"/>
        <w:ind w:left="1068"/>
        <w:contextualSpacing w:val="0"/>
        <w:jc w:val="center"/>
        <w:rPr>
          <w:rFonts w:ascii="Verdana" w:hAnsi="Verdana" w:cs="Arial"/>
          <w:sz w:val="16"/>
          <w:szCs w:val="16"/>
          <w:lang w:val="es-MX"/>
        </w:rPr>
      </w:pPr>
      <w:r w:rsidRPr="00A81BAA">
        <w:rPr>
          <w:rFonts w:ascii="Verdana" w:hAnsi="Verdana" w:cs="Arial"/>
          <w:sz w:val="16"/>
          <w:szCs w:val="16"/>
          <w:lang w:val="es-MX"/>
        </w:rPr>
        <w:t>Elaboración propia</w:t>
      </w:r>
    </w:p>
    <w:p w14:paraId="6548426F" w14:textId="77777777" w:rsidR="00FC4DFC" w:rsidRPr="00FC4DFC" w:rsidRDefault="00FC4DFC" w:rsidP="00E42FDE">
      <w:pPr>
        <w:pStyle w:val="Prrafodelista"/>
        <w:numPr>
          <w:ilvl w:val="0"/>
          <w:numId w:val="56"/>
        </w:numPr>
        <w:rPr>
          <w:rFonts w:ascii="Verdana" w:hAnsi="Verdana" w:cs="Arial"/>
          <w:lang w:val="es-MX"/>
        </w:rPr>
      </w:pPr>
      <w:r w:rsidRPr="00FC4DFC">
        <w:rPr>
          <w:rFonts w:ascii="Verdana" w:hAnsi="Verdana" w:cs="Arial"/>
          <w:lang w:val="es-MX"/>
        </w:rPr>
        <w:t>Si se limita el análisis a aquellos contratos de la muestra suscritos por un valor mayor o igual a los 4.000 SMMLV, se puede identificar que la mayoría de los contratos (253) fueron suscritos bajo una figura plural (consorcios o uniones temporales), tal y como se puede evidenciar a continuación:</w:t>
      </w:r>
    </w:p>
    <w:p w14:paraId="6C4683C9" w14:textId="43635DEB" w:rsidR="00960AB5" w:rsidRPr="0088480D" w:rsidRDefault="0088480D" w:rsidP="005C7E10">
      <w:pPr>
        <w:pStyle w:val="Descripcin"/>
        <w:jc w:val="center"/>
        <w:rPr>
          <w:rFonts w:ascii="Verdana" w:hAnsi="Verdana" w:cs="Arial"/>
        </w:rPr>
      </w:pPr>
      <w:bookmarkStart w:id="39" w:name="_Toc180136797"/>
      <w:r w:rsidRPr="005C7E10">
        <w:rPr>
          <w:rFonts w:ascii="Verdana" w:hAnsi="Verdana" w:cs="Arial"/>
          <w:sz w:val="22"/>
          <w:szCs w:val="22"/>
          <w:lang w:val="es-CO" w:eastAsia="es-CO"/>
        </w:rPr>
        <w:t xml:space="preserve">Gráfica </w:t>
      </w:r>
      <w:r w:rsidRPr="005C7E10">
        <w:rPr>
          <w:rFonts w:ascii="Verdana" w:hAnsi="Verdana" w:cs="Arial"/>
          <w:sz w:val="22"/>
          <w:szCs w:val="22"/>
          <w:lang w:val="es-CO" w:eastAsia="es-CO"/>
        </w:rPr>
        <w:fldChar w:fldCharType="begin"/>
      </w:r>
      <w:r w:rsidRPr="005C7E10">
        <w:rPr>
          <w:rFonts w:ascii="Verdana" w:hAnsi="Verdana" w:cs="Arial"/>
          <w:sz w:val="22"/>
          <w:szCs w:val="22"/>
          <w:lang w:val="es-CO" w:eastAsia="es-CO"/>
        </w:rPr>
        <w:instrText xml:space="preserve"> SEQ Gráfica \* ARABIC </w:instrText>
      </w:r>
      <w:r w:rsidRPr="005C7E10">
        <w:rPr>
          <w:rFonts w:ascii="Verdana" w:hAnsi="Verdana" w:cs="Arial"/>
          <w:sz w:val="22"/>
          <w:szCs w:val="22"/>
          <w:lang w:val="es-CO" w:eastAsia="es-CO"/>
        </w:rPr>
        <w:fldChar w:fldCharType="separate"/>
      </w:r>
      <w:r w:rsidR="00BC476F">
        <w:rPr>
          <w:rFonts w:ascii="Verdana" w:hAnsi="Verdana" w:cs="Arial"/>
          <w:noProof/>
          <w:sz w:val="22"/>
          <w:szCs w:val="22"/>
          <w:lang w:val="es-CO" w:eastAsia="es-CO"/>
        </w:rPr>
        <w:t>30</w:t>
      </w:r>
      <w:r w:rsidRPr="005C7E10">
        <w:rPr>
          <w:rFonts w:ascii="Verdana" w:hAnsi="Verdana" w:cs="Arial"/>
          <w:sz w:val="22"/>
          <w:szCs w:val="22"/>
          <w:lang w:val="es-CO" w:eastAsia="es-CO"/>
        </w:rPr>
        <w:fldChar w:fldCharType="end"/>
      </w:r>
      <w:r w:rsidRPr="005C7E10">
        <w:rPr>
          <w:rFonts w:ascii="Verdana" w:hAnsi="Verdana" w:cs="Arial"/>
          <w:sz w:val="22"/>
          <w:szCs w:val="22"/>
          <w:lang w:val="es-CO" w:eastAsia="es-CO"/>
        </w:rPr>
        <w:t>. Tipología de Contratista II</w:t>
      </w:r>
      <w:bookmarkEnd w:id="39"/>
    </w:p>
    <w:p w14:paraId="4EE48016" w14:textId="0FC2F10C" w:rsidR="009F1CFF" w:rsidRPr="00A81BAA" w:rsidRDefault="00A83B24" w:rsidP="00A83B24">
      <w:pPr>
        <w:pStyle w:val="Prrafodelista"/>
        <w:ind w:left="1068"/>
        <w:jc w:val="center"/>
        <w:rPr>
          <w:rFonts w:ascii="Verdana" w:hAnsi="Verdana" w:cs="Arial"/>
          <w:b/>
          <w:bCs/>
          <w:lang w:val="es-MX"/>
        </w:rPr>
      </w:pPr>
      <w:r>
        <w:rPr>
          <w:noProof/>
          <w14:ligatures w14:val="standardContextual"/>
        </w:rPr>
        <w:drawing>
          <wp:inline distT="0" distB="0" distL="0" distR="0" wp14:anchorId="44A61FB8" wp14:editId="341B9ED3">
            <wp:extent cx="3915437" cy="1701165"/>
            <wp:effectExtent l="0" t="0" r="8890" b="13335"/>
            <wp:docPr id="76462116" name="Gráfico 1">
              <a:extLst xmlns:a="http://schemas.openxmlformats.org/drawingml/2006/main">
                <a:ext uri="{FF2B5EF4-FFF2-40B4-BE49-F238E27FC236}">
                  <a16:creationId xmlns:a16="http://schemas.microsoft.com/office/drawing/2014/main" id="{031E7828-4FDE-FEE0-8EC5-149262EE2F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A45FDAB" w14:textId="77777777" w:rsidR="008A509D" w:rsidRPr="00A81BAA" w:rsidRDefault="008A509D" w:rsidP="008A509D">
      <w:pPr>
        <w:pStyle w:val="Prrafodelista"/>
        <w:spacing w:after="200" w:line="276" w:lineRule="auto"/>
        <w:ind w:left="1068"/>
        <w:contextualSpacing w:val="0"/>
        <w:jc w:val="center"/>
        <w:rPr>
          <w:rFonts w:ascii="Verdana" w:hAnsi="Verdana" w:cs="Arial"/>
          <w:sz w:val="16"/>
          <w:szCs w:val="16"/>
          <w:lang w:val="es-MX"/>
        </w:rPr>
      </w:pPr>
      <w:r w:rsidRPr="00A81BAA">
        <w:rPr>
          <w:rFonts w:ascii="Verdana" w:hAnsi="Verdana" w:cs="Arial"/>
          <w:sz w:val="16"/>
          <w:szCs w:val="16"/>
          <w:lang w:val="es-MX"/>
        </w:rPr>
        <w:t>Elaboración propia</w:t>
      </w:r>
    </w:p>
    <w:p w14:paraId="2F129DD1" w14:textId="77777777" w:rsidR="009F1CFF" w:rsidRPr="00A81BAA" w:rsidRDefault="009F1CFF" w:rsidP="009F1CFF">
      <w:pPr>
        <w:autoSpaceDE w:val="0"/>
        <w:autoSpaceDN w:val="0"/>
        <w:jc w:val="both"/>
        <w:rPr>
          <w:rFonts w:ascii="Verdana" w:hAnsi="Verdana" w:cs="Arial"/>
          <w:b/>
          <w:bCs/>
          <w:u w:val="single"/>
        </w:rPr>
      </w:pPr>
    </w:p>
    <w:p w14:paraId="69EC7F04" w14:textId="77777777" w:rsidR="005C70BF" w:rsidRPr="005C70BF" w:rsidRDefault="005C70BF" w:rsidP="00E42FDE">
      <w:pPr>
        <w:pStyle w:val="Prrafodelista"/>
        <w:numPr>
          <w:ilvl w:val="0"/>
          <w:numId w:val="60"/>
        </w:numPr>
        <w:autoSpaceDE w:val="0"/>
        <w:autoSpaceDN w:val="0"/>
        <w:spacing w:after="0" w:line="276" w:lineRule="auto"/>
        <w:ind w:left="426"/>
        <w:contextualSpacing w:val="0"/>
        <w:rPr>
          <w:rFonts w:ascii="Verdana" w:hAnsi="Verdana" w:cs="Arial"/>
          <w:lang w:val="es-MX"/>
        </w:rPr>
      </w:pPr>
      <w:r w:rsidRPr="005C70BF">
        <w:rPr>
          <w:rFonts w:ascii="Verdana" w:hAnsi="Verdana" w:cs="Arial"/>
          <w:lang w:val="es-MX"/>
        </w:rPr>
        <w:t>Por otro lado, de acuerdo con la muestra, estos son los 30 principales proveedores que han suscrito los montos más altos de contratos con el Estado para prestar servicios de obra de infraestructura social:</w:t>
      </w:r>
    </w:p>
    <w:p w14:paraId="29A98092" w14:textId="77777777" w:rsidR="009F1CFF" w:rsidRDefault="009F1CFF" w:rsidP="009F1CFF">
      <w:pPr>
        <w:autoSpaceDE w:val="0"/>
        <w:autoSpaceDN w:val="0"/>
        <w:jc w:val="both"/>
        <w:rPr>
          <w:rFonts w:ascii="Verdana" w:hAnsi="Verdana" w:cs="Arial"/>
        </w:rPr>
      </w:pPr>
    </w:p>
    <w:p w14:paraId="66B6212D" w14:textId="70B5D803" w:rsidR="009F1CFF" w:rsidRPr="00D60BD0" w:rsidRDefault="008456DF" w:rsidP="005C7E10">
      <w:pPr>
        <w:pStyle w:val="Descripcin"/>
        <w:spacing w:after="0"/>
        <w:jc w:val="center"/>
        <w:rPr>
          <w:rFonts w:ascii="Verdana" w:hAnsi="Verdana" w:cs="Arial"/>
          <w:lang w:val="es-MX"/>
        </w:rPr>
      </w:pPr>
      <w:bookmarkStart w:id="40" w:name="_Toc180136798"/>
      <w:r w:rsidRPr="005C7E10">
        <w:rPr>
          <w:rFonts w:ascii="Verdana" w:hAnsi="Verdana" w:cs="Arial"/>
          <w:sz w:val="22"/>
          <w:szCs w:val="22"/>
          <w:lang w:val="es-MX"/>
        </w:rPr>
        <w:t xml:space="preserve">Gráfica </w:t>
      </w:r>
      <w:r w:rsidRPr="005C7E10">
        <w:rPr>
          <w:rFonts w:ascii="Verdana" w:hAnsi="Verdana" w:cs="Arial"/>
          <w:sz w:val="22"/>
          <w:szCs w:val="22"/>
          <w:lang w:val="es-MX"/>
        </w:rPr>
        <w:fldChar w:fldCharType="begin"/>
      </w:r>
      <w:r w:rsidRPr="005C7E10">
        <w:rPr>
          <w:rFonts w:ascii="Verdana" w:hAnsi="Verdana" w:cs="Arial"/>
          <w:sz w:val="22"/>
          <w:szCs w:val="22"/>
          <w:lang w:val="es-MX"/>
        </w:rPr>
        <w:instrText xml:space="preserve"> SEQ Gráfica \* ARABIC </w:instrText>
      </w:r>
      <w:r w:rsidRPr="005C7E10">
        <w:rPr>
          <w:rFonts w:ascii="Verdana" w:hAnsi="Verdana" w:cs="Arial"/>
          <w:sz w:val="22"/>
          <w:szCs w:val="22"/>
          <w:lang w:val="es-MX"/>
        </w:rPr>
        <w:fldChar w:fldCharType="separate"/>
      </w:r>
      <w:r w:rsidR="005C70BF">
        <w:rPr>
          <w:rFonts w:ascii="Verdana" w:hAnsi="Verdana" w:cs="Arial"/>
          <w:noProof/>
          <w:sz w:val="22"/>
          <w:szCs w:val="22"/>
          <w:lang w:val="es-MX"/>
        </w:rPr>
        <w:t>31</w:t>
      </w:r>
      <w:r w:rsidRPr="005C7E10">
        <w:rPr>
          <w:rFonts w:ascii="Verdana" w:hAnsi="Verdana" w:cs="Arial"/>
          <w:sz w:val="22"/>
          <w:szCs w:val="22"/>
          <w:lang w:val="es-MX"/>
        </w:rPr>
        <w:fldChar w:fldCharType="end"/>
      </w:r>
      <w:r w:rsidRPr="005C7E10">
        <w:rPr>
          <w:rFonts w:ascii="Verdana" w:hAnsi="Verdana" w:cs="Arial"/>
          <w:sz w:val="22"/>
          <w:szCs w:val="22"/>
          <w:lang w:val="es-MX"/>
        </w:rPr>
        <w:t xml:space="preserve">. Top </w:t>
      </w:r>
      <w:r w:rsidR="00D60BD0">
        <w:rPr>
          <w:rFonts w:ascii="Verdana" w:hAnsi="Verdana" w:cs="Arial"/>
          <w:sz w:val="22"/>
          <w:szCs w:val="22"/>
          <w:lang w:val="es-MX"/>
        </w:rPr>
        <w:t>3</w:t>
      </w:r>
      <w:r w:rsidRPr="005C7E10">
        <w:rPr>
          <w:rFonts w:ascii="Verdana" w:hAnsi="Verdana" w:cs="Arial"/>
          <w:sz w:val="22"/>
          <w:szCs w:val="22"/>
          <w:lang w:val="es-MX"/>
        </w:rPr>
        <w:t>0 de Proveedores por valor de contrato.</w:t>
      </w:r>
      <w:bookmarkEnd w:id="40"/>
    </w:p>
    <w:p w14:paraId="1B499849" w14:textId="77777777" w:rsidR="00D60BD0" w:rsidRDefault="00D60BD0" w:rsidP="009F1CFF">
      <w:pPr>
        <w:autoSpaceDE w:val="0"/>
        <w:autoSpaceDN w:val="0"/>
        <w:jc w:val="both"/>
        <w:rPr>
          <w:rFonts w:ascii="Verdana" w:hAnsi="Verdana"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82"/>
        <w:gridCol w:w="2756"/>
        <w:gridCol w:w="1232"/>
      </w:tblGrid>
      <w:tr w:rsidR="00C47B2A" w:rsidRPr="00C47B2A" w14:paraId="15C76FEA" w14:textId="77777777" w:rsidTr="00C47B2A">
        <w:trPr>
          <w:trHeight w:val="20"/>
          <w:tblHeader/>
          <w:jc w:val="center"/>
        </w:trPr>
        <w:tc>
          <w:tcPr>
            <w:tcW w:w="4182" w:type="dxa"/>
            <w:shd w:val="clear" w:color="auto" w:fill="D9D9D9" w:themeFill="background1" w:themeFillShade="D9"/>
            <w:vAlign w:val="center"/>
            <w:hideMark/>
          </w:tcPr>
          <w:p w14:paraId="2A08F507" w14:textId="77777777" w:rsidR="00C47B2A" w:rsidRPr="00C47B2A" w:rsidRDefault="00C47B2A" w:rsidP="0044671B">
            <w:pPr>
              <w:jc w:val="center"/>
              <w:rPr>
                <w:rFonts w:ascii="Verdana" w:hAnsi="Verdana" w:cs="Arial"/>
                <w:b/>
                <w:bCs/>
                <w:color w:val="000000"/>
                <w:sz w:val="20"/>
                <w:szCs w:val="20"/>
                <w:lang w:eastAsia="es-CO"/>
              </w:rPr>
            </w:pPr>
            <w:r w:rsidRPr="00C47B2A">
              <w:rPr>
                <w:rFonts w:ascii="Verdana" w:hAnsi="Verdana" w:cs="Arial"/>
                <w:b/>
                <w:bCs/>
                <w:color w:val="000000"/>
                <w:sz w:val="20"/>
                <w:szCs w:val="20"/>
                <w:lang w:eastAsia="es-CO"/>
              </w:rPr>
              <w:lastRenderedPageBreak/>
              <w:t>Contratista Adjudicatario</w:t>
            </w:r>
          </w:p>
        </w:tc>
        <w:tc>
          <w:tcPr>
            <w:tcW w:w="2756" w:type="dxa"/>
            <w:shd w:val="clear" w:color="auto" w:fill="D9D9D9" w:themeFill="background1" w:themeFillShade="D9"/>
            <w:vAlign w:val="center"/>
            <w:hideMark/>
          </w:tcPr>
          <w:p w14:paraId="34ACE6A2" w14:textId="77777777" w:rsidR="00C47B2A" w:rsidRPr="00C47B2A" w:rsidRDefault="00C47B2A" w:rsidP="0044671B">
            <w:pPr>
              <w:jc w:val="center"/>
              <w:rPr>
                <w:rFonts w:ascii="Verdana" w:hAnsi="Verdana" w:cs="Arial"/>
                <w:b/>
                <w:bCs/>
                <w:color w:val="000000"/>
                <w:sz w:val="20"/>
                <w:szCs w:val="20"/>
                <w:lang w:eastAsia="es-CO"/>
              </w:rPr>
            </w:pPr>
            <w:r w:rsidRPr="00C47B2A">
              <w:rPr>
                <w:rFonts w:ascii="Verdana" w:hAnsi="Verdana" w:cs="Arial"/>
                <w:b/>
                <w:bCs/>
                <w:color w:val="000000"/>
                <w:sz w:val="20"/>
                <w:szCs w:val="20"/>
                <w:lang w:eastAsia="es-CO"/>
              </w:rPr>
              <w:t>Valor total contratado</w:t>
            </w:r>
          </w:p>
        </w:tc>
        <w:tc>
          <w:tcPr>
            <w:tcW w:w="1232" w:type="dxa"/>
            <w:shd w:val="clear" w:color="auto" w:fill="D9D9D9" w:themeFill="background1" w:themeFillShade="D9"/>
            <w:vAlign w:val="center"/>
            <w:hideMark/>
          </w:tcPr>
          <w:p w14:paraId="6818AD91" w14:textId="77777777" w:rsidR="00C47B2A" w:rsidRPr="00C47B2A" w:rsidRDefault="00C47B2A" w:rsidP="0044671B">
            <w:pPr>
              <w:jc w:val="center"/>
              <w:rPr>
                <w:rFonts w:ascii="Verdana" w:hAnsi="Verdana" w:cs="Arial"/>
                <w:b/>
                <w:bCs/>
                <w:color w:val="000000"/>
                <w:sz w:val="20"/>
                <w:szCs w:val="20"/>
                <w:lang w:eastAsia="es-CO"/>
              </w:rPr>
            </w:pPr>
            <w:r w:rsidRPr="00C47B2A">
              <w:rPr>
                <w:rFonts w:ascii="Verdana" w:hAnsi="Verdana" w:cs="Arial"/>
                <w:b/>
                <w:bCs/>
                <w:color w:val="000000"/>
                <w:sz w:val="20"/>
                <w:szCs w:val="20"/>
                <w:lang w:eastAsia="es-CO"/>
              </w:rPr>
              <w:t>Cantidad total de contrato</w:t>
            </w:r>
          </w:p>
        </w:tc>
      </w:tr>
      <w:tr w:rsidR="00C47B2A" w:rsidRPr="00C47B2A" w14:paraId="4BCFBF45" w14:textId="77777777" w:rsidTr="00C47B2A">
        <w:trPr>
          <w:trHeight w:val="20"/>
          <w:jc w:val="center"/>
        </w:trPr>
        <w:tc>
          <w:tcPr>
            <w:tcW w:w="4182" w:type="dxa"/>
            <w:shd w:val="clear" w:color="auto" w:fill="auto"/>
            <w:noWrap/>
            <w:vAlign w:val="bottom"/>
            <w:hideMark/>
          </w:tcPr>
          <w:p w14:paraId="1F1D2E7D"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DE SEGURIDAD URBANA DISTRITO CAPITAL</w:t>
            </w:r>
          </w:p>
        </w:tc>
        <w:tc>
          <w:tcPr>
            <w:tcW w:w="2756" w:type="dxa"/>
            <w:shd w:val="clear" w:color="auto" w:fill="auto"/>
            <w:noWrap/>
            <w:vAlign w:val="bottom"/>
            <w:hideMark/>
          </w:tcPr>
          <w:p w14:paraId="3D8D3A0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$ 305.432.698.840,00</w:t>
            </w:r>
          </w:p>
        </w:tc>
        <w:tc>
          <w:tcPr>
            <w:tcW w:w="1232" w:type="dxa"/>
            <w:shd w:val="clear" w:color="auto" w:fill="auto"/>
            <w:noWrap/>
            <w:vAlign w:val="bottom"/>
            <w:hideMark/>
          </w:tcPr>
          <w:p w14:paraId="6DF785A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2</w:t>
            </w:r>
          </w:p>
        </w:tc>
      </w:tr>
      <w:tr w:rsidR="00C47B2A" w:rsidRPr="00C47B2A" w14:paraId="02B0CDEB" w14:textId="77777777" w:rsidTr="00C47B2A">
        <w:trPr>
          <w:trHeight w:val="20"/>
          <w:jc w:val="center"/>
        </w:trPr>
        <w:tc>
          <w:tcPr>
            <w:tcW w:w="4182" w:type="dxa"/>
            <w:shd w:val="clear" w:color="auto" w:fill="auto"/>
            <w:noWrap/>
            <w:vAlign w:val="bottom"/>
            <w:hideMark/>
          </w:tcPr>
          <w:p w14:paraId="7BE9A549"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FUNDACION 2020</w:t>
            </w:r>
          </w:p>
        </w:tc>
        <w:tc>
          <w:tcPr>
            <w:tcW w:w="2756" w:type="dxa"/>
            <w:shd w:val="clear" w:color="auto" w:fill="auto"/>
            <w:noWrap/>
            <w:vAlign w:val="bottom"/>
            <w:hideMark/>
          </w:tcPr>
          <w:p w14:paraId="4D76DEF3"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$ 275.401.001.315,00</w:t>
            </w:r>
          </w:p>
        </w:tc>
        <w:tc>
          <w:tcPr>
            <w:tcW w:w="1232" w:type="dxa"/>
            <w:shd w:val="clear" w:color="auto" w:fill="auto"/>
            <w:noWrap/>
            <w:vAlign w:val="bottom"/>
            <w:hideMark/>
          </w:tcPr>
          <w:p w14:paraId="6453ECD0"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4F319BB5" w14:textId="77777777" w:rsidTr="00C47B2A">
        <w:trPr>
          <w:trHeight w:val="20"/>
          <w:jc w:val="center"/>
        </w:trPr>
        <w:tc>
          <w:tcPr>
            <w:tcW w:w="4182" w:type="dxa"/>
            <w:shd w:val="clear" w:color="auto" w:fill="auto"/>
            <w:noWrap/>
            <w:vAlign w:val="bottom"/>
            <w:hideMark/>
          </w:tcPr>
          <w:p w14:paraId="53D8687E"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ERON LA GUAJIRA</w:t>
            </w:r>
          </w:p>
        </w:tc>
        <w:tc>
          <w:tcPr>
            <w:tcW w:w="2756" w:type="dxa"/>
            <w:shd w:val="clear" w:color="auto" w:fill="auto"/>
            <w:noWrap/>
            <w:vAlign w:val="bottom"/>
            <w:hideMark/>
          </w:tcPr>
          <w:p w14:paraId="302D857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$ 251.032.681.822,00</w:t>
            </w:r>
          </w:p>
        </w:tc>
        <w:tc>
          <w:tcPr>
            <w:tcW w:w="1232" w:type="dxa"/>
            <w:shd w:val="clear" w:color="auto" w:fill="auto"/>
            <w:noWrap/>
            <w:vAlign w:val="bottom"/>
            <w:hideMark/>
          </w:tcPr>
          <w:p w14:paraId="5D66E37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2F6E72B8" w14:textId="77777777" w:rsidTr="00C47B2A">
        <w:trPr>
          <w:trHeight w:val="20"/>
          <w:jc w:val="center"/>
        </w:trPr>
        <w:tc>
          <w:tcPr>
            <w:tcW w:w="4182" w:type="dxa"/>
            <w:shd w:val="clear" w:color="auto" w:fill="auto"/>
            <w:noWrap/>
            <w:vAlign w:val="bottom"/>
            <w:hideMark/>
          </w:tcPr>
          <w:p w14:paraId="3D2F472B"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BARRANCA CDP</w:t>
            </w:r>
          </w:p>
        </w:tc>
        <w:tc>
          <w:tcPr>
            <w:tcW w:w="2756" w:type="dxa"/>
            <w:shd w:val="clear" w:color="auto" w:fill="auto"/>
            <w:noWrap/>
            <w:vAlign w:val="bottom"/>
            <w:hideMark/>
          </w:tcPr>
          <w:p w14:paraId="59CA2359"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$ 197.680.341.457,00</w:t>
            </w:r>
          </w:p>
        </w:tc>
        <w:tc>
          <w:tcPr>
            <w:tcW w:w="1232" w:type="dxa"/>
            <w:shd w:val="clear" w:color="auto" w:fill="auto"/>
            <w:noWrap/>
            <w:vAlign w:val="bottom"/>
            <w:hideMark/>
          </w:tcPr>
          <w:p w14:paraId="3ABAE84C"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080E3457" w14:textId="77777777" w:rsidTr="00C47B2A">
        <w:trPr>
          <w:trHeight w:val="20"/>
          <w:jc w:val="center"/>
        </w:trPr>
        <w:tc>
          <w:tcPr>
            <w:tcW w:w="4182" w:type="dxa"/>
            <w:shd w:val="clear" w:color="auto" w:fill="auto"/>
            <w:noWrap/>
            <w:vAlign w:val="bottom"/>
            <w:hideMark/>
          </w:tcPr>
          <w:p w14:paraId="3B33BEC8"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EL RETIRO CC</w:t>
            </w:r>
          </w:p>
        </w:tc>
        <w:tc>
          <w:tcPr>
            <w:tcW w:w="2756" w:type="dxa"/>
            <w:shd w:val="clear" w:color="auto" w:fill="auto"/>
            <w:noWrap/>
            <w:vAlign w:val="bottom"/>
            <w:hideMark/>
          </w:tcPr>
          <w:p w14:paraId="4B2AD280"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$ 178.279.716.158,00</w:t>
            </w:r>
          </w:p>
        </w:tc>
        <w:tc>
          <w:tcPr>
            <w:tcW w:w="1232" w:type="dxa"/>
            <w:shd w:val="clear" w:color="auto" w:fill="auto"/>
            <w:noWrap/>
            <w:vAlign w:val="bottom"/>
            <w:hideMark/>
          </w:tcPr>
          <w:p w14:paraId="44DA5C2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2</w:t>
            </w:r>
          </w:p>
        </w:tc>
      </w:tr>
      <w:tr w:rsidR="00C47B2A" w:rsidRPr="00C47B2A" w14:paraId="0A68504C" w14:textId="77777777" w:rsidTr="00C47B2A">
        <w:trPr>
          <w:trHeight w:val="20"/>
          <w:jc w:val="center"/>
        </w:trPr>
        <w:tc>
          <w:tcPr>
            <w:tcW w:w="4182" w:type="dxa"/>
            <w:shd w:val="clear" w:color="auto" w:fill="auto"/>
            <w:noWrap/>
            <w:vAlign w:val="bottom"/>
            <w:hideMark/>
          </w:tcPr>
          <w:p w14:paraId="23FA9DDD"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GIBRALTAR</w:t>
            </w:r>
          </w:p>
        </w:tc>
        <w:tc>
          <w:tcPr>
            <w:tcW w:w="2756" w:type="dxa"/>
            <w:shd w:val="clear" w:color="auto" w:fill="auto"/>
            <w:noWrap/>
            <w:vAlign w:val="bottom"/>
            <w:hideMark/>
          </w:tcPr>
          <w:p w14:paraId="6086D9DC"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$ 151.550.192.040,00</w:t>
            </w:r>
          </w:p>
        </w:tc>
        <w:tc>
          <w:tcPr>
            <w:tcW w:w="1232" w:type="dxa"/>
            <w:shd w:val="clear" w:color="auto" w:fill="auto"/>
            <w:noWrap/>
            <w:vAlign w:val="bottom"/>
            <w:hideMark/>
          </w:tcPr>
          <w:p w14:paraId="3060BE11"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7112D36F" w14:textId="77777777" w:rsidTr="00C47B2A">
        <w:trPr>
          <w:trHeight w:val="20"/>
          <w:jc w:val="center"/>
        </w:trPr>
        <w:tc>
          <w:tcPr>
            <w:tcW w:w="4182" w:type="dxa"/>
            <w:shd w:val="clear" w:color="auto" w:fill="auto"/>
            <w:noWrap/>
            <w:vAlign w:val="bottom"/>
            <w:hideMark/>
          </w:tcPr>
          <w:p w14:paraId="5EDD16F9"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UNIÓN TEMPORAL METROPOLITANO PORVENIR.</w:t>
            </w:r>
          </w:p>
        </w:tc>
        <w:tc>
          <w:tcPr>
            <w:tcW w:w="2756" w:type="dxa"/>
            <w:shd w:val="clear" w:color="auto" w:fill="auto"/>
            <w:noWrap/>
            <w:vAlign w:val="bottom"/>
            <w:hideMark/>
          </w:tcPr>
          <w:p w14:paraId="62C7447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$ 132.821.646.606,00</w:t>
            </w:r>
          </w:p>
        </w:tc>
        <w:tc>
          <w:tcPr>
            <w:tcW w:w="1232" w:type="dxa"/>
            <w:shd w:val="clear" w:color="auto" w:fill="auto"/>
            <w:noWrap/>
            <w:vAlign w:val="bottom"/>
            <w:hideMark/>
          </w:tcPr>
          <w:p w14:paraId="119A8CA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67FCD1B0" w14:textId="77777777" w:rsidTr="00C47B2A">
        <w:trPr>
          <w:trHeight w:val="20"/>
          <w:jc w:val="center"/>
        </w:trPr>
        <w:tc>
          <w:tcPr>
            <w:tcW w:w="4182" w:type="dxa"/>
            <w:shd w:val="clear" w:color="auto" w:fill="auto"/>
            <w:noWrap/>
            <w:vAlign w:val="bottom"/>
            <w:hideMark/>
          </w:tcPr>
          <w:p w14:paraId="7A463152"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PRO-CONTEIN USPEC</w:t>
            </w:r>
          </w:p>
        </w:tc>
        <w:tc>
          <w:tcPr>
            <w:tcW w:w="2756" w:type="dxa"/>
            <w:shd w:val="clear" w:color="auto" w:fill="auto"/>
            <w:noWrap/>
            <w:vAlign w:val="bottom"/>
            <w:hideMark/>
          </w:tcPr>
          <w:p w14:paraId="71DF1B7C"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$ 118.524.270.968,00</w:t>
            </w:r>
          </w:p>
        </w:tc>
        <w:tc>
          <w:tcPr>
            <w:tcW w:w="1232" w:type="dxa"/>
            <w:shd w:val="clear" w:color="auto" w:fill="auto"/>
            <w:noWrap/>
            <w:vAlign w:val="bottom"/>
            <w:hideMark/>
          </w:tcPr>
          <w:p w14:paraId="172E5843"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0F24CA99" w14:textId="77777777" w:rsidTr="00C47B2A">
        <w:trPr>
          <w:trHeight w:val="20"/>
          <w:jc w:val="center"/>
        </w:trPr>
        <w:tc>
          <w:tcPr>
            <w:tcW w:w="4182" w:type="dxa"/>
            <w:shd w:val="clear" w:color="auto" w:fill="auto"/>
            <w:noWrap/>
            <w:vAlign w:val="bottom"/>
            <w:hideMark/>
          </w:tcPr>
          <w:p w14:paraId="6905347C"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PRO-CONTEIN</w:t>
            </w:r>
          </w:p>
        </w:tc>
        <w:tc>
          <w:tcPr>
            <w:tcW w:w="2756" w:type="dxa"/>
            <w:shd w:val="clear" w:color="auto" w:fill="auto"/>
            <w:noWrap/>
            <w:vAlign w:val="bottom"/>
            <w:hideMark/>
          </w:tcPr>
          <w:p w14:paraId="07BB7A4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$ 117.170.391.480,00</w:t>
            </w:r>
          </w:p>
        </w:tc>
        <w:tc>
          <w:tcPr>
            <w:tcW w:w="1232" w:type="dxa"/>
            <w:shd w:val="clear" w:color="auto" w:fill="auto"/>
            <w:noWrap/>
            <w:vAlign w:val="bottom"/>
            <w:hideMark/>
          </w:tcPr>
          <w:p w14:paraId="3E4F9C1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2</w:t>
            </w:r>
          </w:p>
        </w:tc>
      </w:tr>
      <w:tr w:rsidR="00C47B2A" w:rsidRPr="00C47B2A" w14:paraId="790861A8" w14:textId="77777777" w:rsidTr="00C47B2A">
        <w:trPr>
          <w:trHeight w:val="20"/>
          <w:jc w:val="center"/>
        </w:trPr>
        <w:tc>
          <w:tcPr>
            <w:tcW w:w="4182" w:type="dxa"/>
            <w:shd w:val="clear" w:color="auto" w:fill="auto"/>
            <w:noWrap/>
            <w:vAlign w:val="bottom"/>
            <w:hideMark/>
          </w:tcPr>
          <w:p w14:paraId="117CFCB1"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SOLUCIONES INTEGRALES UNION SAS</w:t>
            </w:r>
          </w:p>
        </w:tc>
        <w:tc>
          <w:tcPr>
            <w:tcW w:w="2756" w:type="dxa"/>
            <w:shd w:val="clear" w:color="auto" w:fill="auto"/>
            <w:noWrap/>
            <w:vAlign w:val="bottom"/>
            <w:hideMark/>
          </w:tcPr>
          <w:p w14:paraId="02F6D31E"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$ 111.480.220.531,00</w:t>
            </w:r>
          </w:p>
        </w:tc>
        <w:tc>
          <w:tcPr>
            <w:tcW w:w="1232" w:type="dxa"/>
            <w:shd w:val="clear" w:color="auto" w:fill="auto"/>
            <w:noWrap/>
            <w:vAlign w:val="bottom"/>
            <w:hideMark/>
          </w:tcPr>
          <w:p w14:paraId="520DDDF2"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40</w:t>
            </w:r>
          </w:p>
        </w:tc>
      </w:tr>
      <w:tr w:rsidR="00C47B2A" w:rsidRPr="00C47B2A" w14:paraId="42393C50" w14:textId="77777777" w:rsidTr="00C47B2A">
        <w:trPr>
          <w:trHeight w:val="20"/>
          <w:jc w:val="center"/>
        </w:trPr>
        <w:tc>
          <w:tcPr>
            <w:tcW w:w="4182" w:type="dxa"/>
            <w:shd w:val="clear" w:color="auto" w:fill="auto"/>
            <w:noWrap/>
            <w:vAlign w:val="bottom"/>
            <w:hideMark/>
          </w:tcPr>
          <w:p w14:paraId="51976B95"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C.C. - H.M.I.</w:t>
            </w:r>
          </w:p>
        </w:tc>
        <w:tc>
          <w:tcPr>
            <w:tcW w:w="2756" w:type="dxa"/>
            <w:shd w:val="clear" w:color="auto" w:fill="auto"/>
            <w:noWrap/>
            <w:vAlign w:val="bottom"/>
            <w:hideMark/>
          </w:tcPr>
          <w:p w14:paraId="39070F37"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$ 106.365.576.606,00</w:t>
            </w:r>
          </w:p>
        </w:tc>
        <w:tc>
          <w:tcPr>
            <w:tcW w:w="1232" w:type="dxa"/>
            <w:shd w:val="clear" w:color="auto" w:fill="auto"/>
            <w:noWrap/>
            <w:vAlign w:val="bottom"/>
            <w:hideMark/>
          </w:tcPr>
          <w:p w14:paraId="5EDF93E2"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41535119" w14:textId="77777777" w:rsidTr="00C47B2A">
        <w:trPr>
          <w:trHeight w:val="20"/>
          <w:jc w:val="center"/>
        </w:trPr>
        <w:tc>
          <w:tcPr>
            <w:tcW w:w="4182" w:type="dxa"/>
            <w:shd w:val="clear" w:color="auto" w:fill="auto"/>
            <w:noWrap/>
            <w:vAlign w:val="bottom"/>
            <w:hideMark/>
          </w:tcPr>
          <w:p w14:paraId="28CBA287"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OBRAS MG</w:t>
            </w:r>
          </w:p>
        </w:tc>
        <w:tc>
          <w:tcPr>
            <w:tcW w:w="2756" w:type="dxa"/>
            <w:shd w:val="clear" w:color="auto" w:fill="auto"/>
            <w:noWrap/>
            <w:vAlign w:val="bottom"/>
            <w:hideMark/>
          </w:tcPr>
          <w:p w14:paraId="2726EA3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$ 99.220.154.468,00</w:t>
            </w:r>
          </w:p>
        </w:tc>
        <w:tc>
          <w:tcPr>
            <w:tcW w:w="1232" w:type="dxa"/>
            <w:shd w:val="clear" w:color="auto" w:fill="auto"/>
            <w:noWrap/>
            <w:vAlign w:val="bottom"/>
            <w:hideMark/>
          </w:tcPr>
          <w:p w14:paraId="1AF4EDCB"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8</w:t>
            </w:r>
          </w:p>
        </w:tc>
      </w:tr>
      <w:tr w:rsidR="00C47B2A" w:rsidRPr="00C47B2A" w14:paraId="051B72BE" w14:textId="77777777" w:rsidTr="00C47B2A">
        <w:trPr>
          <w:trHeight w:val="20"/>
          <w:jc w:val="center"/>
        </w:trPr>
        <w:tc>
          <w:tcPr>
            <w:tcW w:w="4182" w:type="dxa"/>
            <w:shd w:val="clear" w:color="auto" w:fill="auto"/>
            <w:noWrap/>
            <w:vAlign w:val="bottom"/>
            <w:hideMark/>
          </w:tcPr>
          <w:p w14:paraId="345B0972"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COMETAS - 2020</w:t>
            </w:r>
          </w:p>
        </w:tc>
        <w:tc>
          <w:tcPr>
            <w:tcW w:w="2756" w:type="dxa"/>
            <w:shd w:val="clear" w:color="auto" w:fill="auto"/>
            <w:noWrap/>
            <w:vAlign w:val="bottom"/>
            <w:hideMark/>
          </w:tcPr>
          <w:p w14:paraId="23861A5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$ 93.017.490.430,00</w:t>
            </w:r>
          </w:p>
        </w:tc>
        <w:tc>
          <w:tcPr>
            <w:tcW w:w="1232" w:type="dxa"/>
            <w:shd w:val="clear" w:color="auto" w:fill="auto"/>
            <w:noWrap/>
            <w:vAlign w:val="bottom"/>
            <w:hideMark/>
          </w:tcPr>
          <w:p w14:paraId="6AACE00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461C3D27" w14:textId="77777777" w:rsidTr="00C47B2A">
        <w:trPr>
          <w:trHeight w:val="20"/>
          <w:jc w:val="center"/>
        </w:trPr>
        <w:tc>
          <w:tcPr>
            <w:tcW w:w="4182" w:type="dxa"/>
            <w:shd w:val="clear" w:color="auto" w:fill="auto"/>
            <w:noWrap/>
            <w:vAlign w:val="bottom"/>
            <w:hideMark/>
          </w:tcPr>
          <w:p w14:paraId="090DA2B7"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QUIRÓN</w:t>
            </w:r>
          </w:p>
        </w:tc>
        <w:tc>
          <w:tcPr>
            <w:tcW w:w="2756" w:type="dxa"/>
            <w:shd w:val="clear" w:color="auto" w:fill="auto"/>
            <w:noWrap/>
            <w:vAlign w:val="bottom"/>
            <w:hideMark/>
          </w:tcPr>
          <w:p w14:paraId="6B280917"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$ 90.469.132.009,00</w:t>
            </w:r>
          </w:p>
        </w:tc>
        <w:tc>
          <w:tcPr>
            <w:tcW w:w="1232" w:type="dxa"/>
            <w:shd w:val="clear" w:color="auto" w:fill="auto"/>
            <w:noWrap/>
            <w:vAlign w:val="bottom"/>
            <w:hideMark/>
          </w:tcPr>
          <w:p w14:paraId="79F1A38C"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57C67093" w14:textId="77777777" w:rsidTr="00C47B2A">
        <w:trPr>
          <w:trHeight w:val="20"/>
          <w:jc w:val="center"/>
        </w:trPr>
        <w:tc>
          <w:tcPr>
            <w:tcW w:w="4182" w:type="dxa"/>
            <w:shd w:val="clear" w:color="auto" w:fill="auto"/>
            <w:noWrap/>
            <w:vAlign w:val="bottom"/>
            <w:hideMark/>
          </w:tcPr>
          <w:p w14:paraId="4462CE6B"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CAPITAL</w:t>
            </w:r>
          </w:p>
        </w:tc>
        <w:tc>
          <w:tcPr>
            <w:tcW w:w="2756" w:type="dxa"/>
            <w:shd w:val="clear" w:color="auto" w:fill="auto"/>
            <w:noWrap/>
            <w:vAlign w:val="bottom"/>
            <w:hideMark/>
          </w:tcPr>
          <w:p w14:paraId="1D95C321"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$ 85.858.937.325,00</w:t>
            </w:r>
          </w:p>
        </w:tc>
        <w:tc>
          <w:tcPr>
            <w:tcW w:w="1232" w:type="dxa"/>
            <w:shd w:val="clear" w:color="auto" w:fill="auto"/>
            <w:noWrap/>
            <w:vAlign w:val="bottom"/>
            <w:hideMark/>
          </w:tcPr>
          <w:p w14:paraId="156B7DD1"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085E073C" w14:textId="77777777" w:rsidTr="00C47B2A">
        <w:trPr>
          <w:trHeight w:val="20"/>
          <w:jc w:val="center"/>
        </w:trPr>
        <w:tc>
          <w:tcPr>
            <w:tcW w:w="4182" w:type="dxa"/>
            <w:shd w:val="clear" w:color="auto" w:fill="auto"/>
            <w:noWrap/>
            <w:vAlign w:val="bottom"/>
            <w:hideMark/>
          </w:tcPr>
          <w:p w14:paraId="72D99356"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SAN CRISTOBAL - 2019</w:t>
            </w:r>
          </w:p>
        </w:tc>
        <w:tc>
          <w:tcPr>
            <w:tcW w:w="2756" w:type="dxa"/>
            <w:shd w:val="clear" w:color="auto" w:fill="auto"/>
            <w:noWrap/>
            <w:vAlign w:val="bottom"/>
            <w:hideMark/>
          </w:tcPr>
          <w:p w14:paraId="1FF6459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$ 76.091.919.815,00</w:t>
            </w:r>
          </w:p>
        </w:tc>
        <w:tc>
          <w:tcPr>
            <w:tcW w:w="1232" w:type="dxa"/>
            <w:shd w:val="clear" w:color="auto" w:fill="auto"/>
            <w:noWrap/>
            <w:vAlign w:val="bottom"/>
            <w:hideMark/>
          </w:tcPr>
          <w:p w14:paraId="45D7F1A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3D1EA927" w14:textId="77777777" w:rsidTr="00C47B2A">
        <w:trPr>
          <w:trHeight w:val="20"/>
          <w:jc w:val="center"/>
        </w:trPr>
        <w:tc>
          <w:tcPr>
            <w:tcW w:w="4182" w:type="dxa"/>
            <w:shd w:val="clear" w:color="auto" w:fill="auto"/>
            <w:noWrap/>
            <w:vAlign w:val="bottom"/>
            <w:hideMark/>
          </w:tcPr>
          <w:p w14:paraId="1A48366E"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FONTANAR - 2019</w:t>
            </w:r>
          </w:p>
        </w:tc>
        <w:tc>
          <w:tcPr>
            <w:tcW w:w="2756" w:type="dxa"/>
            <w:shd w:val="clear" w:color="auto" w:fill="auto"/>
            <w:noWrap/>
            <w:vAlign w:val="bottom"/>
            <w:hideMark/>
          </w:tcPr>
          <w:p w14:paraId="5F5CE530"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$ 74.165.180.762,00</w:t>
            </w:r>
          </w:p>
        </w:tc>
        <w:tc>
          <w:tcPr>
            <w:tcW w:w="1232" w:type="dxa"/>
            <w:shd w:val="clear" w:color="auto" w:fill="auto"/>
            <w:noWrap/>
            <w:vAlign w:val="bottom"/>
            <w:hideMark/>
          </w:tcPr>
          <w:p w14:paraId="09D14A5E"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46B00939" w14:textId="77777777" w:rsidTr="00C47B2A">
        <w:trPr>
          <w:trHeight w:val="20"/>
          <w:jc w:val="center"/>
        </w:trPr>
        <w:tc>
          <w:tcPr>
            <w:tcW w:w="4182" w:type="dxa"/>
            <w:shd w:val="clear" w:color="auto" w:fill="auto"/>
            <w:noWrap/>
            <w:vAlign w:val="bottom"/>
            <w:hideMark/>
          </w:tcPr>
          <w:p w14:paraId="5C4C0F10"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SAFRID INGENIERIA SAS</w:t>
            </w:r>
          </w:p>
        </w:tc>
        <w:tc>
          <w:tcPr>
            <w:tcW w:w="2756" w:type="dxa"/>
            <w:shd w:val="clear" w:color="auto" w:fill="auto"/>
            <w:noWrap/>
            <w:vAlign w:val="bottom"/>
            <w:hideMark/>
          </w:tcPr>
          <w:p w14:paraId="6CEAC71B"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$ 68.365.601.404,00</w:t>
            </w:r>
          </w:p>
        </w:tc>
        <w:tc>
          <w:tcPr>
            <w:tcW w:w="1232" w:type="dxa"/>
            <w:shd w:val="clear" w:color="auto" w:fill="auto"/>
            <w:noWrap/>
            <w:vAlign w:val="bottom"/>
            <w:hideMark/>
          </w:tcPr>
          <w:p w14:paraId="05E53F0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31</w:t>
            </w:r>
          </w:p>
        </w:tc>
      </w:tr>
      <w:tr w:rsidR="00C47B2A" w:rsidRPr="00C47B2A" w14:paraId="2C6AEC17" w14:textId="77777777" w:rsidTr="00C47B2A">
        <w:trPr>
          <w:trHeight w:val="20"/>
          <w:jc w:val="center"/>
        </w:trPr>
        <w:tc>
          <w:tcPr>
            <w:tcW w:w="4182" w:type="dxa"/>
            <w:shd w:val="clear" w:color="auto" w:fill="auto"/>
            <w:noWrap/>
            <w:vAlign w:val="bottom"/>
            <w:hideMark/>
          </w:tcPr>
          <w:p w14:paraId="6A5E9816"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MIROAL INGENIERIA SAS</w:t>
            </w:r>
          </w:p>
        </w:tc>
        <w:tc>
          <w:tcPr>
            <w:tcW w:w="2756" w:type="dxa"/>
            <w:shd w:val="clear" w:color="auto" w:fill="auto"/>
            <w:noWrap/>
            <w:vAlign w:val="bottom"/>
            <w:hideMark/>
          </w:tcPr>
          <w:p w14:paraId="49FD6FA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$ 65.536.420.299,00</w:t>
            </w:r>
          </w:p>
        </w:tc>
        <w:tc>
          <w:tcPr>
            <w:tcW w:w="1232" w:type="dxa"/>
            <w:shd w:val="clear" w:color="auto" w:fill="auto"/>
            <w:noWrap/>
            <w:vAlign w:val="bottom"/>
            <w:hideMark/>
          </w:tcPr>
          <w:p w14:paraId="1AB1A746"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6</w:t>
            </w:r>
          </w:p>
        </w:tc>
      </w:tr>
      <w:tr w:rsidR="00C47B2A" w:rsidRPr="00C47B2A" w14:paraId="2AC1E6CF" w14:textId="77777777" w:rsidTr="00C47B2A">
        <w:trPr>
          <w:trHeight w:val="20"/>
          <w:jc w:val="center"/>
        </w:trPr>
        <w:tc>
          <w:tcPr>
            <w:tcW w:w="4182" w:type="dxa"/>
            <w:shd w:val="clear" w:color="auto" w:fill="auto"/>
            <w:noWrap/>
            <w:vAlign w:val="bottom"/>
            <w:hideMark/>
          </w:tcPr>
          <w:p w14:paraId="1CF00905"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COL PROCABLES 2022</w:t>
            </w:r>
          </w:p>
        </w:tc>
        <w:tc>
          <w:tcPr>
            <w:tcW w:w="2756" w:type="dxa"/>
            <w:shd w:val="clear" w:color="auto" w:fill="auto"/>
            <w:noWrap/>
            <w:vAlign w:val="bottom"/>
            <w:hideMark/>
          </w:tcPr>
          <w:p w14:paraId="3F96D66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$ 62.327.097.957,00</w:t>
            </w:r>
          </w:p>
        </w:tc>
        <w:tc>
          <w:tcPr>
            <w:tcW w:w="1232" w:type="dxa"/>
            <w:shd w:val="clear" w:color="auto" w:fill="auto"/>
            <w:noWrap/>
            <w:vAlign w:val="bottom"/>
            <w:hideMark/>
          </w:tcPr>
          <w:p w14:paraId="18AC72EF"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20D79589" w14:textId="77777777" w:rsidTr="00C47B2A">
        <w:trPr>
          <w:trHeight w:val="20"/>
          <w:jc w:val="center"/>
        </w:trPr>
        <w:tc>
          <w:tcPr>
            <w:tcW w:w="4182" w:type="dxa"/>
            <w:shd w:val="clear" w:color="auto" w:fill="auto"/>
            <w:noWrap/>
            <w:vAlign w:val="bottom"/>
            <w:hideMark/>
          </w:tcPr>
          <w:p w14:paraId="6BC05E93"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CSA 42 - D.</w:t>
            </w:r>
            <w:proofErr w:type="gramStart"/>
            <w:r w:rsidRPr="00C47B2A">
              <w:rPr>
                <w:rFonts w:ascii="Verdana" w:hAnsi="Verdana" w:cs="Arial"/>
                <w:color w:val="000000"/>
                <w:sz w:val="20"/>
                <w:szCs w:val="20"/>
                <w:lang w:eastAsia="es-CO"/>
              </w:rPr>
              <w:t>H.S</w:t>
            </w:r>
            <w:proofErr w:type="gramEnd"/>
          </w:p>
        </w:tc>
        <w:tc>
          <w:tcPr>
            <w:tcW w:w="2756" w:type="dxa"/>
            <w:shd w:val="clear" w:color="auto" w:fill="auto"/>
            <w:noWrap/>
            <w:vAlign w:val="bottom"/>
            <w:hideMark/>
          </w:tcPr>
          <w:p w14:paraId="4DF9234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$ 58.995.430.137,00</w:t>
            </w:r>
          </w:p>
        </w:tc>
        <w:tc>
          <w:tcPr>
            <w:tcW w:w="1232" w:type="dxa"/>
            <w:shd w:val="clear" w:color="auto" w:fill="auto"/>
            <w:noWrap/>
            <w:vAlign w:val="bottom"/>
            <w:hideMark/>
          </w:tcPr>
          <w:p w14:paraId="69CAB6E6"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62F419F9" w14:textId="77777777" w:rsidTr="00C47B2A">
        <w:trPr>
          <w:trHeight w:val="20"/>
          <w:jc w:val="center"/>
        </w:trPr>
        <w:tc>
          <w:tcPr>
            <w:tcW w:w="4182" w:type="dxa"/>
            <w:shd w:val="clear" w:color="auto" w:fill="auto"/>
            <w:noWrap/>
            <w:vAlign w:val="bottom"/>
            <w:hideMark/>
          </w:tcPr>
          <w:p w14:paraId="0990658A"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SILVIA BO2</w:t>
            </w:r>
          </w:p>
        </w:tc>
        <w:tc>
          <w:tcPr>
            <w:tcW w:w="2756" w:type="dxa"/>
            <w:shd w:val="clear" w:color="auto" w:fill="auto"/>
            <w:noWrap/>
            <w:vAlign w:val="bottom"/>
            <w:hideMark/>
          </w:tcPr>
          <w:p w14:paraId="03941E87"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$ 58.754.401.420,00</w:t>
            </w:r>
          </w:p>
        </w:tc>
        <w:tc>
          <w:tcPr>
            <w:tcW w:w="1232" w:type="dxa"/>
            <w:shd w:val="clear" w:color="auto" w:fill="auto"/>
            <w:noWrap/>
            <w:vAlign w:val="bottom"/>
            <w:hideMark/>
          </w:tcPr>
          <w:p w14:paraId="6463C7C7"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4156F21D" w14:textId="77777777" w:rsidTr="00C47B2A">
        <w:trPr>
          <w:trHeight w:val="20"/>
          <w:jc w:val="center"/>
        </w:trPr>
        <w:tc>
          <w:tcPr>
            <w:tcW w:w="4182" w:type="dxa"/>
            <w:shd w:val="clear" w:color="auto" w:fill="auto"/>
            <w:noWrap/>
            <w:vAlign w:val="bottom"/>
            <w:hideMark/>
          </w:tcPr>
          <w:p w14:paraId="499548E3"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TYPHOON</w:t>
            </w:r>
          </w:p>
        </w:tc>
        <w:tc>
          <w:tcPr>
            <w:tcW w:w="2756" w:type="dxa"/>
            <w:shd w:val="clear" w:color="auto" w:fill="auto"/>
            <w:noWrap/>
            <w:vAlign w:val="bottom"/>
            <w:hideMark/>
          </w:tcPr>
          <w:p w14:paraId="7F1A07B9"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$ 58.614.580.587,00</w:t>
            </w:r>
          </w:p>
        </w:tc>
        <w:tc>
          <w:tcPr>
            <w:tcW w:w="1232" w:type="dxa"/>
            <w:shd w:val="clear" w:color="auto" w:fill="auto"/>
            <w:noWrap/>
            <w:vAlign w:val="bottom"/>
            <w:hideMark/>
          </w:tcPr>
          <w:p w14:paraId="24A74D8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522E202A" w14:textId="77777777" w:rsidTr="00C47B2A">
        <w:trPr>
          <w:trHeight w:val="20"/>
          <w:jc w:val="center"/>
        </w:trPr>
        <w:tc>
          <w:tcPr>
            <w:tcW w:w="4182" w:type="dxa"/>
            <w:shd w:val="clear" w:color="auto" w:fill="auto"/>
            <w:noWrap/>
            <w:vAlign w:val="bottom"/>
            <w:hideMark/>
          </w:tcPr>
          <w:p w14:paraId="3F931ED9" w14:textId="77777777" w:rsidR="00C47B2A" w:rsidRPr="00B00FCB" w:rsidRDefault="00C47B2A" w:rsidP="0044671B">
            <w:pPr>
              <w:rPr>
                <w:rFonts w:ascii="Verdana" w:hAnsi="Verdana" w:cs="Arial"/>
                <w:color w:val="000000"/>
                <w:sz w:val="20"/>
                <w:szCs w:val="20"/>
                <w:lang w:val="pt-PT" w:eastAsia="es-CO"/>
              </w:rPr>
            </w:pPr>
            <w:r w:rsidRPr="00B00FCB">
              <w:rPr>
                <w:rFonts w:ascii="Verdana" w:hAnsi="Verdana" w:cs="Arial"/>
                <w:color w:val="000000"/>
                <w:sz w:val="20"/>
                <w:szCs w:val="20"/>
                <w:lang w:val="pt-PT" w:eastAsia="es-CO"/>
              </w:rPr>
              <w:t>GRUPO TITANIUM S.A.S.</w:t>
            </w:r>
          </w:p>
        </w:tc>
        <w:tc>
          <w:tcPr>
            <w:tcW w:w="2756" w:type="dxa"/>
            <w:shd w:val="clear" w:color="auto" w:fill="auto"/>
            <w:noWrap/>
            <w:vAlign w:val="bottom"/>
            <w:hideMark/>
          </w:tcPr>
          <w:p w14:paraId="0A133C4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$ 56.661.845.071,00</w:t>
            </w:r>
          </w:p>
        </w:tc>
        <w:tc>
          <w:tcPr>
            <w:tcW w:w="1232" w:type="dxa"/>
            <w:shd w:val="clear" w:color="auto" w:fill="auto"/>
            <w:noWrap/>
            <w:vAlign w:val="bottom"/>
            <w:hideMark/>
          </w:tcPr>
          <w:p w14:paraId="1EFC5AA5"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26</w:t>
            </w:r>
          </w:p>
        </w:tc>
      </w:tr>
      <w:tr w:rsidR="00C47B2A" w:rsidRPr="00C47B2A" w14:paraId="33C86BBF" w14:textId="77777777" w:rsidTr="00C47B2A">
        <w:trPr>
          <w:trHeight w:val="20"/>
          <w:jc w:val="center"/>
        </w:trPr>
        <w:tc>
          <w:tcPr>
            <w:tcW w:w="4182" w:type="dxa"/>
            <w:shd w:val="clear" w:color="auto" w:fill="auto"/>
            <w:noWrap/>
            <w:vAlign w:val="bottom"/>
            <w:hideMark/>
          </w:tcPr>
          <w:p w14:paraId="4E94DC40"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ESCUELA NAVAL 2020</w:t>
            </w:r>
          </w:p>
        </w:tc>
        <w:tc>
          <w:tcPr>
            <w:tcW w:w="2756" w:type="dxa"/>
            <w:shd w:val="clear" w:color="auto" w:fill="auto"/>
            <w:noWrap/>
            <w:vAlign w:val="bottom"/>
            <w:hideMark/>
          </w:tcPr>
          <w:p w14:paraId="3FD259CB"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$ 56.213.179.756,00</w:t>
            </w:r>
          </w:p>
        </w:tc>
        <w:tc>
          <w:tcPr>
            <w:tcW w:w="1232" w:type="dxa"/>
            <w:shd w:val="clear" w:color="auto" w:fill="auto"/>
            <w:noWrap/>
            <w:vAlign w:val="bottom"/>
            <w:hideMark/>
          </w:tcPr>
          <w:p w14:paraId="03CB92B9"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5C62C8B2" w14:textId="77777777" w:rsidTr="00C47B2A">
        <w:trPr>
          <w:trHeight w:val="20"/>
          <w:jc w:val="center"/>
        </w:trPr>
        <w:tc>
          <w:tcPr>
            <w:tcW w:w="4182" w:type="dxa"/>
            <w:shd w:val="clear" w:color="auto" w:fill="auto"/>
            <w:noWrap/>
            <w:vAlign w:val="bottom"/>
            <w:hideMark/>
          </w:tcPr>
          <w:p w14:paraId="2ADA3C21"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OBRAS POLICIA 2020</w:t>
            </w:r>
          </w:p>
        </w:tc>
        <w:tc>
          <w:tcPr>
            <w:tcW w:w="2756" w:type="dxa"/>
            <w:shd w:val="clear" w:color="auto" w:fill="auto"/>
            <w:noWrap/>
            <w:vAlign w:val="bottom"/>
            <w:hideMark/>
          </w:tcPr>
          <w:p w14:paraId="11418B3E"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$ 54.415.596.680,00</w:t>
            </w:r>
          </w:p>
        </w:tc>
        <w:tc>
          <w:tcPr>
            <w:tcW w:w="1232" w:type="dxa"/>
            <w:shd w:val="clear" w:color="auto" w:fill="auto"/>
            <w:noWrap/>
            <w:vAlign w:val="bottom"/>
            <w:hideMark/>
          </w:tcPr>
          <w:p w14:paraId="1A87876B"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321D0200" w14:textId="77777777" w:rsidTr="00C47B2A">
        <w:trPr>
          <w:trHeight w:val="20"/>
          <w:jc w:val="center"/>
        </w:trPr>
        <w:tc>
          <w:tcPr>
            <w:tcW w:w="4182" w:type="dxa"/>
            <w:shd w:val="clear" w:color="auto" w:fill="auto"/>
            <w:noWrap/>
            <w:vAlign w:val="bottom"/>
            <w:hideMark/>
          </w:tcPr>
          <w:p w14:paraId="54BA30AD" w14:textId="77777777" w:rsidR="00C47B2A" w:rsidRPr="00B00FCB" w:rsidRDefault="00C47B2A" w:rsidP="0044671B">
            <w:pPr>
              <w:rPr>
                <w:rFonts w:ascii="Verdana" w:hAnsi="Verdana" w:cs="Arial"/>
                <w:color w:val="000000"/>
                <w:sz w:val="20"/>
                <w:szCs w:val="20"/>
                <w:lang w:val="pt-PT" w:eastAsia="es-CO"/>
              </w:rPr>
            </w:pPr>
            <w:r w:rsidRPr="00B00FCB">
              <w:rPr>
                <w:rFonts w:ascii="Verdana" w:hAnsi="Verdana" w:cs="Arial"/>
                <w:color w:val="000000"/>
                <w:sz w:val="20"/>
                <w:szCs w:val="20"/>
                <w:lang w:val="pt-PT" w:eastAsia="es-CO"/>
              </w:rPr>
              <w:t>FERNANDO RAMIREZ S.A.S.</w:t>
            </w:r>
          </w:p>
        </w:tc>
        <w:tc>
          <w:tcPr>
            <w:tcW w:w="2756" w:type="dxa"/>
            <w:shd w:val="clear" w:color="auto" w:fill="auto"/>
            <w:noWrap/>
            <w:vAlign w:val="bottom"/>
            <w:hideMark/>
          </w:tcPr>
          <w:p w14:paraId="05EA38CA"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$ 50.935.552.309,00</w:t>
            </w:r>
          </w:p>
        </w:tc>
        <w:tc>
          <w:tcPr>
            <w:tcW w:w="1232" w:type="dxa"/>
            <w:shd w:val="clear" w:color="auto" w:fill="auto"/>
            <w:noWrap/>
            <w:vAlign w:val="bottom"/>
            <w:hideMark/>
          </w:tcPr>
          <w:p w14:paraId="05914BFE"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3</w:t>
            </w:r>
          </w:p>
        </w:tc>
      </w:tr>
      <w:tr w:rsidR="00C47B2A" w:rsidRPr="00C47B2A" w14:paraId="2BD663C2" w14:textId="77777777" w:rsidTr="00C47B2A">
        <w:trPr>
          <w:trHeight w:val="20"/>
          <w:jc w:val="center"/>
        </w:trPr>
        <w:tc>
          <w:tcPr>
            <w:tcW w:w="4182" w:type="dxa"/>
            <w:shd w:val="clear" w:color="auto" w:fill="auto"/>
            <w:noWrap/>
            <w:vAlign w:val="bottom"/>
            <w:hideMark/>
          </w:tcPr>
          <w:p w14:paraId="1DE292B8"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A&amp;M COMANDO</w:t>
            </w:r>
          </w:p>
        </w:tc>
        <w:tc>
          <w:tcPr>
            <w:tcW w:w="2756" w:type="dxa"/>
            <w:shd w:val="clear" w:color="auto" w:fill="auto"/>
            <w:noWrap/>
            <w:vAlign w:val="bottom"/>
            <w:hideMark/>
          </w:tcPr>
          <w:p w14:paraId="182352B8"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$ 48.517.150.121,00</w:t>
            </w:r>
          </w:p>
        </w:tc>
        <w:tc>
          <w:tcPr>
            <w:tcW w:w="1232" w:type="dxa"/>
            <w:shd w:val="clear" w:color="auto" w:fill="auto"/>
            <w:noWrap/>
            <w:vAlign w:val="bottom"/>
            <w:hideMark/>
          </w:tcPr>
          <w:p w14:paraId="1E292753"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2DBA8533" w14:textId="77777777" w:rsidTr="00C47B2A">
        <w:trPr>
          <w:trHeight w:val="20"/>
          <w:jc w:val="center"/>
        </w:trPr>
        <w:tc>
          <w:tcPr>
            <w:tcW w:w="4182" w:type="dxa"/>
            <w:shd w:val="clear" w:color="auto" w:fill="auto"/>
            <w:noWrap/>
            <w:vAlign w:val="bottom"/>
            <w:hideMark/>
          </w:tcPr>
          <w:p w14:paraId="5ABDE3B0"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URBA FASE 1</w:t>
            </w:r>
          </w:p>
        </w:tc>
        <w:tc>
          <w:tcPr>
            <w:tcW w:w="2756" w:type="dxa"/>
            <w:shd w:val="clear" w:color="auto" w:fill="auto"/>
            <w:noWrap/>
            <w:vAlign w:val="bottom"/>
            <w:hideMark/>
          </w:tcPr>
          <w:p w14:paraId="41D4CB74"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$ 47.436.336.117,00</w:t>
            </w:r>
          </w:p>
        </w:tc>
        <w:tc>
          <w:tcPr>
            <w:tcW w:w="1232" w:type="dxa"/>
            <w:shd w:val="clear" w:color="auto" w:fill="auto"/>
            <w:noWrap/>
            <w:vAlign w:val="bottom"/>
            <w:hideMark/>
          </w:tcPr>
          <w:p w14:paraId="1B8DE5E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1</w:t>
            </w:r>
          </w:p>
        </w:tc>
      </w:tr>
      <w:tr w:rsidR="00C47B2A" w:rsidRPr="00C47B2A" w14:paraId="7D7832AA" w14:textId="77777777" w:rsidTr="00C47B2A">
        <w:trPr>
          <w:trHeight w:val="20"/>
          <w:jc w:val="center"/>
        </w:trPr>
        <w:tc>
          <w:tcPr>
            <w:tcW w:w="4182" w:type="dxa"/>
            <w:shd w:val="clear" w:color="auto" w:fill="auto"/>
            <w:noWrap/>
            <w:vAlign w:val="bottom"/>
            <w:hideMark/>
          </w:tcPr>
          <w:p w14:paraId="6794AFAB" w14:textId="77777777" w:rsidR="00C47B2A" w:rsidRPr="00C47B2A" w:rsidRDefault="00C47B2A" w:rsidP="0044671B">
            <w:pPr>
              <w:rPr>
                <w:rFonts w:ascii="Verdana" w:hAnsi="Verdana" w:cs="Arial"/>
                <w:color w:val="000000"/>
                <w:sz w:val="20"/>
                <w:szCs w:val="20"/>
                <w:lang w:eastAsia="es-CO"/>
              </w:rPr>
            </w:pPr>
            <w:r w:rsidRPr="00C47B2A">
              <w:rPr>
                <w:rFonts w:ascii="Verdana" w:hAnsi="Verdana" w:cs="Arial"/>
                <w:color w:val="000000"/>
                <w:sz w:val="20"/>
                <w:szCs w:val="20"/>
                <w:lang w:eastAsia="es-CO"/>
              </w:rPr>
              <w:t>CONSORCIO BLP CONSTRUCCIONES</w:t>
            </w:r>
          </w:p>
        </w:tc>
        <w:tc>
          <w:tcPr>
            <w:tcW w:w="2756" w:type="dxa"/>
            <w:shd w:val="clear" w:color="auto" w:fill="auto"/>
            <w:noWrap/>
            <w:vAlign w:val="bottom"/>
            <w:hideMark/>
          </w:tcPr>
          <w:p w14:paraId="4E243186"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$ 47.339.019.146,00</w:t>
            </w:r>
          </w:p>
        </w:tc>
        <w:tc>
          <w:tcPr>
            <w:tcW w:w="1232" w:type="dxa"/>
            <w:shd w:val="clear" w:color="auto" w:fill="auto"/>
            <w:noWrap/>
            <w:vAlign w:val="bottom"/>
            <w:hideMark/>
          </w:tcPr>
          <w:p w14:paraId="5D8CCBED" w14:textId="77777777" w:rsidR="00C47B2A" w:rsidRPr="00C47B2A" w:rsidRDefault="00C47B2A" w:rsidP="0044671B">
            <w:pPr>
              <w:jc w:val="right"/>
              <w:rPr>
                <w:rFonts w:ascii="Verdana" w:hAnsi="Verdana" w:cs="Arial"/>
                <w:color w:val="000000"/>
                <w:sz w:val="20"/>
                <w:szCs w:val="20"/>
                <w:lang w:eastAsia="es-CO"/>
              </w:rPr>
            </w:pPr>
            <w:r w:rsidRPr="00C47B2A">
              <w:rPr>
                <w:rFonts w:ascii="Verdana" w:hAnsi="Verdana" w:cs="Arial"/>
                <w:color w:val="000000"/>
                <w:sz w:val="20"/>
                <w:szCs w:val="20"/>
                <w:lang w:eastAsia="es-CO"/>
              </w:rPr>
              <w:t>2</w:t>
            </w:r>
          </w:p>
        </w:tc>
      </w:tr>
    </w:tbl>
    <w:p w14:paraId="636F11E3" w14:textId="528A1C7F" w:rsidR="002402CA" w:rsidRPr="00591BC5" w:rsidRDefault="002402CA" w:rsidP="002402CA">
      <w:pPr>
        <w:jc w:val="center"/>
        <w:rPr>
          <w:rFonts w:ascii="Arial" w:hAnsi="Arial" w:cs="Arial"/>
          <w:sz w:val="16"/>
          <w:szCs w:val="16"/>
        </w:rPr>
      </w:pPr>
      <w:r>
        <w:rPr>
          <w:rFonts w:ascii="Arial" w:hAnsi="Arial" w:cs="Arial"/>
          <w:sz w:val="16"/>
          <w:szCs w:val="16"/>
        </w:rPr>
        <w:t xml:space="preserve">Fuente: </w:t>
      </w:r>
      <w:r w:rsidRPr="00591BC5">
        <w:rPr>
          <w:rFonts w:ascii="Arial" w:hAnsi="Arial" w:cs="Arial"/>
          <w:sz w:val="16"/>
          <w:szCs w:val="16"/>
        </w:rPr>
        <w:t>Elaboración propia</w:t>
      </w:r>
    </w:p>
    <w:p w14:paraId="7B77E746" w14:textId="77777777" w:rsidR="008456DF" w:rsidRDefault="008456DF" w:rsidP="009F1CFF">
      <w:pPr>
        <w:autoSpaceDE w:val="0"/>
        <w:autoSpaceDN w:val="0"/>
        <w:jc w:val="both"/>
        <w:rPr>
          <w:rFonts w:ascii="Verdana" w:hAnsi="Verdana" w:cs="Arial"/>
        </w:rPr>
      </w:pPr>
    </w:p>
    <w:p w14:paraId="16E8040A" w14:textId="06114667" w:rsidR="009F1CFF" w:rsidRPr="00A81BAA" w:rsidRDefault="00466F6B" w:rsidP="00F92A7F">
      <w:pPr>
        <w:autoSpaceDE w:val="0"/>
        <w:autoSpaceDN w:val="0"/>
        <w:spacing w:line="276" w:lineRule="auto"/>
        <w:rPr>
          <w:rFonts w:ascii="Verdana" w:hAnsi="Verdana" w:cs="Arial"/>
          <w:b/>
          <w:sz w:val="22"/>
          <w:szCs w:val="22"/>
        </w:rPr>
      </w:pPr>
      <w:r w:rsidRPr="00A81BAA">
        <w:rPr>
          <w:rFonts w:ascii="Verdana" w:hAnsi="Verdana" w:cs="Arial"/>
          <w:b/>
          <w:sz w:val="22"/>
          <w:szCs w:val="22"/>
        </w:rPr>
        <w:t>Análisis financiero de las empresas del sector</w:t>
      </w:r>
    </w:p>
    <w:p w14:paraId="5DEFB498" w14:textId="77777777" w:rsidR="009F1CFF" w:rsidRPr="00A81BAA" w:rsidRDefault="009F1CFF" w:rsidP="009F1CFF">
      <w:pPr>
        <w:autoSpaceDE w:val="0"/>
        <w:autoSpaceDN w:val="0"/>
        <w:jc w:val="both"/>
        <w:rPr>
          <w:rFonts w:ascii="Verdana" w:hAnsi="Verdana" w:cs="Arial"/>
          <w:sz w:val="22"/>
          <w:szCs w:val="22"/>
        </w:rPr>
      </w:pPr>
    </w:p>
    <w:p w14:paraId="0E49B930" w14:textId="77777777" w:rsidR="005D4DF4" w:rsidRPr="005D4DF4" w:rsidRDefault="005D4DF4" w:rsidP="005D4DF4">
      <w:pPr>
        <w:pStyle w:val="Sinespaciado"/>
        <w:spacing w:line="276" w:lineRule="auto"/>
        <w:jc w:val="both"/>
        <w:rPr>
          <w:rFonts w:ascii="Verdana" w:hAnsi="Verdana" w:cs="Arial"/>
          <w:sz w:val="22"/>
          <w:szCs w:val="22"/>
        </w:rPr>
      </w:pPr>
      <w:r w:rsidRPr="005D4DF4">
        <w:rPr>
          <w:rFonts w:ascii="Verdana" w:hAnsi="Verdana" w:cs="Arial"/>
          <w:sz w:val="22"/>
          <w:szCs w:val="22"/>
        </w:rPr>
        <w:t xml:space="preserve">En esta sección se analizan los estados financieros de las empresas sector con el fin de analizar y sustentar los requisitos de capacidad financiera y organizacional mínimos </w:t>
      </w:r>
      <w:r w:rsidRPr="005D4DF4">
        <w:rPr>
          <w:rFonts w:ascii="Verdana" w:hAnsi="Verdana" w:cs="Arial"/>
          <w:sz w:val="22"/>
          <w:szCs w:val="22"/>
        </w:rPr>
        <w:lastRenderedPageBreak/>
        <w:t>habilitantes acordes con el sector, que serán utilizados en los documentos tipo para la contratación de los servicios de infraestructura de transporte, bajo las modalidades de selección Licitación Pública y Menor Cuantía.</w:t>
      </w:r>
    </w:p>
    <w:p w14:paraId="3D52162B" w14:textId="77777777" w:rsidR="005D4DF4" w:rsidRPr="005D4DF4" w:rsidRDefault="005D4DF4" w:rsidP="005D4DF4">
      <w:pPr>
        <w:pStyle w:val="Sinespaciado"/>
        <w:spacing w:line="276" w:lineRule="auto"/>
        <w:jc w:val="both"/>
        <w:rPr>
          <w:rFonts w:ascii="Verdana" w:hAnsi="Verdana" w:cs="Arial"/>
          <w:sz w:val="22"/>
          <w:szCs w:val="22"/>
        </w:rPr>
      </w:pPr>
    </w:p>
    <w:p w14:paraId="11293E26" w14:textId="77777777" w:rsidR="005D4DF4" w:rsidRPr="005D4DF4" w:rsidRDefault="4C10BDF0" w:rsidP="005D4DF4">
      <w:pPr>
        <w:pStyle w:val="Sinespaciado"/>
        <w:jc w:val="both"/>
        <w:rPr>
          <w:rFonts w:ascii="Verdana" w:hAnsi="Verdana" w:cs="Arial"/>
          <w:sz w:val="22"/>
          <w:szCs w:val="22"/>
        </w:rPr>
      </w:pPr>
      <w:r w:rsidRPr="005D4DF4">
        <w:rPr>
          <w:rFonts w:ascii="Verdana" w:hAnsi="Verdana" w:cs="Arial"/>
          <w:sz w:val="22"/>
          <w:szCs w:val="22"/>
        </w:rPr>
        <w:t>Conforme con los lineamientos establecidos en el MANUAL PARA DETERMINAR Y VERIFICAR LOS REQUISITOS HABILITANTES EN LOS PROCESOS DE CONTRATACIÓN</w:t>
      </w:r>
      <w:r w:rsidR="005D4DF4" w:rsidRPr="005D4DF4">
        <w:rPr>
          <w:rStyle w:val="Refdenotaalpie"/>
          <w:rFonts w:ascii="Verdana" w:hAnsi="Verdana" w:cs="Arial"/>
          <w:sz w:val="22"/>
          <w:szCs w:val="22"/>
        </w:rPr>
        <w:footnoteReference w:id="33"/>
      </w:r>
      <w:r w:rsidRPr="005D4DF4">
        <w:rPr>
          <w:rFonts w:ascii="Verdana" w:hAnsi="Verdana" w:cs="Arial"/>
          <w:sz w:val="22"/>
          <w:szCs w:val="22"/>
        </w:rPr>
        <w:t xml:space="preserve"> (versión 3) expedido por la Agencia Nacional de Contratación Pública -Colombia Compra Eficiente,  es importante precisar que el análisis realizado tiene como objetivo establecer condiciones mínimas en relación con la «salud financiera» de los proponentes, mediante la cual demostrar su aptitud para cumplir oportuna y cabalmente el objeto del contrato a través del análisis de su liquidez, endeudamiento y razón de cobertura de intereses, capital de trabajo, patrimonio, rentabilidad del patrimonio y rentabilidad del activo. </w:t>
      </w:r>
    </w:p>
    <w:p w14:paraId="7641F910" w14:textId="77777777" w:rsidR="005D4DF4" w:rsidRPr="005D4DF4" w:rsidRDefault="005D4DF4" w:rsidP="005D4DF4">
      <w:pPr>
        <w:pStyle w:val="Sinespaciado"/>
        <w:jc w:val="both"/>
        <w:rPr>
          <w:rFonts w:ascii="Verdana" w:hAnsi="Verdana" w:cs="Arial"/>
          <w:sz w:val="22"/>
          <w:szCs w:val="22"/>
        </w:rPr>
      </w:pPr>
    </w:p>
    <w:p w14:paraId="5BFCE308" w14:textId="77777777" w:rsidR="005D4DF4" w:rsidRPr="005D4DF4" w:rsidRDefault="005D4DF4" w:rsidP="005D4DF4">
      <w:pPr>
        <w:pStyle w:val="Sinespaciado"/>
        <w:jc w:val="both"/>
        <w:rPr>
          <w:rFonts w:ascii="Verdana" w:hAnsi="Verdana" w:cs="Arial"/>
          <w:sz w:val="22"/>
          <w:szCs w:val="22"/>
        </w:rPr>
      </w:pPr>
      <w:r w:rsidRPr="005D4DF4">
        <w:rPr>
          <w:rFonts w:ascii="Verdana" w:hAnsi="Verdana" w:cs="Arial"/>
          <w:sz w:val="22"/>
          <w:szCs w:val="22"/>
        </w:rPr>
        <w:t>Igualmente, la revisión del estado financiero de las empresas del sector busca sustentar la definición de requisitos de capacidad financiera y organizacional que sean adecuados y proporcionales a la naturaleza, forma de pago, plazo, complejidad, riesgo y al valor del contrato que se puedan suscribir por Entidades Públicas en el marco de procesos de selección que se adelanten a través de los documentos tipo.</w:t>
      </w:r>
    </w:p>
    <w:p w14:paraId="0F9E8C71" w14:textId="77777777" w:rsidR="005D4DF4" w:rsidRPr="005D4DF4" w:rsidRDefault="005D4DF4" w:rsidP="005D4DF4">
      <w:pPr>
        <w:pStyle w:val="Sinespaciado"/>
        <w:spacing w:line="276" w:lineRule="auto"/>
        <w:jc w:val="both"/>
        <w:rPr>
          <w:rFonts w:ascii="Verdana" w:hAnsi="Verdana" w:cs="Arial"/>
          <w:sz w:val="22"/>
          <w:szCs w:val="22"/>
        </w:rPr>
      </w:pPr>
    </w:p>
    <w:p w14:paraId="507E790E" w14:textId="77777777" w:rsidR="005D4DF4" w:rsidRPr="005D4DF4" w:rsidRDefault="005D4DF4" w:rsidP="005D4DF4">
      <w:pPr>
        <w:pStyle w:val="Sinespaciado"/>
        <w:spacing w:line="276" w:lineRule="auto"/>
        <w:jc w:val="both"/>
        <w:rPr>
          <w:rFonts w:ascii="Verdana" w:hAnsi="Verdana" w:cs="Arial"/>
          <w:bCs/>
          <w:color w:val="000000"/>
          <w:sz w:val="22"/>
          <w:szCs w:val="22"/>
        </w:rPr>
      </w:pPr>
      <w:r w:rsidRPr="005D4DF4">
        <w:rPr>
          <w:rFonts w:ascii="Verdana" w:hAnsi="Verdana" w:cs="Arial"/>
          <w:color w:val="000000"/>
          <w:sz w:val="22"/>
          <w:szCs w:val="22"/>
        </w:rPr>
        <w:t xml:space="preserve">A continuación, se presentan las definiciones de los indicadores financieros </w:t>
      </w:r>
      <w:r w:rsidRPr="005D4DF4">
        <w:rPr>
          <w:rFonts w:ascii="Verdana" w:hAnsi="Verdana" w:cs="Arial"/>
          <w:sz w:val="22"/>
          <w:szCs w:val="22"/>
        </w:rPr>
        <w:t>establecidos en los numerales 3. “Capacidad Financiera” y 4. “Capacidad Organizacional”, del Articulo 2.2.1.1.1.5.3 del Decreto 1082 de 2015.</w:t>
      </w:r>
    </w:p>
    <w:p w14:paraId="1EF6FC28" w14:textId="77777777" w:rsidR="005D4DF4" w:rsidRPr="005D4DF4" w:rsidRDefault="005D4DF4" w:rsidP="005D4DF4">
      <w:pPr>
        <w:jc w:val="both"/>
        <w:rPr>
          <w:rFonts w:ascii="Verdana" w:hAnsi="Verdana" w:cs="Arial"/>
          <w:b/>
          <w:bCs/>
          <w:color w:val="000000"/>
          <w:sz w:val="22"/>
          <w:szCs w:val="22"/>
        </w:rPr>
      </w:pPr>
    </w:p>
    <w:p w14:paraId="04345DDB" w14:textId="77777777" w:rsidR="005D4DF4" w:rsidRPr="005D4DF4" w:rsidRDefault="005D4DF4" w:rsidP="00E42FDE">
      <w:pPr>
        <w:pStyle w:val="Prrafodelista"/>
        <w:numPr>
          <w:ilvl w:val="0"/>
          <w:numId w:val="59"/>
        </w:numPr>
        <w:spacing w:after="0" w:line="276" w:lineRule="auto"/>
        <w:ind w:left="567"/>
        <w:contextualSpacing w:val="0"/>
        <w:rPr>
          <w:rFonts w:ascii="Verdana" w:hAnsi="Verdana" w:cs="Arial"/>
          <w:bCs/>
          <w:color w:val="000000"/>
        </w:rPr>
      </w:pPr>
      <w:r w:rsidRPr="005D4DF4">
        <w:rPr>
          <w:rFonts w:ascii="Verdana" w:hAnsi="Verdana" w:cs="Arial"/>
          <w:b/>
          <w:bCs/>
          <w:color w:val="000000"/>
        </w:rPr>
        <w:t xml:space="preserve">Capacidad Financiera: </w:t>
      </w:r>
      <w:r w:rsidRPr="005D4DF4">
        <w:rPr>
          <w:rFonts w:ascii="Verdana" w:hAnsi="Verdana" w:cs="Arial"/>
          <w:bCs/>
          <w:color w:val="000000"/>
        </w:rPr>
        <w:t>los siguientes indicadores miden la fortaleza financiera del interesado</w:t>
      </w:r>
      <w:r w:rsidRPr="005D4DF4">
        <w:rPr>
          <w:rFonts w:ascii="Verdana" w:hAnsi="Verdana" w:cs="Arial"/>
          <w:bCs/>
          <w:color w:val="000000"/>
          <w:lang w:val="es-MX"/>
        </w:rPr>
        <w:t>:</w:t>
      </w:r>
    </w:p>
    <w:p w14:paraId="68014D6F" w14:textId="77777777" w:rsidR="005D4DF4" w:rsidRPr="005D4DF4" w:rsidRDefault="4C10BDF0" w:rsidP="00E42FDE">
      <w:pPr>
        <w:numPr>
          <w:ilvl w:val="0"/>
          <w:numId w:val="58"/>
        </w:numPr>
        <w:spacing w:line="276" w:lineRule="auto"/>
        <w:ind w:left="567"/>
        <w:jc w:val="both"/>
        <w:rPr>
          <w:rFonts w:ascii="Verdana" w:hAnsi="Verdana" w:cs="Arial"/>
          <w:sz w:val="22"/>
          <w:szCs w:val="22"/>
          <w:lang w:eastAsia="es-CO"/>
        </w:rPr>
      </w:pPr>
      <w:r w:rsidRPr="4B6F30B9">
        <w:rPr>
          <w:rFonts w:ascii="Verdana" w:hAnsi="Verdana" w:cs="Arial"/>
          <w:color w:val="000000"/>
          <w:sz w:val="22"/>
          <w:szCs w:val="22"/>
        </w:rPr>
        <w:t xml:space="preserve">Índice de Liquidez: </w:t>
      </w:r>
      <w:r w:rsidRPr="005D4DF4">
        <w:rPr>
          <w:rFonts w:ascii="Verdana" w:hAnsi="Verdana" w:cs="Arial"/>
          <w:sz w:val="22"/>
          <w:szCs w:val="22"/>
          <w:lang w:eastAsia="es-CO"/>
        </w:rPr>
        <w:t xml:space="preserve">El índice de liquidez (IDL, activo corriente/pasivo corriente), pretende determinar si los recursos de la empresa, a corto plazo, son suficientes para afrontar sus obligaciones, también a corto plazo. </w:t>
      </w:r>
      <w:r w:rsidRPr="449377F1">
        <w:rPr>
          <w:rFonts w:ascii="Verdana" w:hAnsi="Verdana" w:cs="Arial"/>
          <w:i/>
          <w:iCs/>
          <w:sz w:val="22"/>
          <w:szCs w:val="22"/>
          <w:lang w:eastAsia="es-CO"/>
        </w:rPr>
        <w:t>“Refleja la capacidad de la empresa para cubrir sus obligaciones corrientes, guardando cierto margen de seguridad en previsión de alguna reducción o pérdida en el valor de los activos corrientes”</w:t>
      </w:r>
      <w:r w:rsidRPr="005D4DF4">
        <w:rPr>
          <w:rFonts w:ascii="Verdana" w:hAnsi="Verdana" w:cs="Arial"/>
          <w:sz w:val="22"/>
          <w:szCs w:val="22"/>
          <w:lang w:eastAsia="es-CO"/>
        </w:rPr>
        <w:t>.</w:t>
      </w:r>
      <w:r w:rsidR="005D4DF4" w:rsidRPr="005D4DF4">
        <w:rPr>
          <w:rStyle w:val="Refdenotaalpie"/>
          <w:rFonts w:ascii="Verdana" w:hAnsi="Verdana" w:cs="Arial"/>
          <w:sz w:val="22"/>
          <w:szCs w:val="22"/>
          <w:lang w:eastAsia="es-CO"/>
        </w:rPr>
        <w:footnoteReference w:id="34"/>
      </w:r>
      <w:r w:rsidRPr="005D4DF4">
        <w:rPr>
          <w:rFonts w:ascii="Verdana" w:hAnsi="Verdana" w:cs="Arial"/>
          <w:sz w:val="22"/>
          <w:szCs w:val="22"/>
          <w:lang w:eastAsia="es-CO"/>
        </w:rPr>
        <w:t xml:space="preserve"> </w:t>
      </w:r>
    </w:p>
    <w:p w14:paraId="150481FB" w14:textId="77777777" w:rsidR="005D4DF4" w:rsidRPr="005D4DF4" w:rsidRDefault="005D4DF4" w:rsidP="00E42FDE">
      <w:pPr>
        <w:numPr>
          <w:ilvl w:val="0"/>
          <w:numId w:val="58"/>
        </w:numPr>
        <w:spacing w:line="276" w:lineRule="auto"/>
        <w:ind w:left="567"/>
        <w:jc w:val="both"/>
        <w:rPr>
          <w:rFonts w:ascii="Verdana" w:hAnsi="Verdana" w:cs="Arial"/>
          <w:bCs/>
          <w:color w:val="000000"/>
          <w:sz w:val="22"/>
          <w:szCs w:val="22"/>
        </w:rPr>
      </w:pPr>
      <w:r w:rsidRPr="005D4DF4">
        <w:rPr>
          <w:rFonts w:ascii="Verdana" w:hAnsi="Verdana" w:cs="Arial"/>
          <w:bCs/>
          <w:color w:val="000000"/>
          <w:sz w:val="22"/>
          <w:szCs w:val="22"/>
        </w:rPr>
        <w:t>Nivel de endeudamiento: El nivel de endeudamiento (NDE, Pasivo total/Activo total) indica el grado de apalancamiento de la compañía o la participación de los acreedores sobre los activos de la compañía.</w:t>
      </w:r>
    </w:p>
    <w:p w14:paraId="68FB27D0" w14:textId="77777777" w:rsidR="005D4DF4" w:rsidRPr="005D4DF4" w:rsidRDefault="005D4DF4" w:rsidP="00E42FDE">
      <w:pPr>
        <w:numPr>
          <w:ilvl w:val="0"/>
          <w:numId w:val="58"/>
        </w:numPr>
        <w:spacing w:line="276" w:lineRule="auto"/>
        <w:ind w:left="567"/>
        <w:jc w:val="both"/>
        <w:rPr>
          <w:rFonts w:ascii="Verdana" w:hAnsi="Verdana" w:cs="Arial"/>
          <w:bCs/>
          <w:color w:val="000000"/>
          <w:sz w:val="22"/>
          <w:szCs w:val="22"/>
        </w:rPr>
      </w:pPr>
      <w:r w:rsidRPr="005D4DF4">
        <w:rPr>
          <w:rFonts w:ascii="Verdana" w:hAnsi="Verdana" w:cs="Arial"/>
          <w:bCs/>
          <w:color w:val="000000"/>
          <w:sz w:val="22"/>
          <w:szCs w:val="22"/>
        </w:rPr>
        <w:lastRenderedPageBreak/>
        <w:t>Razón de Cobertura de Intereses: Este indicador establece una relación entre las utilidades operacionales de la empresa y los gastos por intereses, los cuales están, a su vez, directamente relacionados con el NDE. Se verifica la capacidad de la empresa para realizar los pagos de intereses. La razón de cobertura de intereses se calcula mediante la fórmula RCI = Utilidad Operacional/Gastos de intereses.</w:t>
      </w:r>
    </w:p>
    <w:p w14:paraId="06334828" w14:textId="77777777" w:rsidR="005D4DF4" w:rsidRPr="005D4DF4" w:rsidRDefault="005D4DF4" w:rsidP="00E42FDE">
      <w:pPr>
        <w:numPr>
          <w:ilvl w:val="0"/>
          <w:numId w:val="58"/>
        </w:numPr>
        <w:spacing w:line="276" w:lineRule="auto"/>
        <w:ind w:left="567"/>
        <w:jc w:val="both"/>
        <w:rPr>
          <w:rFonts w:ascii="Verdana" w:hAnsi="Verdana" w:cs="Arial"/>
          <w:sz w:val="22"/>
          <w:szCs w:val="22"/>
        </w:rPr>
      </w:pPr>
      <w:r w:rsidRPr="005D4DF4">
        <w:rPr>
          <w:rFonts w:ascii="Verdana" w:hAnsi="Verdana" w:cs="Arial"/>
          <w:sz w:val="22"/>
          <w:szCs w:val="22"/>
        </w:rPr>
        <w:t>Capital de Trabajo: Representa, en términos absolutos, la liquidez operativa de la empresa, es decir, la capacidad de una compañía para llevar a cabo sus actividades con normalidad en el corto plazo (menor a un año). Resulta de restarle al pasivo corriente los activos corrientes. Contar con capital de trabajo positivo favorece el desarrollo eficiente del objeto social de una compañía.</w:t>
      </w:r>
    </w:p>
    <w:p w14:paraId="7863E817" w14:textId="77777777" w:rsidR="005D4DF4" w:rsidRPr="005D4DF4" w:rsidRDefault="4C10BDF0" w:rsidP="00E42FDE">
      <w:pPr>
        <w:numPr>
          <w:ilvl w:val="0"/>
          <w:numId w:val="58"/>
        </w:numPr>
        <w:spacing w:line="276" w:lineRule="auto"/>
        <w:ind w:left="567"/>
        <w:jc w:val="both"/>
        <w:rPr>
          <w:rFonts w:ascii="Verdana" w:hAnsi="Verdana" w:cs="Arial"/>
          <w:sz w:val="22"/>
          <w:szCs w:val="22"/>
        </w:rPr>
      </w:pPr>
      <w:r w:rsidRPr="005D4DF4">
        <w:rPr>
          <w:rFonts w:ascii="Verdana" w:hAnsi="Verdana" w:cs="Arial"/>
          <w:sz w:val="22"/>
          <w:szCs w:val="22"/>
        </w:rPr>
        <w:t>Patrimonio: Mide la cantidad de recursos propios del proponente. “</w:t>
      </w:r>
      <w:r w:rsidRPr="449377F1">
        <w:rPr>
          <w:rFonts w:ascii="Verdana" w:hAnsi="Verdana" w:cs="Arial"/>
          <w:i/>
          <w:iCs/>
          <w:sz w:val="22"/>
          <w:szCs w:val="22"/>
        </w:rPr>
        <w:t>Es recomendable su uso cuando la Entidad Estatal requiere analizar la cantidad de recursos propios en términos absolutos cuando el proceso de contratación es muy alto y la Entidad debe asegurar la continuidad del proponente en el tiempo</w:t>
      </w:r>
      <w:r w:rsidRPr="005D4DF4">
        <w:rPr>
          <w:rFonts w:ascii="Verdana" w:hAnsi="Verdana" w:cs="Arial"/>
          <w:sz w:val="22"/>
          <w:szCs w:val="22"/>
        </w:rPr>
        <w:t>”</w:t>
      </w:r>
      <w:r w:rsidR="005D4DF4" w:rsidRPr="005D4DF4">
        <w:rPr>
          <w:rStyle w:val="Refdenotaalpie"/>
          <w:rFonts w:ascii="Verdana" w:hAnsi="Verdana" w:cs="Arial"/>
          <w:sz w:val="22"/>
          <w:szCs w:val="22"/>
        </w:rPr>
        <w:footnoteReference w:id="35"/>
      </w:r>
    </w:p>
    <w:p w14:paraId="2BCBB816" w14:textId="77777777" w:rsidR="005D4DF4" w:rsidRPr="005D4DF4" w:rsidRDefault="005D4DF4" w:rsidP="005D4DF4">
      <w:pPr>
        <w:jc w:val="both"/>
        <w:rPr>
          <w:rFonts w:ascii="Verdana" w:hAnsi="Verdana" w:cs="Arial"/>
          <w:b/>
          <w:bCs/>
          <w:color w:val="000000"/>
          <w:sz w:val="22"/>
          <w:szCs w:val="22"/>
          <w:lang w:val="x-none"/>
        </w:rPr>
      </w:pPr>
    </w:p>
    <w:p w14:paraId="4161F60A" w14:textId="77777777" w:rsidR="005D4DF4" w:rsidRPr="005D4DF4" w:rsidRDefault="005D4DF4" w:rsidP="00E42FDE">
      <w:pPr>
        <w:pStyle w:val="Prrafodelista"/>
        <w:numPr>
          <w:ilvl w:val="0"/>
          <w:numId w:val="59"/>
        </w:numPr>
        <w:spacing w:after="0" w:line="276" w:lineRule="auto"/>
        <w:ind w:left="567"/>
        <w:contextualSpacing w:val="0"/>
        <w:rPr>
          <w:rFonts w:ascii="Verdana" w:hAnsi="Verdana" w:cs="Arial"/>
          <w:b/>
          <w:bCs/>
          <w:color w:val="000000"/>
        </w:rPr>
      </w:pPr>
      <w:r w:rsidRPr="005D4DF4">
        <w:rPr>
          <w:rFonts w:ascii="Verdana" w:hAnsi="Verdana" w:cs="Arial"/>
          <w:b/>
          <w:bCs/>
          <w:color w:val="000000"/>
        </w:rPr>
        <w:t xml:space="preserve">Capacidad Organizacional: </w:t>
      </w:r>
      <w:r w:rsidRPr="005D4DF4">
        <w:rPr>
          <w:rFonts w:ascii="Verdana" w:hAnsi="Verdana" w:cs="Arial"/>
          <w:bCs/>
          <w:color w:val="000000"/>
        </w:rPr>
        <w:t>los siguientes indicadores miden el rendimiento de las inversiones y la eficiencia en el uso de activos del interesado:</w:t>
      </w:r>
    </w:p>
    <w:p w14:paraId="6628B380" w14:textId="77777777" w:rsidR="005D4DF4" w:rsidRPr="005D4DF4" w:rsidRDefault="4C10BDF0" w:rsidP="00E42FDE">
      <w:pPr>
        <w:pStyle w:val="Prrafodelista"/>
        <w:numPr>
          <w:ilvl w:val="0"/>
          <w:numId w:val="58"/>
        </w:numPr>
        <w:spacing w:after="0" w:line="276" w:lineRule="auto"/>
        <w:ind w:left="567"/>
        <w:contextualSpacing w:val="0"/>
        <w:rPr>
          <w:rFonts w:ascii="Verdana" w:hAnsi="Verdana" w:cs="Arial"/>
          <w:bCs/>
          <w:i/>
          <w:color w:val="000000"/>
        </w:rPr>
      </w:pPr>
      <w:r w:rsidRPr="4B6F30B9">
        <w:rPr>
          <w:rFonts w:ascii="Verdana" w:hAnsi="Verdana" w:cs="Arial"/>
          <w:color w:val="000000"/>
        </w:rPr>
        <w:t>Rentabilidad del Patrimonio</w:t>
      </w:r>
      <w:r w:rsidRPr="4B6F30B9">
        <w:rPr>
          <w:rFonts w:ascii="Verdana" w:hAnsi="Verdana" w:cs="Arial"/>
          <w:color w:val="000000"/>
          <w:lang w:val="es-MX"/>
        </w:rPr>
        <w:t>:</w:t>
      </w:r>
      <w:r w:rsidRPr="005D4DF4">
        <w:rPr>
          <w:rFonts w:ascii="Verdana" w:hAnsi="Verdana" w:cs="Arial"/>
          <w:b/>
          <w:bCs/>
          <w:color w:val="000000"/>
          <w:lang w:val="es-MX"/>
        </w:rPr>
        <w:t xml:space="preserve"> </w:t>
      </w:r>
      <w:r w:rsidRPr="4B6F30B9">
        <w:rPr>
          <w:rFonts w:ascii="Verdana" w:hAnsi="Verdana" w:cs="Arial"/>
          <w:color w:val="000000"/>
        </w:rPr>
        <w:t>La rentabilidad del patrimonio (R</w:t>
      </w:r>
      <w:r w:rsidRPr="4B6F30B9">
        <w:rPr>
          <w:rFonts w:ascii="Verdana" w:hAnsi="Verdana" w:cs="Arial"/>
          <w:color w:val="000000"/>
          <w:lang w:val="es-MX"/>
        </w:rPr>
        <w:t>OE =</w:t>
      </w:r>
      <w:r w:rsidRPr="4B6F30B9">
        <w:rPr>
          <w:rFonts w:ascii="Verdana" w:hAnsi="Verdana" w:cs="Arial"/>
          <w:color w:val="000000"/>
        </w:rPr>
        <w:t xml:space="preserve"> Utilidad Operacional/Patrimonio), </w:t>
      </w:r>
      <w:r w:rsidRPr="449377F1">
        <w:rPr>
          <w:rFonts w:ascii="Verdana" w:hAnsi="Verdana" w:cs="Arial"/>
          <w:i/>
          <w:iCs/>
          <w:color w:val="000000"/>
        </w:rPr>
        <w:t>“permite identificar la rentabilidad que le ofrece a los socios o accionistas el capital que han invertido en la empresa, sin tomar en cuenta la diferencia que existe entre este indicador y la rentabilidad financiera, para conocer cuál es el impacto de los gastos financieros e impuestos de la rentabilidad de los accionistas.”</w:t>
      </w:r>
      <w:r w:rsidR="005D4DF4" w:rsidRPr="449377F1">
        <w:rPr>
          <w:rStyle w:val="Refdenotaalpie"/>
          <w:rFonts w:ascii="Verdana" w:hAnsi="Verdana" w:cs="Arial"/>
          <w:i/>
          <w:iCs/>
          <w:color w:val="000000"/>
        </w:rPr>
        <w:footnoteReference w:id="36"/>
      </w:r>
    </w:p>
    <w:p w14:paraId="427B157C" w14:textId="77777777" w:rsidR="005D4DF4" w:rsidRPr="005D4DF4" w:rsidRDefault="4C10BDF0" w:rsidP="00E42FDE">
      <w:pPr>
        <w:numPr>
          <w:ilvl w:val="0"/>
          <w:numId w:val="58"/>
        </w:numPr>
        <w:spacing w:line="276" w:lineRule="auto"/>
        <w:ind w:left="567"/>
        <w:jc w:val="both"/>
        <w:rPr>
          <w:rFonts w:ascii="Verdana" w:hAnsi="Verdana" w:cs="Arial"/>
          <w:b/>
          <w:bCs/>
          <w:i/>
          <w:color w:val="000000"/>
          <w:sz w:val="22"/>
          <w:szCs w:val="22"/>
        </w:rPr>
      </w:pPr>
      <w:r w:rsidRPr="4B6F30B9">
        <w:rPr>
          <w:rFonts w:ascii="Verdana" w:hAnsi="Verdana" w:cs="Arial"/>
          <w:color w:val="000000"/>
          <w:sz w:val="22"/>
          <w:szCs w:val="22"/>
        </w:rPr>
        <w:t>Rentabilidad del activo:</w:t>
      </w:r>
      <w:r w:rsidRPr="005D4DF4">
        <w:rPr>
          <w:rFonts w:ascii="Verdana" w:hAnsi="Verdana" w:cs="Arial"/>
          <w:b/>
          <w:bCs/>
          <w:color w:val="000000"/>
          <w:sz w:val="22"/>
          <w:szCs w:val="22"/>
        </w:rPr>
        <w:t xml:space="preserve"> </w:t>
      </w:r>
      <w:r w:rsidRPr="4B6F30B9">
        <w:rPr>
          <w:rFonts w:ascii="Verdana" w:hAnsi="Verdana" w:cs="Arial"/>
          <w:color w:val="000000"/>
          <w:sz w:val="22"/>
          <w:szCs w:val="22"/>
        </w:rPr>
        <w:t>La rentabilidad del activo (ROA = Utilidad Operacional/Activo Total), “</w:t>
      </w:r>
      <w:r w:rsidRPr="449377F1">
        <w:rPr>
          <w:rFonts w:ascii="Verdana" w:hAnsi="Verdana" w:cs="Arial"/>
          <w:i/>
          <w:iCs/>
          <w:color w:val="000000"/>
          <w:sz w:val="22"/>
          <w:szCs w:val="22"/>
        </w:rPr>
        <w:t>se considera como una medida de la capacidad de los activos de una empresa para generar valor con independencia, es un indicador para juzgar la eficiencia en la Gestión Empresarial, pues es precisamente el comportamiento de los activos con independencia de su financiación, el que determina con carácter general que una empresa sea o no rentable en términos económicos.”</w:t>
      </w:r>
      <w:r w:rsidR="005D4DF4" w:rsidRPr="449377F1">
        <w:rPr>
          <w:rStyle w:val="Refdenotaalpie"/>
          <w:rFonts w:ascii="Verdana" w:hAnsi="Verdana" w:cs="Arial"/>
          <w:i/>
          <w:iCs/>
          <w:color w:val="000000"/>
          <w:sz w:val="22"/>
          <w:szCs w:val="22"/>
        </w:rPr>
        <w:footnoteReference w:id="37"/>
      </w:r>
      <w:r w:rsidRPr="449377F1">
        <w:rPr>
          <w:rFonts w:ascii="Verdana" w:hAnsi="Verdana" w:cs="Arial"/>
          <w:i/>
          <w:iCs/>
          <w:color w:val="000000"/>
          <w:sz w:val="22"/>
          <w:szCs w:val="22"/>
        </w:rPr>
        <w:t xml:space="preserve"> </w:t>
      </w:r>
    </w:p>
    <w:p w14:paraId="06F403AD" w14:textId="77777777" w:rsidR="005D4DF4" w:rsidRPr="005D4DF4" w:rsidRDefault="005D4DF4" w:rsidP="005D4DF4">
      <w:pPr>
        <w:autoSpaceDE w:val="0"/>
        <w:autoSpaceDN w:val="0"/>
        <w:jc w:val="both"/>
        <w:rPr>
          <w:rFonts w:ascii="Verdana" w:hAnsi="Verdana" w:cs="Arial"/>
          <w:color w:val="000000"/>
          <w:sz w:val="22"/>
          <w:szCs w:val="22"/>
        </w:rPr>
      </w:pPr>
    </w:p>
    <w:p w14:paraId="5A3DBE37" w14:textId="77777777" w:rsidR="005D4DF4" w:rsidRPr="005D4DF4" w:rsidRDefault="005D4DF4" w:rsidP="005D4DF4">
      <w:pPr>
        <w:autoSpaceDE w:val="0"/>
        <w:autoSpaceDN w:val="0"/>
        <w:jc w:val="both"/>
        <w:rPr>
          <w:rFonts w:ascii="Verdana" w:hAnsi="Verdana" w:cs="Arial"/>
          <w:color w:val="000000"/>
          <w:sz w:val="22"/>
          <w:szCs w:val="22"/>
        </w:rPr>
      </w:pPr>
      <w:r w:rsidRPr="005D4DF4">
        <w:rPr>
          <w:rFonts w:ascii="Verdana" w:hAnsi="Verdana" w:cs="Arial"/>
          <w:color w:val="000000"/>
          <w:sz w:val="22"/>
          <w:szCs w:val="22"/>
        </w:rPr>
        <w:lastRenderedPageBreak/>
        <w:t xml:space="preserve">Toda la información financiera de las </w:t>
      </w:r>
      <w:r w:rsidRPr="005D4DF4">
        <w:rPr>
          <w:rFonts w:ascii="Verdana" w:hAnsi="Verdana" w:cs="Arial"/>
          <w:b/>
          <w:bCs/>
          <w:color w:val="000000"/>
          <w:sz w:val="22"/>
          <w:szCs w:val="22"/>
        </w:rPr>
        <w:t xml:space="preserve">mil novecientas cincuenta y cinco (1.955) </w:t>
      </w:r>
      <w:r w:rsidRPr="005D4DF4">
        <w:rPr>
          <w:rFonts w:ascii="Verdana" w:hAnsi="Verdana" w:cs="Arial"/>
          <w:color w:val="000000"/>
          <w:sz w:val="22"/>
          <w:szCs w:val="22"/>
        </w:rPr>
        <w:t xml:space="preserve">empresas, se consolida en </w:t>
      </w:r>
      <w:r w:rsidRPr="005D4DF4">
        <w:rPr>
          <w:rFonts w:ascii="Verdana" w:hAnsi="Verdana" w:cs="Arial"/>
          <w:sz w:val="22"/>
          <w:szCs w:val="22"/>
          <w:lang w:eastAsia="es-CO"/>
        </w:rPr>
        <w:t xml:space="preserve">el Anexo No. 1. “Información financiera e indicadores de capacidad financiera y organizacional de las empresas del sector”, en el cual se detallan las </w:t>
      </w:r>
      <w:r w:rsidRPr="005D4DF4">
        <w:rPr>
          <w:rFonts w:ascii="Verdana" w:hAnsi="Verdana" w:cs="Arial"/>
          <w:color w:val="000000"/>
          <w:sz w:val="22"/>
          <w:szCs w:val="22"/>
        </w:rPr>
        <w:t xml:space="preserve">cuentas del estado de Situación Financiera y del estado de Resultado para el año 2023, </w:t>
      </w:r>
      <w:r w:rsidRPr="005D4DF4">
        <w:rPr>
          <w:rFonts w:ascii="Verdana" w:hAnsi="Verdana" w:cs="Arial"/>
          <w:sz w:val="22"/>
          <w:szCs w:val="22"/>
          <w:lang w:eastAsia="es-CO"/>
        </w:rPr>
        <w:t xml:space="preserve">utilizadas para calcular los indicadores financieros de las empresas, así como los indicadores. </w:t>
      </w:r>
    </w:p>
    <w:p w14:paraId="0DB730EE" w14:textId="77777777" w:rsidR="005D4DF4" w:rsidRPr="005D4DF4" w:rsidRDefault="005D4DF4" w:rsidP="005D4DF4">
      <w:pPr>
        <w:jc w:val="both"/>
        <w:rPr>
          <w:rFonts w:ascii="Verdana" w:hAnsi="Verdana" w:cs="Arial"/>
          <w:sz w:val="22"/>
          <w:szCs w:val="22"/>
          <w:lang w:eastAsia="es-CO"/>
        </w:rPr>
      </w:pPr>
    </w:p>
    <w:p w14:paraId="47DCD1FC" w14:textId="77777777" w:rsidR="005D4DF4" w:rsidRPr="005D4DF4" w:rsidRDefault="4C10BDF0" w:rsidP="005D4DF4">
      <w:pPr>
        <w:jc w:val="both"/>
        <w:rPr>
          <w:rFonts w:ascii="Verdana" w:hAnsi="Verdana" w:cs="Arial"/>
          <w:sz w:val="22"/>
          <w:szCs w:val="22"/>
          <w:lang w:val="es-MX" w:eastAsia="es-CO"/>
        </w:rPr>
      </w:pPr>
      <w:r w:rsidRPr="005D4DF4">
        <w:rPr>
          <w:rFonts w:ascii="Verdana" w:hAnsi="Verdana" w:cs="Arial"/>
          <w:sz w:val="22"/>
          <w:szCs w:val="22"/>
          <w:lang w:val="es-MX" w:eastAsia="es-CO"/>
        </w:rPr>
        <w:t xml:space="preserve">Teniendo en cuenta que en la muestra de los estados financieros de las empresas del sector se identificaron datos atípicos, se procedió a “normalizar” la muestra, excluyendo dichos indicadores con el fin de evitar distorsiones al calcular las medidas de tendencia central. </w:t>
      </w:r>
      <w:bookmarkStart w:id="41" w:name="_Hlk110242187"/>
      <w:r w:rsidRPr="005D4DF4">
        <w:rPr>
          <w:rFonts w:ascii="Verdana" w:hAnsi="Verdana" w:cs="Arial"/>
          <w:sz w:val="22"/>
          <w:szCs w:val="22"/>
          <w:lang w:val="es-MX" w:eastAsia="es-CO"/>
        </w:rPr>
        <w:t>Para normalizar la muestra se utiliza el criterio del rango intercuartílico</w:t>
      </w:r>
      <w:r w:rsidR="005D4DF4" w:rsidRPr="005D4DF4">
        <w:rPr>
          <w:rStyle w:val="Refdenotaalpie"/>
          <w:rFonts w:ascii="Verdana" w:hAnsi="Verdana" w:cs="Arial"/>
          <w:sz w:val="22"/>
          <w:szCs w:val="22"/>
          <w:lang w:val="es-MX" w:eastAsia="es-CO"/>
        </w:rPr>
        <w:footnoteReference w:id="38"/>
      </w:r>
      <w:r w:rsidRPr="005D4DF4">
        <w:rPr>
          <w:rFonts w:ascii="Verdana" w:hAnsi="Verdana" w:cs="Arial"/>
          <w:sz w:val="22"/>
          <w:szCs w:val="22"/>
          <w:lang w:val="es-MX" w:eastAsia="es-CO"/>
        </w:rPr>
        <w:t xml:space="preserve"> propuesto en la </w:t>
      </w:r>
      <w:r w:rsidRPr="005D4DF4">
        <w:rPr>
          <w:rFonts w:ascii="Verdana" w:hAnsi="Verdana" w:cs="Arial"/>
          <w:sz w:val="22"/>
          <w:szCs w:val="22"/>
        </w:rPr>
        <w:t>GEES</w:t>
      </w:r>
      <w:r w:rsidR="005D4DF4" w:rsidRPr="4B6F30B9">
        <w:rPr>
          <w:rStyle w:val="Refdenotaalpie"/>
          <w:rFonts w:ascii="Verdana" w:hAnsi="Verdana" w:cs="Arial"/>
          <w:sz w:val="22"/>
          <w:szCs w:val="22"/>
        </w:rPr>
        <w:footnoteReference w:id="39"/>
      </w:r>
      <w:r w:rsidRPr="005D4DF4">
        <w:rPr>
          <w:rFonts w:ascii="Verdana" w:hAnsi="Verdana" w:cs="Arial"/>
          <w:sz w:val="22"/>
          <w:szCs w:val="22"/>
        </w:rPr>
        <w:t xml:space="preserve"> para el manejo de datos atípicos</w:t>
      </w:r>
      <w:r w:rsidRPr="005D4DF4">
        <w:rPr>
          <w:rFonts w:ascii="Verdana" w:hAnsi="Verdana" w:cs="Arial"/>
          <w:sz w:val="22"/>
          <w:szCs w:val="22"/>
          <w:lang w:val="es-MX" w:eastAsia="es-CO"/>
        </w:rPr>
        <w:t xml:space="preserve">. Este criterio </w:t>
      </w:r>
      <w:r w:rsidRPr="449377F1">
        <w:rPr>
          <w:rFonts w:ascii="Verdana" w:hAnsi="Verdana" w:cs="Arial"/>
          <w:i/>
          <w:iCs/>
          <w:sz w:val="22"/>
          <w:szCs w:val="22"/>
          <w:lang w:val="es-MX" w:eastAsia="es-CO"/>
        </w:rPr>
        <w:t>“permite entender entre cuáles valores se ubica la mitad de los datos en la parte central de la distribución</w:t>
      </w:r>
      <w:r w:rsidRPr="005D4DF4">
        <w:rPr>
          <w:rFonts w:ascii="Verdana" w:hAnsi="Verdana" w:cs="Arial"/>
          <w:sz w:val="22"/>
          <w:szCs w:val="22"/>
          <w:lang w:val="es-MX" w:eastAsia="es-CO"/>
        </w:rPr>
        <w:t>”</w:t>
      </w:r>
      <w:r w:rsidR="005D4DF4" w:rsidRPr="005D4DF4">
        <w:rPr>
          <w:rStyle w:val="Refdenotaalpie"/>
          <w:rFonts w:ascii="Verdana" w:hAnsi="Verdana" w:cs="Arial"/>
          <w:sz w:val="22"/>
          <w:szCs w:val="22"/>
          <w:lang w:val="es-MX" w:eastAsia="es-CO"/>
        </w:rPr>
        <w:footnoteReference w:id="40"/>
      </w:r>
      <w:r w:rsidRPr="005D4DF4">
        <w:rPr>
          <w:rFonts w:ascii="Verdana" w:hAnsi="Verdana" w:cs="Arial"/>
          <w:sz w:val="22"/>
          <w:szCs w:val="22"/>
          <w:lang w:val="es-MX" w:eastAsia="es-CO"/>
        </w:rPr>
        <w:t>. De acuerdo con lo descrito en la Guía, la metodología para calcular este promedio consiste en descartar aquellos datos que sean inferiores al primer cuartil (Q</w:t>
      </w:r>
      <w:r w:rsidRPr="005D4DF4">
        <w:rPr>
          <w:rFonts w:ascii="Verdana" w:hAnsi="Verdana" w:cs="Arial"/>
          <w:sz w:val="22"/>
          <w:szCs w:val="22"/>
          <w:vertAlign w:val="subscript"/>
          <w:lang w:val="es-MX" w:eastAsia="es-CO"/>
        </w:rPr>
        <w:t>1</w:t>
      </w:r>
      <w:r w:rsidRPr="005D4DF4">
        <w:rPr>
          <w:rFonts w:ascii="Verdana" w:hAnsi="Verdana" w:cs="Arial"/>
          <w:sz w:val="22"/>
          <w:szCs w:val="22"/>
          <w:lang w:val="es-MX" w:eastAsia="es-CO"/>
        </w:rPr>
        <w:t>) menos el 150% del rango intercuartílico y todo valor que sea mayor al tercer cuartil (Q</w:t>
      </w:r>
      <w:r w:rsidRPr="005D4DF4">
        <w:rPr>
          <w:rFonts w:ascii="Verdana" w:hAnsi="Verdana" w:cs="Arial"/>
          <w:sz w:val="22"/>
          <w:szCs w:val="22"/>
          <w:vertAlign w:val="subscript"/>
          <w:lang w:val="es-MX" w:eastAsia="es-CO"/>
        </w:rPr>
        <w:t>3</w:t>
      </w:r>
      <w:r w:rsidRPr="005D4DF4">
        <w:rPr>
          <w:rFonts w:ascii="Verdana" w:hAnsi="Verdana" w:cs="Arial"/>
          <w:sz w:val="22"/>
          <w:szCs w:val="22"/>
          <w:lang w:val="es-MX" w:eastAsia="es-CO"/>
        </w:rPr>
        <w:t>) más el 150% del rango intercuartílico. Una vez excluidos los datos atípicos se obtiene la muestra normalizada y se calcula el promedio con esta muestra. El promedio de cada uno de los indicadores de la muestra normalizada, luego de aplicado el tratamiento estadístico previamente descrito, es el siguiente:</w:t>
      </w:r>
      <w:bookmarkEnd w:id="41"/>
    </w:p>
    <w:p w14:paraId="27B772F4" w14:textId="77777777" w:rsidR="009F1CFF" w:rsidRDefault="009F1CFF" w:rsidP="009F1CFF">
      <w:pPr>
        <w:jc w:val="both"/>
        <w:rPr>
          <w:rFonts w:ascii="Verdana" w:hAnsi="Verdana" w:cs="Arial"/>
          <w:lang w:val="es-MX" w:eastAsia="es-CO"/>
        </w:rPr>
      </w:pPr>
    </w:p>
    <w:p w14:paraId="43C1B65C" w14:textId="4A5834D5" w:rsidR="009F1CFF" w:rsidRPr="00A81BAA" w:rsidRDefault="00D878B1" w:rsidP="005C7E10">
      <w:pPr>
        <w:pStyle w:val="Descripcin"/>
        <w:spacing w:after="0"/>
        <w:jc w:val="both"/>
        <w:rPr>
          <w:rFonts w:ascii="Verdana" w:hAnsi="Verdana" w:cs="Arial"/>
          <w:lang w:val="es-MX"/>
        </w:rPr>
      </w:pPr>
      <w:bookmarkStart w:id="42" w:name="_Toc180136825"/>
      <w:r>
        <w:t xml:space="preserve">Tabla </w:t>
      </w:r>
      <w:r>
        <w:fldChar w:fldCharType="begin"/>
      </w:r>
      <w:r>
        <w:instrText xml:space="preserve"> SEQ Tabla \* ARABIC </w:instrText>
      </w:r>
      <w:r>
        <w:fldChar w:fldCharType="separate"/>
      </w:r>
      <w:r w:rsidR="00CF739E">
        <w:rPr>
          <w:noProof/>
        </w:rPr>
        <w:t>9</w:t>
      </w:r>
      <w:r>
        <w:fldChar w:fldCharType="end"/>
      </w:r>
      <w:r>
        <w:t xml:space="preserve">. </w:t>
      </w:r>
      <w:r w:rsidRPr="00B27881">
        <w:t>Indicadores de capacidad financiera y organizacional promedio del sector. Promedio de la muestra normalizada utilizando el criterio del rango intercuartílico</w:t>
      </w:r>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6"/>
        <w:gridCol w:w="990"/>
        <w:gridCol w:w="1418"/>
        <w:gridCol w:w="1135"/>
        <w:gridCol w:w="1146"/>
        <w:gridCol w:w="1193"/>
        <w:gridCol w:w="1190"/>
        <w:gridCol w:w="2001"/>
      </w:tblGrid>
      <w:tr w:rsidR="00FE2DF6" w:rsidRPr="00FE22E0" w14:paraId="1A73D34C" w14:textId="77777777" w:rsidTr="0044671B">
        <w:trPr>
          <w:trHeight w:val="765"/>
          <w:jc w:val="center"/>
        </w:trPr>
        <w:tc>
          <w:tcPr>
            <w:tcW w:w="556" w:type="dxa"/>
            <w:shd w:val="clear" w:color="auto" w:fill="auto"/>
            <w:noWrap/>
            <w:vAlign w:val="center"/>
            <w:hideMark/>
          </w:tcPr>
          <w:p w14:paraId="7E7D8736" w14:textId="77777777" w:rsidR="00FE2DF6" w:rsidRPr="00FE22E0" w:rsidRDefault="00FE2DF6" w:rsidP="0044671B">
            <w:pPr>
              <w:rPr>
                <w:rFonts w:ascii="Arial" w:hAnsi="Arial" w:cs="Arial"/>
                <w:color w:val="000000"/>
                <w:sz w:val="14"/>
                <w:szCs w:val="14"/>
                <w:lang w:eastAsia="es-CO"/>
              </w:rPr>
            </w:pPr>
            <w:r w:rsidRPr="00FE22E0">
              <w:rPr>
                <w:rFonts w:ascii="Arial" w:hAnsi="Arial" w:cs="Arial"/>
                <w:color w:val="000000"/>
                <w:sz w:val="14"/>
                <w:szCs w:val="14"/>
                <w:lang w:eastAsia="es-CO"/>
              </w:rPr>
              <w:t> </w:t>
            </w:r>
          </w:p>
        </w:tc>
        <w:tc>
          <w:tcPr>
            <w:tcW w:w="990" w:type="dxa"/>
            <w:shd w:val="clear" w:color="000000" w:fill="D9D9D9"/>
            <w:vAlign w:val="center"/>
            <w:hideMark/>
          </w:tcPr>
          <w:p w14:paraId="30B916D5"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ÍNDICE DE LIQUIDEZ</w:t>
            </w:r>
            <w:r w:rsidRPr="00FE22E0">
              <w:rPr>
                <w:rFonts w:ascii="Arial" w:hAnsi="Arial" w:cs="Arial"/>
                <w:b/>
                <w:bCs/>
                <w:color w:val="000000"/>
                <w:sz w:val="14"/>
                <w:szCs w:val="14"/>
                <w:lang w:eastAsia="es-CO"/>
              </w:rPr>
              <w:br/>
              <w:t>(Veces)</w:t>
            </w:r>
          </w:p>
        </w:tc>
        <w:tc>
          <w:tcPr>
            <w:tcW w:w="1418" w:type="dxa"/>
            <w:shd w:val="clear" w:color="000000" w:fill="D9D9D9"/>
            <w:vAlign w:val="center"/>
            <w:hideMark/>
          </w:tcPr>
          <w:p w14:paraId="47ADB8BA"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 xml:space="preserve">ÍNDICE DE ENDEUDAMIENTO </w:t>
            </w:r>
          </w:p>
        </w:tc>
        <w:tc>
          <w:tcPr>
            <w:tcW w:w="1135" w:type="dxa"/>
            <w:shd w:val="clear" w:color="000000" w:fill="D9D9D9"/>
            <w:vAlign w:val="center"/>
            <w:hideMark/>
          </w:tcPr>
          <w:p w14:paraId="6E949F1E"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RAZÓN DE COBERTURA DE INTERESES (Veces)</w:t>
            </w:r>
          </w:p>
        </w:tc>
        <w:tc>
          <w:tcPr>
            <w:tcW w:w="1146" w:type="dxa"/>
            <w:shd w:val="clear" w:color="000000" w:fill="D9D9D9"/>
            <w:vAlign w:val="center"/>
            <w:hideMark/>
          </w:tcPr>
          <w:p w14:paraId="56A94326"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CAPITAL DE TRABAJO (Miles de Pesos)</w:t>
            </w:r>
          </w:p>
        </w:tc>
        <w:tc>
          <w:tcPr>
            <w:tcW w:w="1193" w:type="dxa"/>
            <w:shd w:val="clear" w:color="000000" w:fill="D9D9D9"/>
            <w:vAlign w:val="center"/>
            <w:hideMark/>
          </w:tcPr>
          <w:p w14:paraId="3681EF62"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PATRIMONIO (Miles de Pesos)</w:t>
            </w:r>
          </w:p>
        </w:tc>
        <w:tc>
          <w:tcPr>
            <w:tcW w:w="1190" w:type="dxa"/>
            <w:shd w:val="clear" w:color="000000" w:fill="D9D9D9"/>
            <w:vAlign w:val="center"/>
            <w:hideMark/>
          </w:tcPr>
          <w:p w14:paraId="31C94FA1"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 xml:space="preserve">RENTABILIDAD DEL PATRIMONIO </w:t>
            </w:r>
          </w:p>
        </w:tc>
        <w:tc>
          <w:tcPr>
            <w:tcW w:w="0" w:type="auto"/>
            <w:shd w:val="clear" w:color="000000" w:fill="D9D9D9"/>
            <w:vAlign w:val="center"/>
            <w:hideMark/>
          </w:tcPr>
          <w:p w14:paraId="1300A2D7"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RENTABILIDAD DEL ACTIVO</w:t>
            </w:r>
          </w:p>
        </w:tc>
      </w:tr>
      <w:tr w:rsidR="00FE2DF6" w:rsidRPr="00FE22E0" w14:paraId="62CA7072" w14:textId="77777777" w:rsidTr="0044671B">
        <w:trPr>
          <w:trHeight w:val="315"/>
          <w:jc w:val="center"/>
        </w:trPr>
        <w:tc>
          <w:tcPr>
            <w:tcW w:w="556" w:type="dxa"/>
            <w:shd w:val="clear" w:color="auto" w:fill="auto"/>
            <w:vAlign w:val="center"/>
            <w:hideMark/>
          </w:tcPr>
          <w:p w14:paraId="687DBF22" w14:textId="77777777" w:rsidR="00FE2DF6" w:rsidRPr="00FE22E0" w:rsidRDefault="00FE2DF6"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202</w:t>
            </w:r>
            <w:r>
              <w:rPr>
                <w:rFonts w:ascii="Arial" w:hAnsi="Arial" w:cs="Arial"/>
                <w:b/>
                <w:bCs/>
                <w:color w:val="000000"/>
                <w:sz w:val="14"/>
                <w:szCs w:val="14"/>
                <w:lang w:eastAsia="es-CO"/>
              </w:rPr>
              <w:t>3</w:t>
            </w:r>
          </w:p>
        </w:tc>
        <w:tc>
          <w:tcPr>
            <w:tcW w:w="99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3B1A61DB"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4,24 </w:t>
            </w:r>
          </w:p>
        </w:tc>
        <w:tc>
          <w:tcPr>
            <w:tcW w:w="1418" w:type="dxa"/>
            <w:tcBorders>
              <w:top w:val="single" w:sz="4" w:space="0" w:color="808080"/>
              <w:left w:val="nil"/>
              <w:bottom w:val="single" w:sz="4" w:space="0" w:color="808080"/>
              <w:right w:val="single" w:sz="4" w:space="0" w:color="808080"/>
            </w:tcBorders>
            <w:shd w:val="clear" w:color="auto" w:fill="auto"/>
            <w:noWrap/>
            <w:vAlign w:val="center"/>
          </w:tcPr>
          <w:p w14:paraId="7E28D49D"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0,51 </w:t>
            </w:r>
          </w:p>
        </w:tc>
        <w:tc>
          <w:tcPr>
            <w:tcW w:w="1135" w:type="dxa"/>
            <w:tcBorders>
              <w:top w:val="single" w:sz="4" w:space="0" w:color="808080"/>
              <w:left w:val="nil"/>
              <w:bottom w:val="single" w:sz="4" w:space="0" w:color="808080"/>
              <w:right w:val="single" w:sz="4" w:space="0" w:color="808080"/>
            </w:tcBorders>
            <w:shd w:val="clear" w:color="auto" w:fill="auto"/>
            <w:noWrap/>
            <w:vAlign w:val="center"/>
          </w:tcPr>
          <w:p w14:paraId="7F7184DD"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5,25 </w:t>
            </w:r>
          </w:p>
        </w:tc>
        <w:tc>
          <w:tcPr>
            <w:tcW w:w="1146" w:type="dxa"/>
            <w:tcBorders>
              <w:top w:val="single" w:sz="4" w:space="0" w:color="808080"/>
              <w:left w:val="nil"/>
              <w:bottom w:val="single" w:sz="4" w:space="0" w:color="808080"/>
              <w:right w:val="single" w:sz="4" w:space="0" w:color="808080"/>
            </w:tcBorders>
            <w:shd w:val="clear" w:color="auto" w:fill="auto"/>
            <w:noWrap/>
            <w:vAlign w:val="center"/>
          </w:tcPr>
          <w:p w14:paraId="41031FFA"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5.005.004 </w:t>
            </w:r>
          </w:p>
        </w:tc>
        <w:tc>
          <w:tcPr>
            <w:tcW w:w="1193" w:type="dxa"/>
            <w:tcBorders>
              <w:top w:val="single" w:sz="4" w:space="0" w:color="808080"/>
              <w:left w:val="nil"/>
              <w:bottom w:val="single" w:sz="4" w:space="0" w:color="808080"/>
              <w:right w:val="single" w:sz="4" w:space="0" w:color="808080"/>
            </w:tcBorders>
            <w:shd w:val="clear" w:color="auto" w:fill="auto"/>
            <w:noWrap/>
            <w:vAlign w:val="center"/>
          </w:tcPr>
          <w:p w14:paraId="2FEE7FE1"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5.522.332 </w:t>
            </w:r>
          </w:p>
        </w:tc>
        <w:tc>
          <w:tcPr>
            <w:tcW w:w="1190" w:type="dxa"/>
            <w:tcBorders>
              <w:top w:val="single" w:sz="4" w:space="0" w:color="808080"/>
              <w:left w:val="nil"/>
              <w:bottom w:val="single" w:sz="4" w:space="0" w:color="808080"/>
              <w:right w:val="single" w:sz="4" w:space="0" w:color="808080"/>
            </w:tcBorders>
            <w:shd w:val="clear" w:color="auto" w:fill="auto"/>
            <w:noWrap/>
            <w:vAlign w:val="center"/>
          </w:tcPr>
          <w:p w14:paraId="6BACAE35"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0,16 </w:t>
            </w:r>
          </w:p>
        </w:tc>
        <w:tc>
          <w:tcPr>
            <w:tcW w:w="0" w:type="auto"/>
            <w:tcBorders>
              <w:top w:val="single" w:sz="4" w:space="0" w:color="808080"/>
              <w:left w:val="nil"/>
              <w:bottom w:val="single" w:sz="4" w:space="0" w:color="808080"/>
              <w:right w:val="single" w:sz="4" w:space="0" w:color="808080"/>
            </w:tcBorders>
            <w:shd w:val="clear" w:color="auto" w:fill="auto"/>
            <w:noWrap/>
            <w:vAlign w:val="center"/>
          </w:tcPr>
          <w:p w14:paraId="5AA40E6E" w14:textId="77777777" w:rsidR="00FE2DF6" w:rsidRPr="006B7501" w:rsidRDefault="00FE2DF6" w:rsidP="0044671B">
            <w:pPr>
              <w:jc w:val="center"/>
              <w:rPr>
                <w:rFonts w:ascii="Arial" w:hAnsi="Arial" w:cs="Arial"/>
                <w:color w:val="000000"/>
                <w:sz w:val="16"/>
                <w:szCs w:val="16"/>
                <w:lang w:eastAsia="es-CO"/>
              </w:rPr>
            </w:pPr>
            <w:r w:rsidRPr="006B7501">
              <w:rPr>
                <w:rFonts w:ascii="Arial Narrow" w:hAnsi="Arial Narrow"/>
                <w:color w:val="000000"/>
                <w:sz w:val="16"/>
                <w:szCs w:val="16"/>
              </w:rPr>
              <w:t xml:space="preserve">0,06 </w:t>
            </w:r>
          </w:p>
        </w:tc>
      </w:tr>
    </w:tbl>
    <w:p w14:paraId="290728E7" w14:textId="77777777" w:rsidR="009F1CFF" w:rsidRPr="00A81BAA" w:rsidRDefault="009F1CFF" w:rsidP="009F1CFF">
      <w:pPr>
        <w:pStyle w:val="Prrafodelista"/>
        <w:spacing w:after="0"/>
        <w:rPr>
          <w:rFonts w:ascii="Verdana" w:hAnsi="Verdana" w:cs="Arial"/>
          <w:b/>
          <w:bCs/>
          <w:lang w:val="es-MX"/>
        </w:rPr>
      </w:pPr>
    </w:p>
    <w:p w14:paraId="12B8E982" w14:textId="77777777" w:rsidR="009F1CFF" w:rsidRDefault="009F1CFF" w:rsidP="009F1CFF">
      <w:pPr>
        <w:jc w:val="both"/>
        <w:rPr>
          <w:rFonts w:ascii="Verdana" w:hAnsi="Verdana" w:cs="Arial"/>
          <w:sz w:val="22"/>
          <w:szCs w:val="22"/>
          <w:lang w:val="es-MX" w:eastAsia="es-CO"/>
        </w:rPr>
      </w:pPr>
      <w:r w:rsidRPr="00A81BAA">
        <w:rPr>
          <w:rFonts w:ascii="Verdana" w:hAnsi="Verdana" w:cs="Arial"/>
          <w:sz w:val="22"/>
          <w:szCs w:val="22"/>
          <w:lang w:val="es-MX" w:eastAsia="es-CO"/>
        </w:rPr>
        <w:t>Adicionalmente, y con el objetivo de analizar el comportamiento del promedio de cada uno de los indicadores de la muestra segmentando el análisis por tamaño empresarial, se aplicó el tratamiento estadístico utilizado en el análisis anterior, obteniendo los siguientes resultados:</w:t>
      </w:r>
    </w:p>
    <w:p w14:paraId="5AE2CD8F" w14:textId="77777777" w:rsidR="00D878B1" w:rsidRDefault="00D878B1" w:rsidP="009F1CFF">
      <w:pPr>
        <w:jc w:val="both"/>
        <w:rPr>
          <w:rFonts w:ascii="Verdana" w:hAnsi="Verdana" w:cs="Arial"/>
          <w:sz w:val="22"/>
          <w:szCs w:val="22"/>
          <w:lang w:val="es-MX" w:eastAsia="es-CO"/>
        </w:rPr>
      </w:pPr>
    </w:p>
    <w:p w14:paraId="62F9B460" w14:textId="304AC196" w:rsidR="00D878B1" w:rsidRPr="00A81BAA" w:rsidRDefault="00D878B1" w:rsidP="005C7E10">
      <w:pPr>
        <w:pStyle w:val="Descripcin"/>
        <w:spacing w:after="0"/>
        <w:rPr>
          <w:rFonts w:ascii="Verdana" w:hAnsi="Verdana" w:cs="Arial"/>
          <w:sz w:val="22"/>
          <w:szCs w:val="22"/>
          <w:lang w:val="es-MX" w:eastAsia="es-CO"/>
        </w:rPr>
      </w:pPr>
      <w:bookmarkStart w:id="43" w:name="_Toc180136826"/>
      <w:r>
        <w:lastRenderedPageBreak/>
        <w:t xml:space="preserve">Tabla </w:t>
      </w:r>
      <w:r>
        <w:fldChar w:fldCharType="begin"/>
      </w:r>
      <w:r>
        <w:instrText xml:space="preserve"> SEQ Tabla \* ARABIC </w:instrText>
      </w:r>
      <w:r>
        <w:fldChar w:fldCharType="separate"/>
      </w:r>
      <w:r w:rsidR="00CF739E">
        <w:rPr>
          <w:noProof/>
        </w:rPr>
        <w:t>10</w:t>
      </w:r>
      <w:r>
        <w:fldChar w:fldCharType="end"/>
      </w:r>
      <w:r>
        <w:t xml:space="preserve">. </w:t>
      </w:r>
      <w:r w:rsidRPr="00F41E4E">
        <w:t>Indicadores de capacidad financiera y organizacional promedio del sector segmentado por tamaño empresarial. Promedio de la muestra normalizada utilizando el criterio del rango intercuartílico</w:t>
      </w:r>
      <w:bookmarkEnd w:id="43"/>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5"/>
        <w:gridCol w:w="1114"/>
        <w:gridCol w:w="1417"/>
        <w:gridCol w:w="1276"/>
        <w:gridCol w:w="1417"/>
        <w:gridCol w:w="1276"/>
        <w:gridCol w:w="1276"/>
        <w:gridCol w:w="1276"/>
      </w:tblGrid>
      <w:tr w:rsidR="00227BF8" w:rsidRPr="00FE22E0" w14:paraId="0EE2AB6E" w14:textId="77777777" w:rsidTr="00227BF8">
        <w:trPr>
          <w:trHeight w:val="765"/>
          <w:jc w:val="center"/>
        </w:trPr>
        <w:tc>
          <w:tcPr>
            <w:tcW w:w="0" w:type="auto"/>
            <w:shd w:val="clear" w:color="auto" w:fill="auto"/>
            <w:noWrap/>
            <w:vAlign w:val="center"/>
            <w:hideMark/>
          </w:tcPr>
          <w:p w14:paraId="3028C006" w14:textId="77777777" w:rsidR="00227BF8" w:rsidRPr="00EC5839" w:rsidRDefault="00227BF8" w:rsidP="0044671B">
            <w:pPr>
              <w:ind w:left="-75"/>
              <w:jc w:val="center"/>
              <w:rPr>
                <w:rFonts w:ascii="Arial" w:hAnsi="Arial" w:cs="Arial"/>
                <w:b/>
                <w:bCs/>
                <w:color w:val="000000"/>
                <w:sz w:val="15"/>
                <w:szCs w:val="15"/>
              </w:rPr>
            </w:pPr>
            <w:r w:rsidRPr="00EC5839">
              <w:rPr>
                <w:rFonts w:ascii="Arial" w:hAnsi="Arial" w:cs="Arial"/>
                <w:b/>
                <w:bCs/>
                <w:color w:val="000000"/>
                <w:sz w:val="15"/>
                <w:szCs w:val="15"/>
              </w:rPr>
              <w:t>2023</w:t>
            </w:r>
          </w:p>
        </w:tc>
        <w:tc>
          <w:tcPr>
            <w:tcW w:w="1114" w:type="dxa"/>
            <w:shd w:val="clear" w:color="000000" w:fill="D9D9D9"/>
            <w:vAlign w:val="center"/>
            <w:hideMark/>
          </w:tcPr>
          <w:p w14:paraId="265B8378"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ÍNDICE DE LIQUIDEZ</w:t>
            </w:r>
            <w:r w:rsidRPr="00FE22E0">
              <w:rPr>
                <w:rFonts w:ascii="Arial" w:hAnsi="Arial" w:cs="Arial"/>
                <w:b/>
                <w:bCs/>
                <w:color w:val="000000"/>
                <w:sz w:val="14"/>
                <w:szCs w:val="14"/>
                <w:lang w:eastAsia="es-CO"/>
              </w:rPr>
              <w:br/>
              <w:t>(Veces)</w:t>
            </w:r>
          </w:p>
        </w:tc>
        <w:tc>
          <w:tcPr>
            <w:tcW w:w="1417" w:type="dxa"/>
            <w:shd w:val="clear" w:color="000000" w:fill="D9D9D9"/>
            <w:vAlign w:val="center"/>
            <w:hideMark/>
          </w:tcPr>
          <w:p w14:paraId="1FCF4B8B"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 xml:space="preserve">ÍNDICE DE ENDEUDAMIENTO </w:t>
            </w:r>
          </w:p>
        </w:tc>
        <w:tc>
          <w:tcPr>
            <w:tcW w:w="1276" w:type="dxa"/>
            <w:shd w:val="clear" w:color="000000" w:fill="D9D9D9"/>
            <w:vAlign w:val="center"/>
            <w:hideMark/>
          </w:tcPr>
          <w:p w14:paraId="6E91C8C5"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RAZÓN DE COBERTURA DE INTERESES (Veces)</w:t>
            </w:r>
          </w:p>
        </w:tc>
        <w:tc>
          <w:tcPr>
            <w:tcW w:w="1417" w:type="dxa"/>
            <w:shd w:val="clear" w:color="000000" w:fill="D9D9D9"/>
            <w:vAlign w:val="center"/>
            <w:hideMark/>
          </w:tcPr>
          <w:p w14:paraId="69D00D06"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CAPITAL DE TRABAJO (Miles de Pesos)</w:t>
            </w:r>
          </w:p>
        </w:tc>
        <w:tc>
          <w:tcPr>
            <w:tcW w:w="1276" w:type="dxa"/>
            <w:shd w:val="clear" w:color="000000" w:fill="D9D9D9"/>
            <w:vAlign w:val="center"/>
            <w:hideMark/>
          </w:tcPr>
          <w:p w14:paraId="6D9088E7"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PATRIMONIO (Miles de Pesos)</w:t>
            </w:r>
          </w:p>
        </w:tc>
        <w:tc>
          <w:tcPr>
            <w:tcW w:w="1276" w:type="dxa"/>
            <w:shd w:val="clear" w:color="000000" w:fill="D9D9D9"/>
            <w:vAlign w:val="center"/>
            <w:hideMark/>
          </w:tcPr>
          <w:p w14:paraId="5CE0EB12"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 xml:space="preserve">RENTABILIDAD DEL PATRIMONIO </w:t>
            </w:r>
          </w:p>
        </w:tc>
        <w:tc>
          <w:tcPr>
            <w:tcW w:w="1276" w:type="dxa"/>
            <w:shd w:val="clear" w:color="000000" w:fill="D9D9D9"/>
            <w:vAlign w:val="center"/>
            <w:hideMark/>
          </w:tcPr>
          <w:p w14:paraId="3BA6F3C5" w14:textId="77777777" w:rsidR="00227BF8" w:rsidRPr="00FE22E0" w:rsidRDefault="00227BF8" w:rsidP="0044671B">
            <w:pPr>
              <w:jc w:val="center"/>
              <w:rPr>
                <w:rFonts w:ascii="Arial" w:hAnsi="Arial" w:cs="Arial"/>
                <w:b/>
                <w:bCs/>
                <w:color w:val="000000"/>
                <w:sz w:val="14"/>
                <w:szCs w:val="14"/>
                <w:lang w:eastAsia="es-CO"/>
              </w:rPr>
            </w:pPr>
            <w:r w:rsidRPr="00FE22E0">
              <w:rPr>
                <w:rFonts w:ascii="Arial" w:hAnsi="Arial" w:cs="Arial"/>
                <w:b/>
                <w:bCs/>
                <w:color w:val="000000"/>
                <w:sz w:val="14"/>
                <w:szCs w:val="14"/>
                <w:lang w:eastAsia="es-CO"/>
              </w:rPr>
              <w:t>RENTABILIDAD DEL ACTIVO</w:t>
            </w:r>
          </w:p>
        </w:tc>
      </w:tr>
      <w:tr w:rsidR="00227BF8" w:rsidRPr="00FE22E0" w14:paraId="07E22984" w14:textId="77777777" w:rsidTr="00227BF8">
        <w:trPr>
          <w:trHeight w:val="315"/>
          <w:jc w:val="center"/>
        </w:trPr>
        <w:tc>
          <w:tcPr>
            <w:tcW w:w="0" w:type="auto"/>
            <w:shd w:val="clear" w:color="auto" w:fill="auto"/>
            <w:vAlign w:val="center"/>
            <w:hideMark/>
          </w:tcPr>
          <w:p w14:paraId="28D74CCA" w14:textId="77777777" w:rsidR="00227BF8" w:rsidRPr="001D687F" w:rsidRDefault="00227BF8" w:rsidP="0044671B">
            <w:pPr>
              <w:jc w:val="center"/>
              <w:rPr>
                <w:rFonts w:ascii="Arial" w:hAnsi="Arial" w:cs="Arial"/>
                <w:color w:val="000000"/>
                <w:sz w:val="16"/>
                <w:szCs w:val="16"/>
              </w:rPr>
            </w:pPr>
            <w:r w:rsidRPr="001D687F">
              <w:rPr>
                <w:rFonts w:ascii="Arial" w:hAnsi="Arial" w:cs="Arial"/>
                <w:color w:val="000000"/>
                <w:sz w:val="16"/>
                <w:szCs w:val="16"/>
              </w:rPr>
              <w:t>Microempresa</w:t>
            </w:r>
          </w:p>
        </w:tc>
        <w:tc>
          <w:tcPr>
            <w:tcW w:w="1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9B334"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8,19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74CB938"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0,49</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56A5F53"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3,05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CD7E605"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$ 1.352.798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1A012D3"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$ 1.656.115</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4FF0DA9"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0,04</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7BBBA2D" w14:textId="77777777" w:rsidR="00227BF8" w:rsidRPr="00F24459" w:rsidRDefault="00227BF8" w:rsidP="0044671B">
            <w:pPr>
              <w:jc w:val="center"/>
              <w:rPr>
                <w:rFonts w:ascii="Arial" w:hAnsi="Arial" w:cs="Arial"/>
                <w:color w:val="000000"/>
                <w:sz w:val="15"/>
                <w:szCs w:val="15"/>
                <w:lang w:eastAsia="es-CO"/>
              </w:rPr>
            </w:pPr>
            <w:r>
              <w:rPr>
                <w:rFonts w:ascii="Arial Narrow" w:hAnsi="Arial Narrow"/>
                <w:color w:val="000000"/>
                <w:sz w:val="16"/>
                <w:szCs w:val="16"/>
              </w:rPr>
              <w:t>0,01</w:t>
            </w:r>
          </w:p>
        </w:tc>
      </w:tr>
      <w:tr w:rsidR="00227BF8" w:rsidRPr="00FE22E0" w14:paraId="31EF3DFC" w14:textId="77777777" w:rsidTr="00227BF8">
        <w:trPr>
          <w:trHeight w:val="315"/>
          <w:jc w:val="center"/>
        </w:trPr>
        <w:tc>
          <w:tcPr>
            <w:tcW w:w="0" w:type="auto"/>
            <w:shd w:val="clear" w:color="auto" w:fill="auto"/>
            <w:vAlign w:val="center"/>
          </w:tcPr>
          <w:p w14:paraId="0A5F6647" w14:textId="77777777" w:rsidR="00227BF8" w:rsidRPr="001D687F" w:rsidRDefault="00227BF8" w:rsidP="0044671B">
            <w:pPr>
              <w:jc w:val="center"/>
              <w:rPr>
                <w:rFonts w:ascii="Arial" w:hAnsi="Arial" w:cs="Arial"/>
                <w:color w:val="000000"/>
                <w:sz w:val="16"/>
                <w:szCs w:val="16"/>
              </w:rPr>
            </w:pPr>
            <w:r w:rsidRPr="001D687F">
              <w:rPr>
                <w:rFonts w:ascii="Arial" w:hAnsi="Arial" w:cs="Arial"/>
                <w:color w:val="000000"/>
                <w:sz w:val="16"/>
                <w:szCs w:val="16"/>
              </w:rPr>
              <w:t>Pequeña</w:t>
            </w:r>
          </w:p>
        </w:tc>
        <w:tc>
          <w:tcPr>
            <w:tcW w:w="1114" w:type="dxa"/>
            <w:tcBorders>
              <w:top w:val="nil"/>
              <w:left w:val="single" w:sz="4" w:space="0" w:color="auto"/>
              <w:bottom w:val="single" w:sz="4" w:space="0" w:color="auto"/>
              <w:right w:val="single" w:sz="4" w:space="0" w:color="auto"/>
            </w:tcBorders>
            <w:shd w:val="clear" w:color="auto" w:fill="auto"/>
            <w:noWrap/>
            <w:vAlign w:val="center"/>
          </w:tcPr>
          <w:p w14:paraId="08E3638D"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4,07</w:t>
            </w:r>
          </w:p>
        </w:tc>
        <w:tc>
          <w:tcPr>
            <w:tcW w:w="1417" w:type="dxa"/>
            <w:tcBorders>
              <w:top w:val="nil"/>
              <w:left w:val="nil"/>
              <w:bottom w:val="single" w:sz="4" w:space="0" w:color="auto"/>
              <w:right w:val="single" w:sz="4" w:space="0" w:color="auto"/>
            </w:tcBorders>
            <w:shd w:val="clear" w:color="auto" w:fill="auto"/>
            <w:noWrap/>
            <w:vAlign w:val="center"/>
          </w:tcPr>
          <w:p w14:paraId="166EBCB7"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0,49</w:t>
            </w:r>
          </w:p>
        </w:tc>
        <w:tc>
          <w:tcPr>
            <w:tcW w:w="1276" w:type="dxa"/>
            <w:tcBorders>
              <w:top w:val="nil"/>
              <w:left w:val="nil"/>
              <w:bottom w:val="single" w:sz="4" w:space="0" w:color="auto"/>
              <w:right w:val="single" w:sz="4" w:space="0" w:color="auto"/>
            </w:tcBorders>
            <w:shd w:val="clear" w:color="auto" w:fill="auto"/>
            <w:noWrap/>
            <w:vAlign w:val="center"/>
          </w:tcPr>
          <w:p w14:paraId="314A7D91"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6,76</w:t>
            </w:r>
          </w:p>
        </w:tc>
        <w:tc>
          <w:tcPr>
            <w:tcW w:w="1417" w:type="dxa"/>
            <w:tcBorders>
              <w:top w:val="nil"/>
              <w:left w:val="nil"/>
              <w:bottom w:val="single" w:sz="4" w:space="0" w:color="auto"/>
              <w:right w:val="single" w:sz="4" w:space="0" w:color="auto"/>
            </w:tcBorders>
            <w:shd w:val="clear" w:color="auto" w:fill="auto"/>
            <w:noWrap/>
            <w:vAlign w:val="center"/>
          </w:tcPr>
          <w:p w14:paraId="11BFE94A"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$ 2.331.755</w:t>
            </w:r>
          </w:p>
        </w:tc>
        <w:tc>
          <w:tcPr>
            <w:tcW w:w="1276" w:type="dxa"/>
            <w:tcBorders>
              <w:top w:val="nil"/>
              <w:left w:val="nil"/>
              <w:bottom w:val="single" w:sz="4" w:space="0" w:color="auto"/>
              <w:right w:val="single" w:sz="4" w:space="0" w:color="auto"/>
            </w:tcBorders>
            <w:shd w:val="clear" w:color="auto" w:fill="auto"/>
            <w:noWrap/>
            <w:vAlign w:val="center"/>
          </w:tcPr>
          <w:p w14:paraId="0A65658C"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$ 2.603.262</w:t>
            </w:r>
          </w:p>
        </w:tc>
        <w:tc>
          <w:tcPr>
            <w:tcW w:w="1276" w:type="dxa"/>
            <w:tcBorders>
              <w:top w:val="nil"/>
              <w:left w:val="nil"/>
              <w:bottom w:val="single" w:sz="4" w:space="0" w:color="auto"/>
              <w:right w:val="single" w:sz="4" w:space="0" w:color="auto"/>
            </w:tcBorders>
            <w:shd w:val="clear" w:color="auto" w:fill="auto"/>
            <w:noWrap/>
            <w:vAlign w:val="center"/>
          </w:tcPr>
          <w:p w14:paraId="6EF55F08"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0,15</w:t>
            </w:r>
          </w:p>
        </w:tc>
        <w:tc>
          <w:tcPr>
            <w:tcW w:w="1276" w:type="dxa"/>
            <w:tcBorders>
              <w:top w:val="nil"/>
              <w:left w:val="nil"/>
              <w:bottom w:val="single" w:sz="4" w:space="0" w:color="auto"/>
              <w:right w:val="single" w:sz="4" w:space="0" w:color="auto"/>
            </w:tcBorders>
            <w:shd w:val="clear" w:color="auto" w:fill="auto"/>
            <w:noWrap/>
            <w:vAlign w:val="center"/>
          </w:tcPr>
          <w:p w14:paraId="564BB86E"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0,06</w:t>
            </w:r>
          </w:p>
        </w:tc>
      </w:tr>
      <w:tr w:rsidR="00227BF8" w:rsidRPr="00FE22E0" w14:paraId="4E8F68C2" w14:textId="77777777" w:rsidTr="00227BF8">
        <w:trPr>
          <w:trHeight w:val="315"/>
          <w:jc w:val="center"/>
        </w:trPr>
        <w:tc>
          <w:tcPr>
            <w:tcW w:w="0" w:type="auto"/>
            <w:shd w:val="clear" w:color="auto" w:fill="auto"/>
            <w:vAlign w:val="center"/>
          </w:tcPr>
          <w:p w14:paraId="4229C736" w14:textId="77777777" w:rsidR="00227BF8" w:rsidRPr="001D687F" w:rsidRDefault="00227BF8" w:rsidP="0044671B">
            <w:pPr>
              <w:jc w:val="center"/>
              <w:rPr>
                <w:rFonts w:ascii="Arial" w:hAnsi="Arial" w:cs="Arial"/>
                <w:color w:val="000000"/>
                <w:sz w:val="16"/>
                <w:szCs w:val="16"/>
              </w:rPr>
            </w:pPr>
            <w:r w:rsidRPr="001D687F">
              <w:rPr>
                <w:rFonts w:ascii="Arial" w:hAnsi="Arial" w:cs="Arial"/>
                <w:color w:val="000000"/>
                <w:sz w:val="16"/>
                <w:szCs w:val="16"/>
              </w:rPr>
              <w:t>Mediana</w:t>
            </w:r>
          </w:p>
        </w:tc>
        <w:tc>
          <w:tcPr>
            <w:tcW w:w="1114" w:type="dxa"/>
            <w:tcBorders>
              <w:top w:val="nil"/>
              <w:left w:val="single" w:sz="4" w:space="0" w:color="auto"/>
              <w:bottom w:val="single" w:sz="4" w:space="0" w:color="auto"/>
              <w:right w:val="single" w:sz="4" w:space="0" w:color="auto"/>
            </w:tcBorders>
            <w:shd w:val="clear" w:color="auto" w:fill="auto"/>
            <w:noWrap/>
            <w:vAlign w:val="center"/>
          </w:tcPr>
          <w:p w14:paraId="57CC3437"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3,92</w:t>
            </w:r>
          </w:p>
        </w:tc>
        <w:tc>
          <w:tcPr>
            <w:tcW w:w="1417" w:type="dxa"/>
            <w:tcBorders>
              <w:top w:val="nil"/>
              <w:left w:val="nil"/>
              <w:bottom w:val="single" w:sz="4" w:space="0" w:color="auto"/>
              <w:right w:val="single" w:sz="4" w:space="0" w:color="auto"/>
            </w:tcBorders>
            <w:shd w:val="clear" w:color="auto" w:fill="auto"/>
            <w:noWrap/>
            <w:vAlign w:val="center"/>
          </w:tcPr>
          <w:p w14:paraId="4FFBF467"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0,50</w:t>
            </w:r>
          </w:p>
        </w:tc>
        <w:tc>
          <w:tcPr>
            <w:tcW w:w="1276" w:type="dxa"/>
            <w:tcBorders>
              <w:top w:val="nil"/>
              <w:left w:val="nil"/>
              <w:bottom w:val="single" w:sz="4" w:space="0" w:color="auto"/>
              <w:right w:val="single" w:sz="4" w:space="0" w:color="auto"/>
            </w:tcBorders>
            <w:shd w:val="clear" w:color="auto" w:fill="auto"/>
            <w:noWrap/>
            <w:vAlign w:val="center"/>
          </w:tcPr>
          <w:p w14:paraId="0FDBE5C4"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6,96</w:t>
            </w:r>
          </w:p>
        </w:tc>
        <w:tc>
          <w:tcPr>
            <w:tcW w:w="1417" w:type="dxa"/>
            <w:tcBorders>
              <w:top w:val="nil"/>
              <w:left w:val="nil"/>
              <w:bottom w:val="single" w:sz="4" w:space="0" w:color="auto"/>
              <w:right w:val="single" w:sz="4" w:space="0" w:color="auto"/>
            </w:tcBorders>
            <w:shd w:val="clear" w:color="auto" w:fill="auto"/>
            <w:noWrap/>
            <w:vAlign w:val="center"/>
          </w:tcPr>
          <w:p w14:paraId="020A5B96"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$ 6.229.303</w:t>
            </w:r>
          </w:p>
        </w:tc>
        <w:tc>
          <w:tcPr>
            <w:tcW w:w="1276" w:type="dxa"/>
            <w:tcBorders>
              <w:top w:val="nil"/>
              <w:left w:val="nil"/>
              <w:bottom w:val="single" w:sz="4" w:space="0" w:color="auto"/>
              <w:right w:val="single" w:sz="4" w:space="0" w:color="auto"/>
            </w:tcBorders>
            <w:shd w:val="clear" w:color="auto" w:fill="auto"/>
            <w:noWrap/>
            <w:vAlign w:val="center"/>
          </w:tcPr>
          <w:p w14:paraId="626832A0"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$ 5.961.614</w:t>
            </w:r>
          </w:p>
        </w:tc>
        <w:tc>
          <w:tcPr>
            <w:tcW w:w="1276" w:type="dxa"/>
            <w:tcBorders>
              <w:top w:val="nil"/>
              <w:left w:val="nil"/>
              <w:bottom w:val="single" w:sz="4" w:space="0" w:color="auto"/>
              <w:right w:val="single" w:sz="4" w:space="0" w:color="auto"/>
            </w:tcBorders>
            <w:shd w:val="clear" w:color="auto" w:fill="auto"/>
            <w:noWrap/>
            <w:vAlign w:val="center"/>
          </w:tcPr>
          <w:p w14:paraId="526B199D"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0,20</w:t>
            </w:r>
          </w:p>
        </w:tc>
        <w:tc>
          <w:tcPr>
            <w:tcW w:w="1276" w:type="dxa"/>
            <w:tcBorders>
              <w:top w:val="nil"/>
              <w:left w:val="nil"/>
              <w:bottom w:val="single" w:sz="4" w:space="0" w:color="auto"/>
              <w:right w:val="single" w:sz="4" w:space="0" w:color="auto"/>
            </w:tcBorders>
            <w:shd w:val="clear" w:color="auto" w:fill="auto"/>
            <w:noWrap/>
            <w:vAlign w:val="center"/>
          </w:tcPr>
          <w:p w14:paraId="71C285AE"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0,08</w:t>
            </w:r>
          </w:p>
        </w:tc>
      </w:tr>
      <w:tr w:rsidR="00227BF8" w:rsidRPr="00FE22E0" w14:paraId="1FF885CF" w14:textId="77777777" w:rsidTr="00227BF8">
        <w:trPr>
          <w:trHeight w:val="315"/>
          <w:jc w:val="center"/>
        </w:trPr>
        <w:tc>
          <w:tcPr>
            <w:tcW w:w="0" w:type="auto"/>
            <w:shd w:val="clear" w:color="auto" w:fill="auto"/>
            <w:vAlign w:val="center"/>
          </w:tcPr>
          <w:p w14:paraId="6EB2C0C0" w14:textId="77777777" w:rsidR="00227BF8" w:rsidRPr="001D687F" w:rsidRDefault="00227BF8" w:rsidP="0044671B">
            <w:pPr>
              <w:jc w:val="center"/>
              <w:rPr>
                <w:rFonts w:ascii="Arial" w:hAnsi="Arial" w:cs="Arial"/>
                <w:color w:val="000000"/>
                <w:sz w:val="16"/>
                <w:szCs w:val="16"/>
              </w:rPr>
            </w:pPr>
            <w:r w:rsidRPr="001D687F">
              <w:rPr>
                <w:rFonts w:ascii="Arial" w:hAnsi="Arial" w:cs="Arial"/>
                <w:color w:val="000000"/>
                <w:sz w:val="16"/>
                <w:szCs w:val="16"/>
              </w:rPr>
              <w:t>Gran empresa</w:t>
            </w:r>
          </w:p>
        </w:tc>
        <w:tc>
          <w:tcPr>
            <w:tcW w:w="1114" w:type="dxa"/>
            <w:tcBorders>
              <w:top w:val="nil"/>
              <w:left w:val="single" w:sz="4" w:space="0" w:color="auto"/>
              <w:bottom w:val="single" w:sz="4" w:space="0" w:color="auto"/>
              <w:right w:val="single" w:sz="4" w:space="0" w:color="auto"/>
            </w:tcBorders>
            <w:shd w:val="clear" w:color="auto" w:fill="auto"/>
            <w:noWrap/>
            <w:vAlign w:val="center"/>
          </w:tcPr>
          <w:p w14:paraId="5A9983A1"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3,20</w:t>
            </w:r>
          </w:p>
        </w:tc>
        <w:tc>
          <w:tcPr>
            <w:tcW w:w="1417" w:type="dxa"/>
            <w:tcBorders>
              <w:top w:val="nil"/>
              <w:left w:val="nil"/>
              <w:bottom w:val="single" w:sz="4" w:space="0" w:color="auto"/>
              <w:right w:val="single" w:sz="4" w:space="0" w:color="auto"/>
            </w:tcBorders>
            <w:shd w:val="clear" w:color="auto" w:fill="auto"/>
            <w:noWrap/>
            <w:vAlign w:val="center"/>
          </w:tcPr>
          <w:p w14:paraId="4E5B9752"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0,57</w:t>
            </w:r>
          </w:p>
        </w:tc>
        <w:tc>
          <w:tcPr>
            <w:tcW w:w="1276" w:type="dxa"/>
            <w:tcBorders>
              <w:top w:val="nil"/>
              <w:left w:val="nil"/>
              <w:bottom w:val="single" w:sz="4" w:space="0" w:color="auto"/>
              <w:right w:val="single" w:sz="4" w:space="0" w:color="auto"/>
            </w:tcBorders>
            <w:shd w:val="clear" w:color="auto" w:fill="auto"/>
            <w:noWrap/>
            <w:vAlign w:val="center"/>
          </w:tcPr>
          <w:p w14:paraId="2AC90AD8"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4,88</w:t>
            </w:r>
          </w:p>
        </w:tc>
        <w:tc>
          <w:tcPr>
            <w:tcW w:w="1417" w:type="dxa"/>
            <w:tcBorders>
              <w:top w:val="nil"/>
              <w:left w:val="nil"/>
              <w:bottom w:val="single" w:sz="4" w:space="0" w:color="auto"/>
              <w:right w:val="single" w:sz="4" w:space="0" w:color="auto"/>
            </w:tcBorders>
            <w:shd w:val="clear" w:color="auto" w:fill="auto"/>
            <w:noWrap/>
            <w:vAlign w:val="center"/>
          </w:tcPr>
          <w:p w14:paraId="7DB1C314"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$ 21.318.371</w:t>
            </w:r>
          </w:p>
        </w:tc>
        <w:tc>
          <w:tcPr>
            <w:tcW w:w="1276" w:type="dxa"/>
            <w:tcBorders>
              <w:top w:val="nil"/>
              <w:left w:val="nil"/>
              <w:bottom w:val="single" w:sz="4" w:space="0" w:color="auto"/>
              <w:right w:val="single" w:sz="4" w:space="0" w:color="auto"/>
            </w:tcBorders>
            <w:shd w:val="clear" w:color="auto" w:fill="auto"/>
            <w:noWrap/>
            <w:vAlign w:val="center"/>
          </w:tcPr>
          <w:p w14:paraId="2795C277"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$ 21.482.018</w:t>
            </w:r>
          </w:p>
        </w:tc>
        <w:tc>
          <w:tcPr>
            <w:tcW w:w="1276" w:type="dxa"/>
            <w:tcBorders>
              <w:top w:val="nil"/>
              <w:left w:val="nil"/>
              <w:bottom w:val="single" w:sz="4" w:space="0" w:color="auto"/>
              <w:right w:val="single" w:sz="4" w:space="0" w:color="auto"/>
            </w:tcBorders>
            <w:shd w:val="clear" w:color="auto" w:fill="auto"/>
            <w:noWrap/>
            <w:vAlign w:val="center"/>
          </w:tcPr>
          <w:p w14:paraId="37520DCC"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0,25</w:t>
            </w:r>
          </w:p>
        </w:tc>
        <w:tc>
          <w:tcPr>
            <w:tcW w:w="1276" w:type="dxa"/>
            <w:tcBorders>
              <w:top w:val="nil"/>
              <w:left w:val="nil"/>
              <w:bottom w:val="single" w:sz="4" w:space="0" w:color="auto"/>
              <w:right w:val="single" w:sz="4" w:space="0" w:color="auto"/>
            </w:tcBorders>
            <w:shd w:val="clear" w:color="auto" w:fill="auto"/>
            <w:noWrap/>
            <w:vAlign w:val="center"/>
          </w:tcPr>
          <w:p w14:paraId="61E81849" w14:textId="77777777" w:rsidR="00227BF8" w:rsidRPr="00F24459" w:rsidRDefault="00227BF8" w:rsidP="0044671B">
            <w:pPr>
              <w:jc w:val="center"/>
              <w:rPr>
                <w:rFonts w:ascii="Arial" w:hAnsi="Arial" w:cs="Arial"/>
                <w:color w:val="000000"/>
                <w:sz w:val="15"/>
                <w:szCs w:val="15"/>
              </w:rPr>
            </w:pPr>
            <w:r>
              <w:rPr>
                <w:rFonts w:ascii="Arial Narrow" w:hAnsi="Arial Narrow"/>
                <w:color w:val="000000"/>
                <w:sz w:val="16"/>
                <w:szCs w:val="16"/>
              </w:rPr>
              <w:t>0,10</w:t>
            </w:r>
          </w:p>
        </w:tc>
      </w:tr>
    </w:tbl>
    <w:p w14:paraId="5854E2D4" w14:textId="77777777" w:rsidR="009F1CFF" w:rsidRPr="00A81BAA" w:rsidRDefault="009F1CFF" w:rsidP="009F1CFF">
      <w:pPr>
        <w:jc w:val="both"/>
        <w:rPr>
          <w:rFonts w:ascii="Verdana" w:hAnsi="Verdana" w:cs="Arial"/>
          <w:lang w:val="es-MX" w:eastAsia="es-CO"/>
        </w:rPr>
      </w:pPr>
    </w:p>
    <w:p w14:paraId="6B2FF708" w14:textId="77777777" w:rsidR="00AF0363" w:rsidRPr="00AF0363" w:rsidRDefault="00AF0363" w:rsidP="00AF0363">
      <w:pPr>
        <w:jc w:val="both"/>
        <w:rPr>
          <w:rFonts w:ascii="Verdana" w:hAnsi="Verdana" w:cs="Arial"/>
          <w:sz w:val="22"/>
          <w:szCs w:val="22"/>
          <w:lang w:val="es-MX" w:eastAsia="es-CO"/>
        </w:rPr>
      </w:pPr>
      <w:r w:rsidRPr="00AF0363">
        <w:rPr>
          <w:rFonts w:ascii="Verdana" w:hAnsi="Verdana" w:cs="Arial"/>
          <w:sz w:val="22"/>
          <w:szCs w:val="22"/>
          <w:lang w:val="es-MX" w:eastAsia="es-CO"/>
        </w:rPr>
        <w:t>Conforme con los resultados se puede identificar cómo el comportamiento promedio de algunos indicadores tiende a disminuir conforme se incrementa el tamaño empresarial de la muestra analizada (índice de liquidez), lo que de entrada implica que a medida que aumenta el segmento empresarial es más bajo el límite mínimo promedio del indicador.</w:t>
      </w:r>
    </w:p>
    <w:p w14:paraId="7002EC38" w14:textId="77777777" w:rsidR="00767BF2" w:rsidRDefault="00767BF2" w:rsidP="009F1CFF">
      <w:pPr>
        <w:jc w:val="both"/>
        <w:rPr>
          <w:rFonts w:ascii="Verdana" w:hAnsi="Verdana" w:cs="Arial"/>
          <w:sz w:val="22"/>
          <w:szCs w:val="22"/>
          <w:lang w:val="es-MX" w:eastAsia="es-CO"/>
        </w:rPr>
      </w:pPr>
    </w:p>
    <w:p w14:paraId="0BA780ED" w14:textId="79E76A24" w:rsidR="00DC7B11" w:rsidRPr="005C7E10" w:rsidRDefault="00DC7B11" w:rsidP="005C7E10">
      <w:pPr>
        <w:pStyle w:val="Descripcin"/>
        <w:spacing w:after="0"/>
        <w:jc w:val="center"/>
        <w:rPr>
          <w:rFonts w:ascii="Verdana" w:hAnsi="Verdana" w:cs="Arial"/>
          <w:sz w:val="22"/>
          <w:szCs w:val="22"/>
          <w:lang w:val="es-CO" w:eastAsia="es-CO"/>
        </w:rPr>
      </w:pPr>
      <w:bookmarkStart w:id="44" w:name="_Toc180136799"/>
      <w:r w:rsidRPr="005C7E10">
        <w:rPr>
          <w:rFonts w:ascii="Verdana" w:hAnsi="Verdana" w:cs="Arial"/>
          <w:sz w:val="22"/>
          <w:szCs w:val="22"/>
          <w:lang w:val="es-CO" w:eastAsia="es-CO"/>
        </w:rPr>
        <w:t xml:space="preserve">Gráfica </w:t>
      </w:r>
      <w:r w:rsidRPr="005C7E10">
        <w:rPr>
          <w:rFonts w:ascii="Verdana" w:hAnsi="Verdana" w:cs="Arial"/>
          <w:sz w:val="22"/>
          <w:szCs w:val="22"/>
          <w:lang w:val="es-CO" w:eastAsia="es-CO"/>
        </w:rPr>
        <w:fldChar w:fldCharType="begin"/>
      </w:r>
      <w:r w:rsidRPr="005C7E10">
        <w:rPr>
          <w:rFonts w:ascii="Verdana" w:hAnsi="Verdana" w:cs="Arial"/>
          <w:sz w:val="22"/>
          <w:szCs w:val="22"/>
          <w:lang w:val="es-CO" w:eastAsia="es-CO"/>
        </w:rPr>
        <w:instrText xml:space="preserve"> SEQ Gráfica \* ARABIC </w:instrText>
      </w:r>
      <w:r w:rsidRPr="005C7E10">
        <w:rPr>
          <w:rFonts w:ascii="Verdana" w:hAnsi="Verdana" w:cs="Arial"/>
          <w:sz w:val="22"/>
          <w:szCs w:val="22"/>
          <w:lang w:val="es-CO" w:eastAsia="es-CO"/>
        </w:rPr>
        <w:fldChar w:fldCharType="separate"/>
      </w:r>
      <w:r w:rsidR="00BC476F">
        <w:rPr>
          <w:rFonts w:ascii="Verdana" w:hAnsi="Verdana" w:cs="Arial"/>
          <w:noProof/>
          <w:sz w:val="22"/>
          <w:szCs w:val="22"/>
          <w:lang w:val="es-CO" w:eastAsia="es-CO"/>
        </w:rPr>
        <w:t>33</w:t>
      </w:r>
      <w:r w:rsidRPr="005C7E10">
        <w:rPr>
          <w:rFonts w:ascii="Verdana" w:hAnsi="Verdana" w:cs="Arial"/>
          <w:sz w:val="22"/>
          <w:szCs w:val="22"/>
          <w:lang w:val="es-CO" w:eastAsia="es-CO"/>
        </w:rPr>
        <w:fldChar w:fldCharType="end"/>
      </w:r>
      <w:r w:rsidRPr="005C7E10">
        <w:rPr>
          <w:rFonts w:ascii="Verdana" w:hAnsi="Verdana" w:cs="Arial"/>
          <w:sz w:val="22"/>
          <w:szCs w:val="22"/>
          <w:lang w:val="es-CO" w:eastAsia="es-CO"/>
        </w:rPr>
        <w:t>. Índice de liquidez</w:t>
      </w:r>
      <w:bookmarkEnd w:id="44"/>
    </w:p>
    <w:p w14:paraId="11A79FBB" w14:textId="7D52BA8C" w:rsidR="009F1CFF" w:rsidRPr="00A81BAA" w:rsidRDefault="00172542" w:rsidP="009F1CFF">
      <w:pPr>
        <w:jc w:val="center"/>
        <w:rPr>
          <w:rFonts w:ascii="Verdana" w:hAnsi="Verdana" w:cs="Arial"/>
          <w:lang w:val="es-MX" w:eastAsia="es-CO"/>
        </w:rPr>
      </w:pPr>
      <w:r>
        <w:rPr>
          <w:noProof/>
          <w14:ligatures w14:val="standardContextual"/>
        </w:rPr>
        <w:drawing>
          <wp:inline distT="0" distB="0" distL="0" distR="0" wp14:anchorId="69CB8B09" wp14:editId="28104027">
            <wp:extent cx="4987158" cy="2125683"/>
            <wp:effectExtent l="0" t="0" r="4445" b="8255"/>
            <wp:docPr id="931375231" name="Gráfico 1">
              <a:extLst xmlns:a="http://schemas.openxmlformats.org/drawingml/2006/main">
                <a:ext uri="{FF2B5EF4-FFF2-40B4-BE49-F238E27FC236}">
                  <a16:creationId xmlns:a16="http://schemas.microsoft.com/office/drawing/2014/main" id="{B3B2BB7D-4612-414F-AC58-7E7DD25B20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6A78DF1" w14:textId="01FE02C6" w:rsidR="009F1CFF" w:rsidRPr="00A81BAA" w:rsidRDefault="00767BF2" w:rsidP="00FE2C9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1ABEC1BD" w14:textId="77777777" w:rsidR="00767BF2" w:rsidRPr="00A81BAA" w:rsidRDefault="00767BF2" w:rsidP="009F1CFF">
      <w:pPr>
        <w:jc w:val="both"/>
        <w:rPr>
          <w:rFonts w:ascii="Verdana" w:hAnsi="Verdana" w:cs="Arial"/>
          <w:lang w:val="es-MX" w:eastAsia="es-CO"/>
        </w:rPr>
      </w:pPr>
    </w:p>
    <w:p w14:paraId="3D44A04D" w14:textId="77777777" w:rsidR="00767BF2" w:rsidRDefault="00767BF2" w:rsidP="009F1CFF">
      <w:pPr>
        <w:jc w:val="both"/>
        <w:rPr>
          <w:rFonts w:ascii="Verdana" w:hAnsi="Verdana" w:cs="Arial"/>
          <w:lang w:val="es-MX" w:eastAsia="es-CO"/>
        </w:rPr>
      </w:pPr>
    </w:p>
    <w:p w14:paraId="6D4198F5" w14:textId="77777777" w:rsidR="004F226A" w:rsidRPr="004F226A" w:rsidRDefault="004F226A" w:rsidP="00CD7056">
      <w:pPr>
        <w:jc w:val="both"/>
        <w:rPr>
          <w:rFonts w:ascii="Verdana" w:hAnsi="Verdana" w:cs="Arial"/>
          <w:sz w:val="22"/>
          <w:szCs w:val="22"/>
          <w:lang w:val="es-MX" w:eastAsia="es-CO"/>
        </w:rPr>
      </w:pPr>
      <w:r w:rsidRPr="004F226A">
        <w:rPr>
          <w:rFonts w:ascii="Verdana" w:hAnsi="Verdana" w:cs="Arial"/>
          <w:sz w:val="22"/>
          <w:szCs w:val="22"/>
          <w:lang w:val="es-MX" w:eastAsia="es-CO"/>
        </w:rPr>
        <w:t xml:space="preserve">Indicadores como la razón de cobertura de interés, muestran un comportamiento atípico en la muestra analizada, sin </w:t>
      </w:r>
      <w:proofErr w:type="gramStart"/>
      <w:r w:rsidRPr="004F226A">
        <w:rPr>
          <w:rFonts w:ascii="Verdana" w:hAnsi="Verdana" w:cs="Arial"/>
          <w:sz w:val="22"/>
          <w:szCs w:val="22"/>
          <w:lang w:val="es-MX" w:eastAsia="es-CO"/>
        </w:rPr>
        <w:t>embargo</w:t>
      </w:r>
      <w:proofErr w:type="gramEnd"/>
      <w:r w:rsidRPr="004F226A">
        <w:rPr>
          <w:rFonts w:ascii="Verdana" w:hAnsi="Verdana" w:cs="Arial"/>
          <w:sz w:val="22"/>
          <w:szCs w:val="22"/>
          <w:lang w:val="es-MX" w:eastAsia="es-CO"/>
        </w:rPr>
        <w:t xml:space="preserve"> se evidencia para el caso del segmento “Gran empresa” un comportamiento correspondiente con el incremento promedio de los niveles de endeudamiento.</w:t>
      </w:r>
    </w:p>
    <w:p w14:paraId="76E66799" w14:textId="77777777" w:rsidR="00DC7B11" w:rsidRDefault="00DC7B11" w:rsidP="009F1CFF">
      <w:pPr>
        <w:jc w:val="both"/>
        <w:rPr>
          <w:rFonts w:ascii="Verdana" w:hAnsi="Verdana" w:cs="Arial"/>
          <w:lang w:val="es-MX" w:eastAsia="es-CO"/>
        </w:rPr>
      </w:pPr>
    </w:p>
    <w:p w14:paraId="6839E7A2" w14:textId="1286ED1B" w:rsidR="00767BF2" w:rsidRPr="005C7E10" w:rsidRDefault="00DC7B11" w:rsidP="005C7E10">
      <w:pPr>
        <w:pStyle w:val="Descripcin"/>
        <w:spacing w:after="0"/>
        <w:jc w:val="center"/>
        <w:rPr>
          <w:rFonts w:ascii="Verdana" w:hAnsi="Verdana" w:cs="Arial"/>
          <w:lang w:val="es-CO" w:eastAsia="es-MX"/>
        </w:rPr>
      </w:pPr>
      <w:bookmarkStart w:id="45" w:name="_Toc180136800"/>
      <w:r w:rsidRPr="005C7E10">
        <w:rPr>
          <w:rFonts w:ascii="Verdana" w:eastAsia="Times New Roman" w:hAnsi="Verdana" w:cs="Arial"/>
          <w:sz w:val="24"/>
          <w:szCs w:val="24"/>
          <w:lang w:val="es-CO" w:eastAsia="es-MX"/>
        </w:rPr>
        <w:lastRenderedPageBreak/>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34</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Razón de cobertura de interés</w:t>
      </w:r>
      <w:bookmarkEnd w:id="45"/>
    </w:p>
    <w:p w14:paraId="44FD3B8E" w14:textId="40CEB1E1" w:rsidR="009F1CFF" w:rsidRPr="00A81BAA" w:rsidRDefault="00CD7056" w:rsidP="009F1CFF">
      <w:pPr>
        <w:jc w:val="center"/>
        <w:rPr>
          <w:rFonts w:ascii="Verdana" w:hAnsi="Verdana" w:cs="Arial"/>
          <w:lang w:val="es-MX" w:eastAsia="es-CO"/>
        </w:rPr>
      </w:pPr>
      <w:r>
        <w:rPr>
          <w:noProof/>
          <w14:ligatures w14:val="standardContextual"/>
        </w:rPr>
        <w:drawing>
          <wp:inline distT="0" distB="0" distL="0" distR="0" wp14:anchorId="548AD5A9" wp14:editId="2EEAF936">
            <wp:extent cx="4524936" cy="2042556"/>
            <wp:effectExtent l="0" t="0" r="9525" b="15240"/>
            <wp:docPr id="297367319" name="Gráfico 1">
              <a:extLst xmlns:a="http://schemas.openxmlformats.org/drawingml/2006/main">
                <a:ext uri="{FF2B5EF4-FFF2-40B4-BE49-F238E27FC236}">
                  <a16:creationId xmlns:a16="http://schemas.microsoft.com/office/drawing/2014/main" id="{81A5A8B9-20AB-4FE6-BDE5-2F0B3EBB29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958CBE3"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41E28ABB" w14:textId="77777777" w:rsidR="009F1CFF" w:rsidRPr="00A81BAA" w:rsidRDefault="009F1CFF" w:rsidP="009F1CFF">
      <w:pPr>
        <w:pStyle w:val="Prrafodelista"/>
        <w:spacing w:after="0"/>
        <w:rPr>
          <w:rFonts w:ascii="Verdana" w:hAnsi="Verdana" w:cs="Arial"/>
          <w:b/>
          <w:bCs/>
          <w:lang w:val="es-MX"/>
        </w:rPr>
      </w:pPr>
    </w:p>
    <w:p w14:paraId="1B7858A1" w14:textId="77777777" w:rsidR="00B73A5C" w:rsidRPr="00B73A5C" w:rsidRDefault="00B73A5C" w:rsidP="00B73A5C">
      <w:pPr>
        <w:pStyle w:val="Prrafodelista"/>
        <w:spacing w:after="0"/>
        <w:ind w:left="142"/>
        <w:rPr>
          <w:rFonts w:ascii="Verdana" w:eastAsia="Times New Roman" w:hAnsi="Verdana" w:cs="Arial"/>
          <w:lang w:val="es-MX"/>
        </w:rPr>
      </w:pPr>
      <w:r w:rsidRPr="00B73A5C">
        <w:rPr>
          <w:rFonts w:ascii="Verdana" w:eastAsia="Times New Roman" w:hAnsi="Verdana" w:cs="Arial"/>
          <w:lang w:val="es-MX"/>
        </w:rPr>
        <w:t>Por otro lado, hay indicadores en los cuales se evidencia un comportamiento contrario; conforme incrementa el segmento empresarial analizado, su valor promedio se incrementa igualmente (endeudamiento), lo que implica que el límite máximo deba ser flexibilizado a medida que aumenta el tamaño empresarial.</w:t>
      </w:r>
    </w:p>
    <w:p w14:paraId="4553669D" w14:textId="77777777" w:rsidR="00DC7B11" w:rsidRDefault="00DC7B11" w:rsidP="009F1CFF">
      <w:pPr>
        <w:pStyle w:val="Prrafodelista"/>
        <w:spacing w:after="0"/>
        <w:ind w:left="142"/>
        <w:rPr>
          <w:rFonts w:ascii="Verdana" w:hAnsi="Verdana" w:cs="Arial"/>
          <w:lang w:val="es-MX"/>
        </w:rPr>
      </w:pPr>
    </w:p>
    <w:p w14:paraId="09212F55" w14:textId="77777777" w:rsidR="00DC7B11" w:rsidRDefault="00DC7B11" w:rsidP="009F1CFF">
      <w:pPr>
        <w:pStyle w:val="Prrafodelista"/>
        <w:spacing w:after="0"/>
        <w:ind w:left="142"/>
        <w:rPr>
          <w:rFonts w:ascii="Verdana" w:hAnsi="Verdana" w:cs="Arial"/>
          <w:lang w:val="es-MX"/>
        </w:rPr>
      </w:pPr>
    </w:p>
    <w:p w14:paraId="2CB5851B" w14:textId="0A103364" w:rsidR="00DC7B11" w:rsidRPr="005C7E10" w:rsidRDefault="00DC7B11" w:rsidP="005C7E10">
      <w:pPr>
        <w:pStyle w:val="Descripcin"/>
        <w:spacing w:after="0"/>
        <w:jc w:val="center"/>
        <w:rPr>
          <w:rFonts w:ascii="Verdana" w:eastAsia="Times New Roman" w:hAnsi="Verdana" w:cs="Arial"/>
          <w:sz w:val="24"/>
          <w:szCs w:val="24"/>
          <w:lang w:val="es-CO" w:eastAsia="es-MX"/>
        </w:rPr>
      </w:pPr>
      <w:bookmarkStart w:id="46" w:name="_Toc180136801"/>
      <w:r w:rsidRPr="005C7E10">
        <w:rPr>
          <w:rFonts w:ascii="Verdana" w:eastAsia="Times New Roman" w:hAnsi="Verdana" w:cs="Arial"/>
          <w:sz w:val="24"/>
          <w:szCs w:val="24"/>
          <w:lang w:val="es-CO" w:eastAsia="es-MX"/>
        </w:rPr>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35</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Índice de Endeudamiento</w:t>
      </w:r>
      <w:bookmarkEnd w:id="46"/>
    </w:p>
    <w:p w14:paraId="4B9E6652" w14:textId="7226035A" w:rsidR="009F1CFF" w:rsidRPr="00A81BAA" w:rsidRDefault="00F0502F" w:rsidP="009F1CFF">
      <w:pPr>
        <w:pStyle w:val="Prrafodelista"/>
        <w:spacing w:after="0"/>
        <w:ind w:left="142"/>
        <w:jc w:val="center"/>
        <w:rPr>
          <w:rFonts w:ascii="Verdana" w:hAnsi="Verdana" w:cs="Arial"/>
          <w:lang w:val="es-MX"/>
        </w:rPr>
      </w:pPr>
      <w:r>
        <w:rPr>
          <w:noProof/>
          <w14:ligatures w14:val="standardContextual"/>
        </w:rPr>
        <w:drawing>
          <wp:inline distT="0" distB="0" distL="0" distR="0" wp14:anchorId="375B9240" wp14:editId="4F067325">
            <wp:extent cx="3768090" cy="1860605"/>
            <wp:effectExtent l="0" t="0" r="3810" b="6350"/>
            <wp:docPr id="750968913" name="Gráfico 1">
              <a:extLst xmlns:a="http://schemas.openxmlformats.org/drawingml/2006/main">
                <a:ext uri="{FF2B5EF4-FFF2-40B4-BE49-F238E27FC236}">
                  <a16:creationId xmlns:a16="http://schemas.microsoft.com/office/drawing/2014/main" id="{578CEAB8-D94D-468E-8D30-E8DB32F05B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7D5836F"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16C822A5" w14:textId="77777777" w:rsidR="009F1CFF" w:rsidRPr="00A81BAA" w:rsidRDefault="009F1CFF" w:rsidP="009F1CFF">
      <w:pPr>
        <w:pStyle w:val="Prrafodelista"/>
        <w:spacing w:after="0"/>
        <w:rPr>
          <w:rFonts w:ascii="Verdana" w:hAnsi="Verdana" w:cs="Arial"/>
          <w:b/>
          <w:bCs/>
          <w:lang w:val="es-MX"/>
        </w:rPr>
      </w:pPr>
    </w:p>
    <w:p w14:paraId="53E1A052" w14:textId="77777777" w:rsidR="00613A23" w:rsidRPr="00613A23" w:rsidRDefault="00613A23" w:rsidP="00613A23">
      <w:pPr>
        <w:jc w:val="both"/>
        <w:rPr>
          <w:rFonts w:ascii="Verdana" w:hAnsi="Verdana" w:cs="Arial"/>
          <w:sz w:val="22"/>
          <w:szCs w:val="22"/>
          <w:lang w:val="es-MX" w:eastAsia="es-CO"/>
        </w:rPr>
      </w:pPr>
      <w:r w:rsidRPr="00613A23">
        <w:rPr>
          <w:rFonts w:ascii="Verdana" w:hAnsi="Verdana" w:cs="Arial"/>
          <w:sz w:val="22"/>
          <w:szCs w:val="22"/>
          <w:lang w:val="es-MX" w:eastAsia="es-CO"/>
        </w:rPr>
        <w:t>Finalmente, otro grupo de indicadores (capital de trabajo, patrimonio, rentabilidad del patrimonio y rentabilidad del activo) tienen un comportamiento incremental en sus límites máximos conforme aumenta el segmento empresarial analizado, lo que permitiría incrementar el requisito conforme aumenta el tamaño empresarial.</w:t>
      </w:r>
    </w:p>
    <w:p w14:paraId="0AC3A728" w14:textId="77777777" w:rsidR="009F1CFF" w:rsidRPr="00A81BAA" w:rsidRDefault="009F1CFF" w:rsidP="009F1CFF">
      <w:pPr>
        <w:pStyle w:val="Prrafodelista"/>
        <w:spacing w:after="0"/>
        <w:rPr>
          <w:rFonts w:ascii="Verdana" w:hAnsi="Verdana" w:cs="Arial"/>
          <w:lang w:val="es-MX"/>
        </w:rPr>
      </w:pPr>
    </w:p>
    <w:p w14:paraId="21A6AF07" w14:textId="77777777" w:rsidR="00767BF2" w:rsidRPr="00A81BAA" w:rsidRDefault="00767BF2" w:rsidP="009F1CFF">
      <w:pPr>
        <w:pStyle w:val="Prrafodelista"/>
        <w:spacing w:after="0"/>
        <w:rPr>
          <w:rFonts w:ascii="Verdana" w:hAnsi="Verdana" w:cs="Arial"/>
          <w:lang w:val="es-MX"/>
        </w:rPr>
      </w:pPr>
    </w:p>
    <w:p w14:paraId="265515C8" w14:textId="34E9D6B6" w:rsidR="00767BF2" w:rsidRPr="005C7E10" w:rsidRDefault="00DC7B11" w:rsidP="005C7E10">
      <w:pPr>
        <w:pStyle w:val="Descripcin"/>
        <w:spacing w:after="0"/>
        <w:jc w:val="center"/>
        <w:rPr>
          <w:rFonts w:ascii="Verdana" w:eastAsia="Times New Roman" w:hAnsi="Verdana" w:cs="Arial"/>
          <w:sz w:val="24"/>
          <w:szCs w:val="24"/>
          <w:lang w:val="es-CO" w:eastAsia="es-MX"/>
        </w:rPr>
      </w:pPr>
      <w:bookmarkStart w:id="47" w:name="_Toc180136802"/>
      <w:r w:rsidRPr="005C7E10">
        <w:rPr>
          <w:rFonts w:ascii="Verdana" w:eastAsia="Times New Roman" w:hAnsi="Verdana" w:cs="Arial"/>
          <w:sz w:val="24"/>
          <w:szCs w:val="24"/>
          <w:lang w:val="es-CO" w:eastAsia="es-MX"/>
        </w:rPr>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36</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Capital de trabajo</w:t>
      </w:r>
      <w:bookmarkEnd w:id="47"/>
    </w:p>
    <w:p w14:paraId="0EF05332" w14:textId="6A19B69F" w:rsidR="009F1CFF" w:rsidRPr="00A81BAA" w:rsidRDefault="000379EE" w:rsidP="009F1CFF">
      <w:pPr>
        <w:pStyle w:val="Prrafodelista"/>
        <w:spacing w:after="0"/>
        <w:ind w:left="284"/>
        <w:jc w:val="center"/>
        <w:rPr>
          <w:rFonts w:ascii="Verdana" w:hAnsi="Verdana" w:cs="Arial"/>
          <w:lang w:val="es-MX"/>
        </w:rPr>
      </w:pPr>
      <w:r>
        <w:rPr>
          <w:noProof/>
          <w14:ligatures w14:val="standardContextual"/>
        </w:rPr>
        <w:drawing>
          <wp:inline distT="0" distB="0" distL="0" distR="0" wp14:anchorId="777FCE98" wp14:editId="7D259F71">
            <wp:extent cx="5612130" cy="1701579"/>
            <wp:effectExtent l="0" t="0" r="7620" b="13335"/>
            <wp:docPr id="1670632405" name="Gráfico 1">
              <a:extLst xmlns:a="http://schemas.openxmlformats.org/drawingml/2006/main">
                <a:ext uri="{FF2B5EF4-FFF2-40B4-BE49-F238E27FC236}">
                  <a16:creationId xmlns:a16="http://schemas.microsoft.com/office/drawing/2014/main" id="{8D5E912A-07C6-473D-9805-7D40D19A52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EF4C393"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34B45857" w14:textId="77777777" w:rsidR="009F1CFF" w:rsidRPr="00A81BAA" w:rsidRDefault="009F1CFF" w:rsidP="009F1CFF">
      <w:pPr>
        <w:pStyle w:val="Prrafodelista"/>
        <w:spacing w:after="0"/>
        <w:rPr>
          <w:rFonts w:ascii="Verdana" w:hAnsi="Verdana" w:cs="Arial"/>
          <w:lang w:val="es-MX"/>
        </w:rPr>
      </w:pPr>
    </w:p>
    <w:p w14:paraId="5B25B410" w14:textId="77777777" w:rsidR="00135BD4" w:rsidRDefault="00135BD4" w:rsidP="009F1CFF">
      <w:pPr>
        <w:pStyle w:val="Prrafodelista"/>
        <w:spacing w:after="0"/>
        <w:rPr>
          <w:rFonts w:ascii="Verdana" w:hAnsi="Verdana" w:cs="Arial"/>
          <w:lang w:val="es-MX"/>
        </w:rPr>
      </w:pPr>
    </w:p>
    <w:p w14:paraId="041F520A" w14:textId="1F0F3A33" w:rsidR="00DC7B11" w:rsidRPr="005C7E10" w:rsidRDefault="00155E52" w:rsidP="005C7E10">
      <w:pPr>
        <w:pStyle w:val="Descripcin"/>
        <w:spacing w:after="0"/>
        <w:jc w:val="center"/>
        <w:rPr>
          <w:rFonts w:ascii="Verdana" w:eastAsia="Times New Roman" w:hAnsi="Verdana" w:cs="Arial"/>
          <w:sz w:val="24"/>
          <w:szCs w:val="24"/>
          <w:lang w:val="es-CO" w:eastAsia="es-MX"/>
        </w:rPr>
      </w:pPr>
      <w:bookmarkStart w:id="48" w:name="_Toc180136803"/>
      <w:r w:rsidRPr="005C7E10">
        <w:rPr>
          <w:rFonts w:ascii="Verdana" w:eastAsia="Times New Roman" w:hAnsi="Verdana" w:cs="Arial"/>
          <w:sz w:val="24"/>
          <w:szCs w:val="24"/>
          <w:lang w:val="es-CO" w:eastAsia="es-MX"/>
        </w:rPr>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37</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Patrimonio</w:t>
      </w:r>
      <w:bookmarkEnd w:id="48"/>
    </w:p>
    <w:p w14:paraId="05ADDDC5" w14:textId="7F50AC92" w:rsidR="009F1CFF" w:rsidRPr="00A81BAA" w:rsidRDefault="003D77BB" w:rsidP="009F1CFF">
      <w:pPr>
        <w:pStyle w:val="Prrafodelista"/>
        <w:spacing w:after="0"/>
        <w:ind w:left="284"/>
        <w:rPr>
          <w:rFonts w:ascii="Verdana" w:hAnsi="Verdana" w:cs="Arial"/>
          <w:lang w:val="es-MX"/>
        </w:rPr>
      </w:pPr>
      <w:r>
        <w:rPr>
          <w:noProof/>
          <w14:ligatures w14:val="standardContextual"/>
        </w:rPr>
        <w:drawing>
          <wp:inline distT="0" distB="0" distL="0" distR="0" wp14:anchorId="54F94BC8" wp14:editId="7ADD237A">
            <wp:extent cx="5596890" cy="1812897"/>
            <wp:effectExtent l="0" t="0" r="3810" b="16510"/>
            <wp:docPr id="1469911369" name="Gráfico 1">
              <a:extLst xmlns:a="http://schemas.openxmlformats.org/drawingml/2006/main">
                <a:ext uri="{FF2B5EF4-FFF2-40B4-BE49-F238E27FC236}">
                  <a16:creationId xmlns:a16="http://schemas.microsoft.com/office/drawing/2014/main" id="{F6D85EA8-DCFC-429A-B21F-79154085B1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205DE8E"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7A219213" w14:textId="77777777" w:rsidR="009F1CFF" w:rsidRPr="00A81BAA" w:rsidRDefault="009F1CFF" w:rsidP="009F1CFF">
      <w:pPr>
        <w:pStyle w:val="Prrafodelista"/>
        <w:spacing w:after="0"/>
        <w:rPr>
          <w:rFonts w:ascii="Verdana" w:hAnsi="Verdana" w:cs="Arial"/>
          <w:lang w:val="es-MX"/>
        </w:rPr>
      </w:pPr>
    </w:p>
    <w:p w14:paraId="75A21B88" w14:textId="77777777" w:rsidR="00767BF2" w:rsidRPr="00A81BAA" w:rsidRDefault="00767BF2" w:rsidP="009F1CFF">
      <w:pPr>
        <w:pStyle w:val="Prrafodelista"/>
        <w:spacing w:after="0"/>
        <w:rPr>
          <w:rFonts w:ascii="Verdana" w:hAnsi="Verdana" w:cs="Arial"/>
          <w:lang w:val="es-MX"/>
        </w:rPr>
      </w:pPr>
    </w:p>
    <w:p w14:paraId="175F9F30" w14:textId="5375B132" w:rsidR="00767BF2" w:rsidRPr="005C7E10" w:rsidRDefault="00155E52" w:rsidP="005C7E10">
      <w:pPr>
        <w:pStyle w:val="Descripcin"/>
        <w:spacing w:after="0"/>
        <w:jc w:val="center"/>
        <w:rPr>
          <w:rFonts w:ascii="Verdana" w:eastAsia="Times New Roman" w:hAnsi="Verdana" w:cs="Arial"/>
          <w:sz w:val="24"/>
          <w:szCs w:val="24"/>
          <w:lang w:val="es-CO" w:eastAsia="es-MX"/>
        </w:rPr>
      </w:pPr>
      <w:bookmarkStart w:id="49" w:name="_Toc180136804"/>
      <w:r w:rsidRPr="005C7E10">
        <w:rPr>
          <w:rFonts w:ascii="Verdana" w:eastAsia="Times New Roman" w:hAnsi="Verdana" w:cs="Arial"/>
          <w:sz w:val="24"/>
          <w:szCs w:val="24"/>
          <w:lang w:val="es-CO" w:eastAsia="es-MX"/>
        </w:rPr>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38</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Rentabilidad sobre Patrimonio</w:t>
      </w:r>
      <w:bookmarkEnd w:id="49"/>
    </w:p>
    <w:p w14:paraId="74EDD5FD" w14:textId="20A7310F" w:rsidR="009F1CFF" w:rsidRPr="00A81BAA" w:rsidRDefault="00274EA2" w:rsidP="009F1CFF">
      <w:pPr>
        <w:pStyle w:val="Prrafodelista"/>
        <w:spacing w:after="0"/>
        <w:ind w:left="284"/>
        <w:jc w:val="center"/>
        <w:rPr>
          <w:rFonts w:ascii="Verdana" w:hAnsi="Verdana" w:cs="Arial"/>
          <w:lang w:val="es-MX"/>
        </w:rPr>
      </w:pPr>
      <w:r>
        <w:rPr>
          <w:noProof/>
          <w14:ligatures w14:val="standardContextual"/>
        </w:rPr>
        <w:lastRenderedPageBreak/>
        <w:drawing>
          <wp:inline distT="0" distB="0" distL="0" distR="0" wp14:anchorId="4911D85A" wp14:editId="02C2747A">
            <wp:extent cx="5862658" cy="2078181"/>
            <wp:effectExtent l="0" t="0" r="5080" b="17780"/>
            <wp:docPr id="1448876983" name="Gráfico 1">
              <a:extLst xmlns:a="http://schemas.openxmlformats.org/drawingml/2006/main">
                <a:ext uri="{FF2B5EF4-FFF2-40B4-BE49-F238E27FC236}">
                  <a16:creationId xmlns:a16="http://schemas.microsoft.com/office/drawing/2014/main" id="{F3438380-BA00-42B7-9E61-03A29937CA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B5E5E22"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7D3571B3" w14:textId="77777777" w:rsidR="00767BF2" w:rsidRDefault="00767BF2" w:rsidP="009F1CFF">
      <w:pPr>
        <w:pStyle w:val="Prrafodelista"/>
        <w:spacing w:after="0"/>
        <w:ind w:left="426"/>
        <w:rPr>
          <w:rFonts w:ascii="Verdana" w:hAnsi="Verdana" w:cs="Arial"/>
          <w:lang w:val="es-MX"/>
        </w:rPr>
      </w:pPr>
    </w:p>
    <w:p w14:paraId="5E49F5CF" w14:textId="6F1B0C1A" w:rsidR="00155E52" w:rsidRDefault="00155E52" w:rsidP="005C7E10">
      <w:pPr>
        <w:pStyle w:val="Descripcin"/>
        <w:spacing w:after="0"/>
        <w:jc w:val="center"/>
        <w:rPr>
          <w:rFonts w:ascii="Verdana" w:eastAsia="Times New Roman" w:hAnsi="Verdana" w:cs="Arial"/>
          <w:sz w:val="24"/>
          <w:szCs w:val="24"/>
          <w:lang w:val="es-CO" w:eastAsia="es-MX"/>
        </w:rPr>
      </w:pPr>
      <w:bookmarkStart w:id="50" w:name="_Toc180136805"/>
      <w:r w:rsidRPr="005C7E10">
        <w:rPr>
          <w:rFonts w:ascii="Verdana" w:eastAsia="Times New Roman" w:hAnsi="Verdana" w:cs="Arial"/>
          <w:sz w:val="24"/>
          <w:szCs w:val="24"/>
          <w:lang w:val="es-CO" w:eastAsia="es-MX"/>
        </w:rPr>
        <w:t xml:space="preserve">Gráfica </w:t>
      </w:r>
      <w:r w:rsidRPr="005C7E10">
        <w:rPr>
          <w:rFonts w:ascii="Verdana" w:eastAsia="Times New Roman" w:hAnsi="Verdana" w:cs="Arial"/>
          <w:sz w:val="24"/>
          <w:szCs w:val="24"/>
          <w:lang w:val="es-CO" w:eastAsia="es-MX"/>
        </w:rPr>
        <w:fldChar w:fldCharType="begin"/>
      </w:r>
      <w:r w:rsidRPr="005C7E10">
        <w:rPr>
          <w:rFonts w:ascii="Verdana" w:eastAsia="Times New Roman" w:hAnsi="Verdana" w:cs="Arial"/>
          <w:sz w:val="24"/>
          <w:szCs w:val="24"/>
          <w:lang w:val="es-CO" w:eastAsia="es-MX"/>
        </w:rPr>
        <w:instrText xml:space="preserve"> SEQ Gráfica \* ARABIC </w:instrText>
      </w:r>
      <w:r w:rsidRPr="005C7E10">
        <w:rPr>
          <w:rFonts w:ascii="Verdana" w:eastAsia="Times New Roman" w:hAnsi="Verdana" w:cs="Arial"/>
          <w:sz w:val="24"/>
          <w:szCs w:val="24"/>
          <w:lang w:val="es-CO" w:eastAsia="es-MX"/>
        </w:rPr>
        <w:fldChar w:fldCharType="separate"/>
      </w:r>
      <w:r w:rsidR="00BC476F">
        <w:rPr>
          <w:rFonts w:ascii="Verdana" w:eastAsia="Times New Roman" w:hAnsi="Verdana" w:cs="Arial"/>
          <w:noProof/>
          <w:sz w:val="24"/>
          <w:szCs w:val="24"/>
          <w:lang w:val="es-CO" w:eastAsia="es-MX"/>
        </w:rPr>
        <w:t>39</w:t>
      </w:r>
      <w:r w:rsidRPr="005C7E10">
        <w:rPr>
          <w:rFonts w:ascii="Verdana" w:eastAsia="Times New Roman" w:hAnsi="Verdana" w:cs="Arial"/>
          <w:sz w:val="24"/>
          <w:szCs w:val="24"/>
          <w:lang w:val="es-CO" w:eastAsia="es-MX"/>
        </w:rPr>
        <w:fldChar w:fldCharType="end"/>
      </w:r>
      <w:r w:rsidRPr="005C7E10">
        <w:rPr>
          <w:rFonts w:ascii="Verdana" w:eastAsia="Times New Roman" w:hAnsi="Verdana" w:cs="Arial"/>
          <w:sz w:val="24"/>
          <w:szCs w:val="24"/>
          <w:lang w:val="es-CO" w:eastAsia="es-MX"/>
        </w:rPr>
        <w:t>. Rentabilidad sobre Activos</w:t>
      </w:r>
      <w:bookmarkEnd w:id="50"/>
    </w:p>
    <w:p w14:paraId="471E4624" w14:textId="77777777" w:rsidR="00641071" w:rsidRPr="00B00FCB" w:rsidRDefault="00641071" w:rsidP="00B00FCB"/>
    <w:p w14:paraId="2C1DC50F" w14:textId="098655D6" w:rsidR="009F1CFF" w:rsidRPr="00A81BAA" w:rsidRDefault="00596446" w:rsidP="009F1CFF">
      <w:pPr>
        <w:pStyle w:val="Prrafodelista"/>
        <w:spacing w:after="0"/>
        <w:ind w:left="426"/>
        <w:rPr>
          <w:rFonts w:ascii="Verdana" w:hAnsi="Verdana" w:cs="Arial"/>
          <w:lang w:val="es-MX"/>
        </w:rPr>
      </w:pPr>
      <w:r>
        <w:rPr>
          <w:noProof/>
          <w14:ligatures w14:val="standardContextual"/>
        </w:rPr>
        <w:drawing>
          <wp:inline distT="0" distB="0" distL="0" distR="0" wp14:anchorId="0197BA3A" wp14:editId="34D0017D">
            <wp:extent cx="5565775" cy="1844703"/>
            <wp:effectExtent l="0" t="0" r="15875" b="3175"/>
            <wp:docPr id="1496308377" name="Gráfico 1">
              <a:extLst xmlns:a="http://schemas.openxmlformats.org/drawingml/2006/main">
                <a:ext uri="{FF2B5EF4-FFF2-40B4-BE49-F238E27FC236}">
                  <a16:creationId xmlns:a16="http://schemas.microsoft.com/office/drawing/2014/main" id="{37DD0AD6-BC73-4BFC-A883-94519A7C42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1C11FE9" w14:textId="77777777" w:rsidR="00767BF2" w:rsidRPr="00A81BAA" w:rsidRDefault="00767BF2" w:rsidP="00767BF2">
      <w:pPr>
        <w:jc w:val="center"/>
        <w:rPr>
          <w:rFonts w:ascii="Verdana" w:hAnsi="Verdana" w:cs="Arial"/>
          <w:sz w:val="16"/>
          <w:szCs w:val="16"/>
          <w:lang w:val="es-MX" w:eastAsia="es-CO"/>
        </w:rPr>
      </w:pPr>
      <w:r w:rsidRPr="00A81BAA">
        <w:rPr>
          <w:rFonts w:ascii="Verdana" w:hAnsi="Verdana" w:cs="Arial"/>
          <w:sz w:val="16"/>
          <w:szCs w:val="16"/>
          <w:lang w:val="es-MX" w:eastAsia="es-CO"/>
        </w:rPr>
        <w:t>Elaboración propia</w:t>
      </w:r>
    </w:p>
    <w:p w14:paraId="0D1D9C94" w14:textId="77777777" w:rsidR="009F1CFF" w:rsidRPr="00A81BAA" w:rsidRDefault="009F1CFF" w:rsidP="009F1CFF">
      <w:pPr>
        <w:pStyle w:val="Prrafodelista"/>
        <w:spacing w:after="0"/>
        <w:rPr>
          <w:rFonts w:ascii="Verdana" w:hAnsi="Verdana" w:cs="Arial"/>
          <w:lang w:val="es-MX"/>
        </w:rPr>
      </w:pPr>
    </w:p>
    <w:p w14:paraId="5DA7CF23" w14:textId="77777777" w:rsidR="00B94425" w:rsidRPr="00A81BAA" w:rsidRDefault="00B94425" w:rsidP="009F1CFF">
      <w:pPr>
        <w:pStyle w:val="Prrafodelista"/>
        <w:spacing w:after="0"/>
        <w:rPr>
          <w:rFonts w:ascii="Verdana" w:hAnsi="Verdana" w:cs="Arial"/>
          <w:b/>
          <w:bCs/>
          <w:lang w:val="es-MX"/>
        </w:rPr>
      </w:pPr>
    </w:p>
    <w:p w14:paraId="33B830FC" w14:textId="77777777" w:rsidR="009F1CFF" w:rsidRPr="00A81BAA" w:rsidRDefault="009F1CFF" w:rsidP="00E5317C">
      <w:pPr>
        <w:spacing w:line="276" w:lineRule="auto"/>
        <w:rPr>
          <w:rFonts w:ascii="Verdana" w:hAnsi="Verdana" w:cs="Arial"/>
          <w:b/>
          <w:sz w:val="22"/>
          <w:szCs w:val="22"/>
        </w:rPr>
      </w:pPr>
      <w:r w:rsidRPr="00A81BAA">
        <w:rPr>
          <w:rFonts w:ascii="Verdana" w:hAnsi="Verdana" w:cs="Arial"/>
          <w:b/>
          <w:sz w:val="22"/>
          <w:szCs w:val="22"/>
        </w:rPr>
        <w:t xml:space="preserve">Propuesta requisitos habilitantes de capacidad financiera y organizacional </w:t>
      </w:r>
    </w:p>
    <w:p w14:paraId="3C3C09F1" w14:textId="77777777" w:rsidR="009F1CFF" w:rsidRPr="00A81BAA" w:rsidRDefault="009F1CFF" w:rsidP="009F1CFF">
      <w:pPr>
        <w:rPr>
          <w:rFonts w:ascii="Verdana" w:hAnsi="Verdana" w:cs="Arial"/>
          <w:lang w:val="es-MX"/>
        </w:rPr>
      </w:pPr>
    </w:p>
    <w:p w14:paraId="568B3FCD" w14:textId="693C1586" w:rsidR="003E0FEF" w:rsidRPr="003E0FEF" w:rsidRDefault="5049AD11" w:rsidP="003E0FEF">
      <w:pPr>
        <w:pStyle w:val="Descripcin"/>
        <w:jc w:val="both"/>
        <w:rPr>
          <w:rFonts w:ascii="Verdana" w:eastAsia="Times New Roman" w:hAnsi="Verdana" w:cs="Arial"/>
          <w:b w:val="0"/>
          <w:bCs w:val="0"/>
          <w:sz w:val="22"/>
          <w:szCs w:val="22"/>
          <w:lang w:val="es-MX" w:eastAsia="es-MX"/>
        </w:rPr>
      </w:pPr>
      <w:r w:rsidRPr="27D648A7">
        <w:rPr>
          <w:rFonts w:ascii="Verdana" w:eastAsia="Times New Roman" w:hAnsi="Verdana" w:cs="Arial"/>
          <w:b w:val="0"/>
          <w:bCs w:val="0"/>
          <w:sz w:val="22"/>
          <w:szCs w:val="22"/>
          <w:lang w:val="es-MX" w:eastAsia="es-MX"/>
        </w:rPr>
        <w:t xml:space="preserve">Conforme con lo anterior, y con el objetivo de establecer requisitos mínimos habilitantes de capacidad financiera y organizacional que sean proporcionales a las diferentes condiciones de los procesos de selección (modalidad, presupuesto, plazo, etc), a </w:t>
      </w:r>
      <w:r w:rsidR="4CD5F70F" w:rsidRPr="27D648A7">
        <w:rPr>
          <w:rFonts w:ascii="Verdana" w:eastAsia="Times New Roman" w:hAnsi="Verdana" w:cs="Arial"/>
          <w:b w:val="0"/>
          <w:bCs w:val="0"/>
          <w:sz w:val="22"/>
          <w:szCs w:val="22"/>
          <w:lang w:val="es-MX" w:eastAsia="es-MX"/>
        </w:rPr>
        <w:t>continuación,</w:t>
      </w:r>
      <w:r w:rsidRPr="27D648A7">
        <w:rPr>
          <w:rFonts w:ascii="Verdana" w:eastAsia="Times New Roman" w:hAnsi="Verdana" w:cs="Arial"/>
          <w:b w:val="0"/>
          <w:bCs w:val="0"/>
          <w:sz w:val="22"/>
          <w:szCs w:val="22"/>
          <w:lang w:val="es-MX" w:eastAsia="es-MX"/>
        </w:rPr>
        <w:t xml:space="preserve"> se presenta la propuesta de indicadores financieros para ser consideradas para la nueva actualización del pliego tipo de licitación pública y selección abreviada de menor cuantía para infraestructura de obra social.</w:t>
      </w:r>
    </w:p>
    <w:p w14:paraId="3320FBD7" w14:textId="371B8CB1" w:rsidR="00155E52" w:rsidRDefault="003E0FEF" w:rsidP="003E0FEF">
      <w:pPr>
        <w:pStyle w:val="Descripcin"/>
        <w:jc w:val="both"/>
      </w:pPr>
      <w:r w:rsidRPr="003E0FEF">
        <w:rPr>
          <w:rFonts w:ascii="Verdana" w:eastAsia="Times New Roman" w:hAnsi="Verdana" w:cs="Arial"/>
          <w:b w:val="0"/>
          <w:bCs w:val="0"/>
          <w:sz w:val="22"/>
          <w:szCs w:val="22"/>
          <w:lang w:val="es-MX" w:eastAsia="es-MX"/>
        </w:rPr>
        <w:lastRenderedPageBreak/>
        <w:t>Para esta nueva actualización los requisitos de capacidad financiera y organizacional serán definidos de acuerdo con el presupuesto oficial del proceso de selección (expresados en SMMLV), con base en los siguientes rangos de presupuesto definidos de conformidad con la matriz de experiencia de los proyectos de infraestructura social estructurada para la presente versión de los pliegos tipo:</w:t>
      </w:r>
    </w:p>
    <w:p w14:paraId="38DE9881" w14:textId="005E5214" w:rsidR="00E5317C" w:rsidRPr="00A81BAA" w:rsidRDefault="00155E52" w:rsidP="005C7E10">
      <w:pPr>
        <w:pStyle w:val="Descripcin"/>
        <w:spacing w:after="0"/>
        <w:jc w:val="center"/>
        <w:rPr>
          <w:rFonts w:ascii="Verdana" w:hAnsi="Verdana" w:cs="Arial"/>
          <w:lang w:val="es-MX"/>
        </w:rPr>
      </w:pPr>
      <w:bookmarkStart w:id="51" w:name="_Toc180136827"/>
      <w:r w:rsidRPr="005C7E10">
        <w:rPr>
          <w:rFonts w:ascii="Verdana" w:hAnsi="Verdana"/>
        </w:rPr>
        <w:t xml:space="preserve">Tabla </w:t>
      </w:r>
      <w:r w:rsidRPr="005C7E10">
        <w:rPr>
          <w:rFonts w:ascii="Verdana" w:hAnsi="Verdana"/>
        </w:rPr>
        <w:fldChar w:fldCharType="begin"/>
      </w:r>
      <w:r w:rsidRPr="005C7E10">
        <w:rPr>
          <w:rFonts w:ascii="Verdana" w:hAnsi="Verdana"/>
        </w:rPr>
        <w:instrText xml:space="preserve"> SEQ Tabla \* ARABIC </w:instrText>
      </w:r>
      <w:r w:rsidRPr="005C7E10">
        <w:rPr>
          <w:rFonts w:ascii="Verdana" w:hAnsi="Verdana"/>
        </w:rPr>
        <w:fldChar w:fldCharType="separate"/>
      </w:r>
      <w:r w:rsidR="00CF739E">
        <w:rPr>
          <w:rFonts w:ascii="Verdana" w:hAnsi="Verdana"/>
          <w:noProof/>
        </w:rPr>
        <w:t>11</w:t>
      </w:r>
      <w:r w:rsidRPr="005C7E10">
        <w:rPr>
          <w:rFonts w:ascii="Verdana" w:hAnsi="Verdana"/>
        </w:rPr>
        <w:fldChar w:fldCharType="end"/>
      </w:r>
      <w:r w:rsidRPr="005C7E10">
        <w:rPr>
          <w:rFonts w:ascii="Verdana" w:hAnsi="Verdana"/>
        </w:rPr>
        <w:t>. Rangos SMMLV</w:t>
      </w:r>
      <w:bookmarkEnd w:id="51"/>
    </w:p>
    <w:tbl>
      <w:tblPr>
        <w:tblW w:w="0" w:type="auto"/>
        <w:jc w:val="center"/>
        <w:tblCellMar>
          <w:left w:w="70" w:type="dxa"/>
          <w:right w:w="70" w:type="dxa"/>
        </w:tblCellMar>
        <w:tblLook w:val="04A0" w:firstRow="1" w:lastRow="0" w:firstColumn="1" w:lastColumn="0" w:noHBand="0" w:noVBand="1"/>
      </w:tblPr>
      <w:tblGrid>
        <w:gridCol w:w="1129"/>
        <w:gridCol w:w="1330"/>
        <w:gridCol w:w="1364"/>
        <w:gridCol w:w="1417"/>
      </w:tblGrid>
      <w:tr w:rsidR="00A81BAA" w:rsidRPr="00A81BAA" w14:paraId="74B307F6" w14:textId="77777777">
        <w:trPr>
          <w:trHeight w:val="20"/>
          <w:jc w:val="center"/>
        </w:trPr>
        <w:tc>
          <w:tcPr>
            <w:tcW w:w="245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2B16D36" w14:textId="77777777" w:rsidR="009F1CFF" w:rsidRPr="00A81BAA" w:rsidRDefault="009F1CFF">
            <w:pPr>
              <w:jc w:val="center"/>
              <w:rPr>
                <w:rFonts w:ascii="Verdana" w:hAnsi="Verdana" w:cs="Arial"/>
                <w:b/>
                <w:bCs/>
                <w:sz w:val="20"/>
                <w:szCs w:val="20"/>
                <w:lang w:eastAsia="es-CO"/>
              </w:rPr>
            </w:pPr>
            <w:r w:rsidRPr="00A81BAA">
              <w:rPr>
                <w:rFonts w:ascii="Verdana" w:hAnsi="Verdana" w:cs="Arial"/>
                <w:b/>
                <w:bCs/>
                <w:sz w:val="20"/>
                <w:szCs w:val="20"/>
                <w:lang w:eastAsia="es-CO"/>
              </w:rPr>
              <w:t>Rango 1</w:t>
            </w:r>
          </w:p>
        </w:tc>
        <w:tc>
          <w:tcPr>
            <w:tcW w:w="2781" w:type="dxa"/>
            <w:gridSpan w:val="2"/>
            <w:tcBorders>
              <w:top w:val="single" w:sz="4" w:space="0" w:color="auto"/>
              <w:left w:val="nil"/>
              <w:bottom w:val="single" w:sz="4" w:space="0" w:color="auto"/>
              <w:right w:val="single" w:sz="4" w:space="0" w:color="000000"/>
            </w:tcBorders>
            <w:shd w:val="clear" w:color="000000" w:fill="F2F2F2"/>
            <w:noWrap/>
            <w:vAlign w:val="center"/>
            <w:hideMark/>
          </w:tcPr>
          <w:p w14:paraId="6BB75E8C" w14:textId="77777777" w:rsidR="009F1CFF" w:rsidRPr="00A81BAA" w:rsidRDefault="009F1CFF">
            <w:pPr>
              <w:jc w:val="center"/>
              <w:rPr>
                <w:rFonts w:ascii="Verdana" w:hAnsi="Verdana" w:cs="Arial"/>
                <w:b/>
                <w:bCs/>
                <w:sz w:val="20"/>
                <w:szCs w:val="20"/>
                <w:lang w:eastAsia="es-CO"/>
              </w:rPr>
            </w:pPr>
            <w:r w:rsidRPr="00A81BAA">
              <w:rPr>
                <w:rFonts w:ascii="Verdana" w:hAnsi="Verdana" w:cs="Arial"/>
                <w:b/>
                <w:bCs/>
                <w:sz w:val="20"/>
                <w:szCs w:val="20"/>
                <w:lang w:eastAsia="es-CO"/>
              </w:rPr>
              <w:t>Rango 2</w:t>
            </w:r>
          </w:p>
        </w:tc>
      </w:tr>
      <w:tr w:rsidR="00A81BAA" w:rsidRPr="00A81BAA" w14:paraId="3B573117" w14:textId="77777777">
        <w:trPr>
          <w:trHeight w:val="20"/>
          <w:jc w:val="center"/>
        </w:trPr>
        <w:tc>
          <w:tcPr>
            <w:tcW w:w="1129" w:type="dxa"/>
            <w:tcBorders>
              <w:top w:val="nil"/>
              <w:left w:val="nil"/>
              <w:bottom w:val="nil"/>
              <w:right w:val="nil"/>
            </w:tcBorders>
            <w:shd w:val="clear" w:color="auto" w:fill="auto"/>
            <w:noWrap/>
            <w:vAlign w:val="bottom"/>
            <w:hideMark/>
          </w:tcPr>
          <w:p w14:paraId="134556E4" w14:textId="77777777" w:rsidR="009F1CFF" w:rsidRPr="00A81BAA" w:rsidRDefault="009F1CFF">
            <w:pPr>
              <w:jc w:val="center"/>
              <w:rPr>
                <w:rFonts w:ascii="Verdana" w:hAnsi="Verdana" w:cs="Arial"/>
                <w:b/>
                <w:bCs/>
                <w:sz w:val="20"/>
                <w:szCs w:val="20"/>
                <w:lang w:eastAsia="es-CO"/>
              </w:rPr>
            </w:pPr>
          </w:p>
        </w:tc>
        <w:tc>
          <w:tcPr>
            <w:tcW w:w="1330" w:type="dxa"/>
            <w:tcBorders>
              <w:top w:val="nil"/>
              <w:left w:val="nil"/>
              <w:bottom w:val="nil"/>
              <w:right w:val="nil"/>
            </w:tcBorders>
            <w:shd w:val="clear" w:color="auto" w:fill="auto"/>
            <w:noWrap/>
            <w:vAlign w:val="bottom"/>
            <w:hideMark/>
          </w:tcPr>
          <w:p w14:paraId="6623194E" w14:textId="77777777" w:rsidR="009F1CFF" w:rsidRPr="00A81BAA" w:rsidRDefault="009F1CFF">
            <w:pPr>
              <w:rPr>
                <w:rFonts w:ascii="Verdana" w:hAnsi="Verdana" w:cs="Arial"/>
                <w:sz w:val="20"/>
                <w:szCs w:val="20"/>
                <w:lang w:eastAsia="es-CO"/>
              </w:rPr>
            </w:pPr>
          </w:p>
        </w:tc>
        <w:tc>
          <w:tcPr>
            <w:tcW w:w="1364" w:type="dxa"/>
            <w:tcBorders>
              <w:top w:val="nil"/>
              <w:left w:val="nil"/>
              <w:bottom w:val="nil"/>
              <w:right w:val="nil"/>
            </w:tcBorders>
            <w:shd w:val="clear" w:color="auto" w:fill="auto"/>
            <w:noWrap/>
            <w:vAlign w:val="bottom"/>
            <w:hideMark/>
          </w:tcPr>
          <w:p w14:paraId="6B8EB32E" w14:textId="77777777" w:rsidR="009F1CFF" w:rsidRPr="00A81BAA" w:rsidRDefault="009F1CFF">
            <w:pPr>
              <w:rPr>
                <w:rFonts w:ascii="Verdana" w:hAnsi="Verdana" w:cs="Arial"/>
                <w:sz w:val="20"/>
                <w:szCs w:val="20"/>
                <w:lang w:eastAsia="es-CO"/>
              </w:rPr>
            </w:pPr>
          </w:p>
        </w:tc>
        <w:tc>
          <w:tcPr>
            <w:tcW w:w="1417" w:type="dxa"/>
            <w:tcBorders>
              <w:top w:val="nil"/>
              <w:left w:val="nil"/>
              <w:bottom w:val="nil"/>
              <w:right w:val="nil"/>
            </w:tcBorders>
            <w:shd w:val="clear" w:color="auto" w:fill="auto"/>
            <w:noWrap/>
            <w:vAlign w:val="bottom"/>
            <w:hideMark/>
          </w:tcPr>
          <w:p w14:paraId="5C7CD07D" w14:textId="77777777" w:rsidR="009F1CFF" w:rsidRPr="00A81BAA" w:rsidRDefault="009F1CFF">
            <w:pPr>
              <w:rPr>
                <w:rFonts w:ascii="Verdana" w:hAnsi="Verdana" w:cs="Arial"/>
                <w:sz w:val="20"/>
                <w:szCs w:val="20"/>
                <w:lang w:eastAsia="es-CO"/>
              </w:rPr>
            </w:pPr>
          </w:p>
        </w:tc>
      </w:tr>
      <w:tr w:rsidR="00A81BAA" w:rsidRPr="00A81BAA" w14:paraId="0D01BC7A" w14:textId="77777777">
        <w:trPr>
          <w:trHeight w:val="20"/>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3057E" w14:textId="77777777" w:rsidR="009F1CFF" w:rsidRPr="00A81BAA" w:rsidRDefault="009F1CFF">
            <w:pPr>
              <w:jc w:val="center"/>
              <w:rPr>
                <w:rFonts w:ascii="Verdana" w:hAnsi="Verdana" w:cs="Arial"/>
                <w:b/>
                <w:bCs/>
                <w:sz w:val="16"/>
                <w:szCs w:val="16"/>
                <w:lang w:eastAsia="es-CO"/>
              </w:rPr>
            </w:pPr>
            <w:r w:rsidRPr="00A81BAA">
              <w:rPr>
                <w:rFonts w:ascii="Verdana" w:hAnsi="Verdana" w:cs="Arial"/>
                <w:b/>
                <w:bCs/>
                <w:sz w:val="16"/>
                <w:szCs w:val="16"/>
                <w:lang w:eastAsia="es-CO"/>
              </w:rPr>
              <w:t>&gt;0</w:t>
            </w:r>
          </w:p>
        </w:tc>
        <w:tc>
          <w:tcPr>
            <w:tcW w:w="1330" w:type="dxa"/>
            <w:tcBorders>
              <w:top w:val="single" w:sz="4" w:space="0" w:color="auto"/>
              <w:left w:val="nil"/>
              <w:bottom w:val="single" w:sz="4" w:space="0" w:color="auto"/>
              <w:right w:val="single" w:sz="4" w:space="0" w:color="auto"/>
            </w:tcBorders>
            <w:shd w:val="clear" w:color="auto" w:fill="auto"/>
            <w:noWrap/>
            <w:vAlign w:val="center"/>
            <w:hideMark/>
          </w:tcPr>
          <w:p w14:paraId="5DF666D9" w14:textId="294533EF" w:rsidR="009F1CFF" w:rsidRPr="00A81BAA" w:rsidRDefault="009F1CFF">
            <w:pPr>
              <w:jc w:val="center"/>
              <w:rPr>
                <w:rFonts w:ascii="Verdana" w:hAnsi="Verdana" w:cs="Arial"/>
                <w:b/>
                <w:bCs/>
                <w:sz w:val="16"/>
                <w:szCs w:val="16"/>
                <w:lang w:eastAsia="es-CO"/>
              </w:rPr>
            </w:pPr>
            <w:r w:rsidRPr="00A81BAA">
              <w:rPr>
                <w:rFonts w:ascii="Verdana" w:hAnsi="Verdana" w:cs="Arial"/>
                <w:b/>
                <w:bCs/>
                <w:sz w:val="16"/>
                <w:szCs w:val="16"/>
                <w:lang w:eastAsia="es-CO"/>
              </w:rPr>
              <w:t>&lt;4.000</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50D475E3" w14:textId="5FF59224" w:rsidR="009F1CFF" w:rsidRPr="00A81BAA" w:rsidRDefault="009F1CFF">
            <w:pPr>
              <w:jc w:val="center"/>
              <w:rPr>
                <w:rFonts w:ascii="Verdana" w:hAnsi="Verdana" w:cs="Arial"/>
                <w:b/>
                <w:bCs/>
                <w:sz w:val="16"/>
                <w:szCs w:val="16"/>
                <w:lang w:eastAsia="es-CO"/>
              </w:rPr>
            </w:pPr>
            <w:r w:rsidRPr="00A81BAA">
              <w:rPr>
                <w:rFonts w:ascii="Verdana" w:hAnsi="Verdana" w:cs="Arial"/>
                <w:b/>
                <w:bCs/>
                <w:sz w:val="16"/>
                <w:szCs w:val="16"/>
                <w:lang w:eastAsia="es-CO"/>
              </w:rPr>
              <w:t>&gt;= 4.000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1BB6441" w14:textId="77777777" w:rsidR="009F1CFF" w:rsidRPr="00A81BAA" w:rsidRDefault="009F1CFF">
            <w:pPr>
              <w:jc w:val="center"/>
              <w:rPr>
                <w:rFonts w:ascii="Verdana" w:hAnsi="Verdana" w:cs="Arial"/>
                <w:b/>
                <w:bCs/>
                <w:sz w:val="16"/>
                <w:szCs w:val="16"/>
                <w:lang w:eastAsia="es-CO"/>
              </w:rPr>
            </w:pPr>
            <w:r w:rsidRPr="00A81BAA">
              <w:rPr>
                <w:rFonts w:ascii="Verdana" w:hAnsi="Verdana" w:cs="Arial"/>
                <w:b/>
                <w:bCs/>
                <w:sz w:val="16"/>
                <w:szCs w:val="16"/>
                <w:lang w:eastAsia="es-CO"/>
              </w:rPr>
              <w:t>-</w:t>
            </w:r>
          </w:p>
        </w:tc>
      </w:tr>
    </w:tbl>
    <w:p w14:paraId="16A843E8" w14:textId="77777777" w:rsidR="009F1CFF" w:rsidRDefault="009F1CFF" w:rsidP="009F1CFF">
      <w:pPr>
        <w:jc w:val="center"/>
        <w:rPr>
          <w:rFonts w:ascii="Verdana" w:hAnsi="Verdana" w:cs="Arial"/>
          <w:sz w:val="16"/>
          <w:szCs w:val="16"/>
          <w:lang w:val="es-MX"/>
        </w:rPr>
      </w:pPr>
      <w:r w:rsidRPr="00A81BAA">
        <w:rPr>
          <w:rFonts w:ascii="Verdana" w:hAnsi="Verdana" w:cs="Arial"/>
          <w:sz w:val="16"/>
          <w:szCs w:val="16"/>
          <w:lang w:val="es-MX"/>
        </w:rPr>
        <w:t>(Cifras expresadas en SMMLV)</w:t>
      </w:r>
    </w:p>
    <w:p w14:paraId="20F5DF4C" w14:textId="77777777" w:rsidR="00F377A0" w:rsidRDefault="00F377A0" w:rsidP="00F377A0">
      <w:pPr>
        <w:pStyle w:val="Prrafodelista"/>
        <w:ind w:left="0"/>
        <w:jc w:val="center"/>
        <w:rPr>
          <w:rFonts w:ascii="Verdana" w:hAnsi="Verdana" w:cs="Arial"/>
          <w:sz w:val="16"/>
          <w:szCs w:val="16"/>
          <w:lang w:val="es-MX"/>
        </w:rPr>
      </w:pPr>
      <w:r w:rsidRPr="005C7E10">
        <w:rPr>
          <w:rFonts w:ascii="Verdana" w:hAnsi="Verdana" w:cs="Arial"/>
          <w:sz w:val="16"/>
          <w:szCs w:val="16"/>
          <w:lang w:val="es-MX"/>
        </w:rPr>
        <w:t>Elaboración propia</w:t>
      </w:r>
    </w:p>
    <w:p w14:paraId="5041CC80" w14:textId="6AF45CB2" w:rsidR="009F1CFF" w:rsidRPr="00A81BAA" w:rsidRDefault="009F1CFF" w:rsidP="009F1CFF">
      <w:pPr>
        <w:jc w:val="both"/>
        <w:rPr>
          <w:rFonts w:ascii="Verdana" w:hAnsi="Verdana" w:cs="Arial"/>
          <w:sz w:val="16"/>
          <w:szCs w:val="16"/>
          <w:lang w:val="es-MX"/>
        </w:rPr>
      </w:pPr>
      <w:r w:rsidRPr="00A81BAA">
        <w:rPr>
          <w:rFonts w:ascii="Verdana" w:hAnsi="Verdana" w:cs="Arial"/>
          <w:sz w:val="16"/>
          <w:szCs w:val="16"/>
          <w:lang w:val="es-MX"/>
        </w:rPr>
        <w:t>Nota 1: Los indicadores propuestos para el documento tipo en la modalidad de selección Licitación Pública serán los definidos para cada uno de los rangos establecidos de acuerdo con el presupuesto del proceso de selección. Respecto al documento tipo en la modalidad Selección Abreviada de Menor Cuantía los indicadores a solicitar corresponderán a los definidos para el rango de presupuesto No. 1.</w:t>
      </w:r>
    </w:p>
    <w:p w14:paraId="074F220F" w14:textId="77777777" w:rsidR="009F1CFF" w:rsidRPr="00A81BAA" w:rsidRDefault="009F1CFF" w:rsidP="009F1CFF">
      <w:pPr>
        <w:rPr>
          <w:rFonts w:ascii="Verdana" w:hAnsi="Verdana" w:cs="Arial"/>
          <w:sz w:val="16"/>
          <w:szCs w:val="16"/>
          <w:lang w:val="es-MX"/>
        </w:rPr>
      </w:pPr>
    </w:p>
    <w:p w14:paraId="01DA4343" w14:textId="77777777" w:rsidR="009F1CFF" w:rsidRPr="00A81BAA" w:rsidRDefault="009F1CFF" w:rsidP="00E42FDE">
      <w:pPr>
        <w:pStyle w:val="Prrafodelista"/>
        <w:numPr>
          <w:ilvl w:val="0"/>
          <w:numId w:val="56"/>
        </w:numPr>
        <w:spacing w:after="200" w:line="276" w:lineRule="auto"/>
        <w:contextualSpacing w:val="0"/>
        <w:rPr>
          <w:rFonts w:ascii="Verdana" w:eastAsia="Times New Roman" w:hAnsi="Verdana" w:cs="Arial"/>
          <w:b/>
          <w:lang w:eastAsia="es-MX"/>
        </w:rPr>
      </w:pPr>
      <w:r w:rsidRPr="00A81BAA">
        <w:rPr>
          <w:rFonts w:ascii="Verdana" w:eastAsia="Times New Roman" w:hAnsi="Verdana" w:cs="Arial"/>
          <w:b/>
          <w:lang w:eastAsia="es-MX"/>
        </w:rPr>
        <w:t>Indicadores de Capacidad Financiera y Organizacional</w:t>
      </w:r>
    </w:p>
    <w:p w14:paraId="2D532274" w14:textId="77777777" w:rsidR="009F1CFF" w:rsidRPr="00A81BAA" w:rsidRDefault="009F1CFF" w:rsidP="009F1CFF">
      <w:pPr>
        <w:jc w:val="both"/>
        <w:rPr>
          <w:rFonts w:ascii="Verdana" w:hAnsi="Verdana" w:cs="Arial"/>
          <w:sz w:val="22"/>
          <w:szCs w:val="22"/>
          <w:lang w:val="es-MX"/>
        </w:rPr>
      </w:pPr>
      <w:r w:rsidRPr="00A81BAA">
        <w:rPr>
          <w:rFonts w:ascii="Verdana" w:hAnsi="Verdana" w:cs="Arial"/>
          <w:sz w:val="22"/>
          <w:szCs w:val="22"/>
          <w:lang w:val="es-MX"/>
        </w:rPr>
        <w:t>Los indicadores de capacidad financiera y de capacidad organizacional propuestos son los siguientes:</w:t>
      </w:r>
    </w:p>
    <w:p w14:paraId="3F31FF9E" w14:textId="77777777" w:rsidR="00CE2C62" w:rsidRDefault="00CE2C62" w:rsidP="009F1CFF">
      <w:pPr>
        <w:jc w:val="both"/>
        <w:rPr>
          <w:rFonts w:ascii="Verdana" w:hAnsi="Verdana" w:cs="Arial"/>
          <w:sz w:val="22"/>
          <w:szCs w:val="22"/>
          <w:lang w:val="es-MX"/>
        </w:rPr>
      </w:pPr>
    </w:p>
    <w:p w14:paraId="3BB0E285" w14:textId="6D9322EC" w:rsidR="00E5317C" w:rsidRPr="00A81BAA" w:rsidRDefault="00B94425" w:rsidP="005C7E10">
      <w:pPr>
        <w:pStyle w:val="Descripcin"/>
        <w:spacing w:after="0"/>
        <w:jc w:val="center"/>
        <w:rPr>
          <w:rFonts w:ascii="Verdana" w:hAnsi="Verdana" w:cs="Arial"/>
          <w:sz w:val="22"/>
          <w:szCs w:val="22"/>
          <w:lang w:val="es-MX"/>
        </w:rPr>
      </w:pPr>
      <w:bookmarkStart w:id="52" w:name="_Toc180136828"/>
      <w:r w:rsidRPr="005C7E10">
        <w:rPr>
          <w:rFonts w:ascii="Verdana" w:hAnsi="Verdana"/>
          <w:sz w:val="22"/>
          <w:szCs w:val="22"/>
        </w:rPr>
        <w:t xml:space="preserve">Tabla </w:t>
      </w:r>
      <w:r w:rsidRPr="005C7E10">
        <w:rPr>
          <w:rFonts w:ascii="Verdana" w:hAnsi="Verdana"/>
          <w:sz w:val="22"/>
          <w:szCs w:val="22"/>
        </w:rPr>
        <w:fldChar w:fldCharType="begin"/>
      </w:r>
      <w:r w:rsidRPr="005C7E10">
        <w:rPr>
          <w:rFonts w:ascii="Verdana" w:hAnsi="Verdana"/>
          <w:sz w:val="22"/>
          <w:szCs w:val="22"/>
        </w:rPr>
        <w:instrText xml:space="preserve"> SEQ Tabla \* ARABIC </w:instrText>
      </w:r>
      <w:r w:rsidRPr="005C7E10">
        <w:rPr>
          <w:rFonts w:ascii="Verdana" w:hAnsi="Verdana"/>
          <w:sz w:val="22"/>
          <w:szCs w:val="22"/>
        </w:rPr>
        <w:fldChar w:fldCharType="separate"/>
      </w:r>
      <w:r w:rsidR="00CF739E">
        <w:rPr>
          <w:rFonts w:ascii="Verdana" w:hAnsi="Verdana"/>
          <w:noProof/>
          <w:sz w:val="22"/>
          <w:szCs w:val="22"/>
        </w:rPr>
        <w:t>12</w:t>
      </w:r>
      <w:r w:rsidRPr="005C7E10">
        <w:rPr>
          <w:rFonts w:ascii="Verdana" w:hAnsi="Verdana"/>
          <w:sz w:val="22"/>
          <w:szCs w:val="22"/>
        </w:rPr>
        <w:fldChar w:fldCharType="end"/>
      </w:r>
      <w:r w:rsidRPr="005C7E10">
        <w:rPr>
          <w:rFonts w:ascii="Verdana" w:hAnsi="Verdana"/>
          <w:sz w:val="22"/>
          <w:szCs w:val="22"/>
        </w:rPr>
        <w:t>. Indicadores por Rangos</w:t>
      </w:r>
      <w:bookmarkEnd w:id="52"/>
    </w:p>
    <w:tbl>
      <w:tblPr>
        <w:tblW w:w="8833" w:type="dxa"/>
        <w:jc w:val="center"/>
        <w:tblCellMar>
          <w:left w:w="70" w:type="dxa"/>
          <w:right w:w="70" w:type="dxa"/>
        </w:tblCellMar>
        <w:tblLook w:val="04A0" w:firstRow="1" w:lastRow="0" w:firstColumn="1" w:lastColumn="0" w:noHBand="0" w:noVBand="1"/>
      </w:tblPr>
      <w:tblGrid>
        <w:gridCol w:w="373"/>
        <w:gridCol w:w="373"/>
        <w:gridCol w:w="146"/>
        <w:gridCol w:w="1251"/>
        <w:gridCol w:w="1756"/>
        <w:gridCol w:w="1533"/>
        <w:gridCol w:w="1737"/>
        <w:gridCol w:w="1664"/>
      </w:tblGrid>
      <w:tr w:rsidR="00104108" w:rsidRPr="00E30208" w14:paraId="629C5229" w14:textId="77777777" w:rsidTr="00104108">
        <w:trPr>
          <w:trHeight w:val="20"/>
          <w:tblHeader/>
          <w:jc w:val="center"/>
        </w:trPr>
        <w:tc>
          <w:tcPr>
            <w:tcW w:w="0" w:type="auto"/>
            <w:gridSpan w:val="2"/>
            <w:shd w:val="clear" w:color="auto" w:fill="auto"/>
            <w:vAlign w:val="center"/>
            <w:hideMark/>
          </w:tcPr>
          <w:p w14:paraId="6DC4CF3F" w14:textId="77777777" w:rsidR="00104108" w:rsidRPr="00E30208" w:rsidRDefault="00104108" w:rsidP="0044671B">
            <w:pPr>
              <w:rPr>
                <w:rFonts w:ascii="Arial" w:hAnsi="Arial" w:cs="Arial"/>
                <w:sz w:val="16"/>
                <w:szCs w:val="16"/>
                <w:lang w:eastAsia="es-CO"/>
              </w:rPr>
            </w:pPr>
          </w:p>
        </w:tc>
        <w:tc>
          <w:tcPr>
            <w:tcW w:w="0" w:type="auto"/>
            <w:tcBorders>
              <w:right w:val="single" w:sz="4" w:space="0" w:color="auto"/>
            </w:tcBorders>
            <w:shd w:val="clear" w:color="auto" w:fill="auto"/>
            <w:noWrap/>
            <w:vAlign w:val="center"/>
            <w:hideMark/>
          </w:tcPr>
          <w:p w14:paraId="324F8E96"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311DDD25"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INDICE DE LIQUIDEZ</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61B9A74F"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INDICE DE ENDEUDAMIENTO</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2A547DDB"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RAZON COBERTURA INTERESES</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066D1394"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RENTABILIDAD SOBRE PATRIMONIO</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2194C027"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RENTABILIDAD SOBRE ACTIVOS</w:t>
            </w:r>
          </w:p>
        </w:tc>
      </w:tr>
      <w:tr w:rsidR="00104108" w:rsidRPr="00E30208" w14:paraId="09E2B9C2" w14:textId="77777777" w:rsidTr="00104108">
        <w:trPr>
          <w:trHeight w:val="20"/>
          <w:tblHeader/>
          <w:jc w:val="center"/>
        </w:trPr>
        <w:tc>
          <w:tcPr>
            <w:tcW w:w="0" w:type="auto"/>
            <w:tcBorders>
              <w:bottom w:val="single" w:sz="4" w:space="0" w:color="auto"/>
            </w:tcBorders>
            <w:shd w:val="clear" w:color="auto" w:fill="auto"/>
            <w:noWrap/>
            <w:vAlign w:val="bottom"/>
            <w:hideMark/>
          </w:tcPr>
          <w:p w14:paraId="2208DF5D" w14:textId="77777777" w:rsidR="00104108" w:rsidRPr="00E30208" w:rsidRDefault="00104108" w:rsidP="0044671B">
            <w:pPr>
              <w:jc w:val="center"/>
              <w:rPr>
                <w:rFonts w:ascii="Arial" w:hAnsi="Arial" w:cs="Arial"/>
                <w:b/>
                <w:bCs/>
                <w:color w:val="000000"/>
                <w:sz w:val="16"/>
                <w:szCs w:val="16"/>
                <w:lang w:eastAsia="es-CO"/>
              </w:rPr>
            </w:pPr>
          </w:p>
        </w:tc>
        <w:tc>
          <w:tcPr>
            <w:tcW w:w="0" w:type="auto"/>
            <w:tcBorders>
              <w:bottom w:val="single" w:sz="4" w:space="0" w:color="auto"/>
            </w:tcBorders>
            <w:shd w:val="clear" w:color="auto" w:fill="auto"/>
            <w:noWrap/>
            <w:vAlign w:val="bottom"/>
            <w:hideMark/>
          </w:tcPr>
          <w:p w14:paraId="496DBEE9" w14:textId="77777777" w:rsidR="00104108" w:rsidRPr="00E30208" w:rsidRDefault="00104108" w:rsidP="0044671B">
            <w:pPr>
              <w:rPr>
                <w:rFonts w:ascii="Arial" w:hAnsi="Arial" w:cs="Arial"/>
                <w:sz w:val="16"/>
                <w:szCs w:val="16"/>
                <w:lang w:eastAsia="es-CO"/>
              </w:rPr>
            </w:pPr>
          </w:p>
        </w:tc>
        <w:tc>
          <w:tcPr>
            <w:tcW w:w="0" w:type="auto"/>
            <w:tcBorders>
              <w:bottom w:val="single" w:sz="4" w:space="0" w:color="auto"/>
            </w:tcBorders>
            <w:shd w:val="clear" w:color="auto" w:fill="auto"/>
            <w:noWrap/>
            <w:vAlign w:val="bottom"/>
            <w:hideMark/>
          </w:tcPr>
          <w:p w14:paraId="1241DF77"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bottom w:val="single" w:sz="4" w:space="0" w:color="auto"/>
            </w:tcBorders>
            <w:shd w:val="clear" w:color="auto" w:fill="auto"/>
            <w:noWrap/>
            <w:vAlign w:val="bottom"/>
            <w:hideMark/>
          </w:tcPr>
          <w:p w14:paraId="0426A483"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bottom w:val="single" w:sz="4" w:space="0" w:color="auto"/>
            </w:tcBorders>
            <w:shd w:val="clear" w:color="auto" w:fill="auto"/>
            <w:noWrap/>
            <w:vAlign w:val="bottom"/>
            <w:hideMark/>
          </w:tcPr>
          <w:p w14:paraId="5981E59E"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bottom w:val="single" w:sz="4" w:space="0" w:color="auto"/>
            </w:tcBorders>
            <w:shd w:val="clear" w:color="auto" w:fill="auto"/>
            <w:noWrap/>
            <w:vAlign w:val="bottom"/>
            <w:hideMark/>
          </w:tcPr>
          <w:p w14:paraId="6752C8CB"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bottom w:val="single" w:sz="4" w:space="0" w:color="auto"/>
            </w:tcBorders>
            <w:shd w:val="clear" w:color="auto" w:fill="auto"/>
            <w:noWrap/>
            <w:vAlign w:val="bottom"/>
            <w:hideMark/>
          </w:tcPr>
          <w:p w14:paraId="6DEE1140"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bottom w:val="single" w:sz="4" w:space="0" w:color="auto"/>
            </w:tcBorders>
            <w:shd w:val="clear" w:color="auto" w:fill="auto"/>
            <w:noWrap/>
            <w:vAlign w:val="bottom"/>
            <w:hideMark/>
          </w:tcPr>
          <w:p w14:paraId="6118A79A" w14:textId="77777777" w:rsidR="00104108" w:rsidRPr="00E30208" w:rsidRDefault="00104108" w:rsidP="0044671B">
            <w:pPr>
              <w:rPr>
                <w:rFonts w:ascii="Arial" w:hAnsi="Arial" w:cs="Arial"/>
                <w:sz w:val="16"/>
                <w:szCs w:val="16"/>
                <w:lang w:eastAsia="es-CO"/>
              </w:rPr>
            </w:pPr>
          </w:p>
        </w:tc>
      </w:tr>
      <w:tr w:rsidR="00104108" w:rsidRPr="00E30208" w14:paraId="2B0269E1" w14:textId="77777777" w:rsidTr="00104108">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CEFC9" w14:textId="77777777" w:rsidR="00104108" w:rsidRPr="00E30208" w:rsidRDefault="00104108" w:rsidP="0044671B">
            <w:pPr>
              <w:jc w:val="center"/>
              <w:rPr>
                <w:rFonts w:ascii="Arial" w:hAnsi="Arial" w:cs="Arial"/>
                <w:b/>
                <w:bCs/>
                <w:color w:val="000000"/>
                <w:sz w:val="16"/>
                <w:szCs w:val="16"/>
                <w:lang w:eastAsia="es-CO"/>
              </w:rPr>
            </w:pPr>
            <w:r w:rsidRPr="00E30208">
              <w:rPr>
                <w:rFonts w:ascii="Arial" w:hAnsi="Arial" w:cs="Arial"/>
                <w:b/>
                <w:bCs/>
                <w:color w:val="000000"/>
                <w:sz w:val="16"/>
                <w:szCs w:val="16"/>
                <w:lang w:eastAsia="es-CO"/>
              </w:rPr>
              <w:t>Rangos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7E795" w14:textId="77777777" w:rsidR="00104108" w:rsidRPr="00E30208" w:rsidRDefault="00104108" w:rsidP="0044671B">
            <w:pPr>
              <w:jc w:val="center"/>
              <w:rPr>
                <w:rFonts w:ascii="Arial" w:hAnsi="Arial" w:cs="Arial"/>
                <w:b/>
                <w:bCs/>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C18BF"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E1428"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Menor o igual</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801EC"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E87D6"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F310"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Mayor o igual</w:t>
            </w:r>
          </w:p>
        </w:tc>
      </w:tr>
      <w:tr w:rsidR="00104108" w:rsidRPr="00E30208" w14:paraId="5A0785A9" w14:textId="77777777" w:rsidTr="00104108">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4B801" w14:textId="77777777" w:rsidR="00104108" w:rsidRPr="00E30208" w:rsidRDefault="00104108" w:rsidP="0044671B">
            <w:pPr>
              <w:jc w:val="center"/>
              <w:rPr>
                <w:rFonts w:ascii="Arial" w:hAnsi="Arial"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3BAFB"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990701"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E6058"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B2E589"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1CA33E"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AF5FA3"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F4A917" w14:textId="77777777" w:rsidR="00104108" w:rsidRPr="00E30208" w:rsidRDefault="00104108" w:rsidP="0044671B">
            <w:pPr>
              <w:rPr>
                <w:rFonts w:ascii="Arial" w:hAnsi="Arial" w:cs="Arial"/>
                <w:sz w:val="16"/>
                <w:szCs w:val="16"/>
                <w:lang w:eastAsia="es-CO"/>
              </w:rPr>
            </w:pPr>
          </w:p>
        </w:tc>
      </w:tr>
      <w:tr w:rsidR="00104108" w:rsidRPr="00E30208" w14:paraId="2660D8C4" w14:textId="77777777" w:rsidTr="00104108">
        <w:trPr>
          <w:trHeight w:val="20"/>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F87F9"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Rango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3044A9" w14:textId="77777777" w:rsidR="00104108" w:rsidRPr="00E30208" w:rsidRDefault="00104108" w:rsidP="0044671B">
            <w:pPr>
              <w:jc w:val="center"/>
              <w:rPr>
                <w:rFonts w:ascii="Arial" w:hAnsi="Arial"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6BBC6"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1,</w:t>
            </w:r>
            <w:r>
              <w:rPr>
                <w:rFonts w:ascii="Arial" w:hAnsi="Arial" w:cs="Arial"/>
                <w:color w:val="000000"/>
                <w:sz w:val="16"/>
                <w:szCs w:val="16"/>
                <w:lang w:eastAsia="es-CO"/>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E4D22"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1DFA8"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DF364"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F287B"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0,02</w:t>
            </w:r>
          </w:p>
        </w:tc>
      </w:tr>
      <w:tr w:rsidR="00104108" w:rsidRPr="00E30208" w14:paraId="7AFC528D" w14:textId="77777777" w:rsidTr="00104108">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8A820" w14:textId="77777777" w:rsidR="00104108" w:rsidRPr="00E30208" w:rsidRDefault="00104108" w:rsidP="0044671B">
            <w:pPr>
              <w:jc w:val="center"/>
              <w:rPr>
                <w:rFonts w:ascii="Arial" w:hAnsi="Arial"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06B410"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367499"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3E08F"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A92A9"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92687"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7C74F"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5F95E" w14:textId="77777777" w:rsidR="00104108" w:rsidRPr="00E30208" w:rsidRDefault="00104108" w:rsidP="0044671B">
            <w:pPr>
              <w:jc w:val="center"/>
              <w:rPr>
                <w:rFonts w:ascii="Arial" w:hAnsi="Arial" w:cs="Arial"/>
                <w:sz w:val="16"/>
                <w:szCs w:val="16"/>
                <w:lang w:eastAsia="es-CO"/>
              </w:rPr>
            </w:pPr>
          </w:p>
        </w:tc>
      </w:tr>
      <w:tr w:rsidR="00104108" w:rsidRPr="00E30208" w14:paraId="11ABED46" w14:textId="77777777" w:rsidTr="00104108">
        <w:trPr>
          <w:trHeight w:val="20"/>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7EF66"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Rango 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7DF6B" w14:textId="77777777" w:rsidR="00104108" w:rsidRPr="00E30208" w:rsidRDefault="00104108" w:rsidP="0044671B">
            <w:pPr>
              <w:jc w:val="center"/>
              <w:rPr>
                <w:rFonts w:ascii="Arial" w:hAnsi="Arial"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2CAA9"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1,</w:t>
            </w:r>
            <w:r>
              <w:rPr>
                <w:rFonts w:ascii="Arial" w:hAnsi="Arial" w:cs="Arial"/>
                <w:color w:val="000000"/>
                <w:sz w:val="16"/>
                <w:szCs w:val="16"/>
                <w:lang w:eastAsia="es-CO"/>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5977B"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0,7</w:t>
            </w:r>
            <w:r>
              <w:rPr>
                <w:rFonts w:ascii="Arial" w:hAnsi="Arial" w:cs="Arial"/>
                <w:color w:val="000000"/>
                <w:sz w:val="16"/>
                <w:szCs w:val="16"/>
                <w:lang w:eastAsia="es-CO"/>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0F43E"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6CEF6"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0,0</w:t>
            </w:r>
            <w:r>
              <w:rPr>
                <w:rFonts w:ascii="Arial" w:hAnsi="Arial" w:cs="Arial"/>
                <w:color w:val="000000"/>
                <w:sz w:val="16"/>
                <w:szCs w:val="16"/>
                <w:lang w:eastAsia="es-CO"/>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E5E14" w14:textId="77777777" w:rsidR="00104108" w:rsidRPr="00E30208" w:rsidRDefault="00104108" w:rsidP="0044671B">
            <w:pPr>
              <w:jc w:val="center"/>
              <w:rPr>
                <w:rFonts w:ascii="Arial" w:hAnsi="Arial" w:cs="Arial"/>
                <w:color w:val="000000"/>
                <w:sz w:val="16"/>
                <w:szCs w:val="16"/>
                <w:lang w:eastAsia="es-CO"/>
              </w:rPr>
            </w:pPr>
            <w:r w:rsidRPr="00E30208">
              <w:rPr>
                <w:rFonts w:ascii="Arial" w:hAnsi="Arial" w:cs="Arial"/>
                <w:color w:val="000000"/>
                <w:sz w:val="16"/>
                <w:szCs w:val="16"/>
                <w:lang w:eastAsia="es-CO"/>
              </w:rPr>
              <w:t>0,0</w:t>
            </w:r>
            <w:r>
              <w:rPr>
                <w:rFonts w:ascii="Arial" w:hAnsi="Arial" w:cs="Arial"/>
                <w:color w:val="000000"/>
                <w:sz w:val="16"/>
                <w:szCs w:val="16"/>
                <w:lang w:eastAsia="es-CO"/>
              </w:rPr>
              <w:t>2</w:t>
            </w:r>
          </w:p>
        </w:tc>
      </w:tr>
      <w:tr w:rsidR="00104108" w:rsidRPr="00E30208" w14:paraId="53E93DC0" w14:textId="77777777" w:rsidTr="00104108">
        <w:trPr>
          <w:trHeight w:val="20"/>
          <w:jc w:val="center"/>
        </w:trPr>
        <w:tc>
          <w:tcPr>
            <w:tcW w:w="0" w:type="auto"/>
            <w:tcBorders>
              <w:top w:val="single" w:sz="4" w:space="0" w:color="auto"/>
            </w:tcBorders>
            <w:shd w:val="clear" w:color="auto" w:fill="auto"/>
            <w:noWrap/>
            <w:vAlign w:val="bottom"/>
            <w:hideMark/>
          </w:tcPr>
          <w:p w14:paraId="0BBA5F43" w14:textId="77777777" w:rsidR="00104108" w:rsidRPr="00E30208" w:rsidRDefault="00104108" w:rsidP="0044671B">
            <w:pPr>
              <w:jc w:val="center"/>
              <w:rPr>
                <w:rFonts w:ascii="Arial" w:hAnsi="Arial" w:cs="Arial"/>
                <w:color w:val="000000"/>
                <w:sz w:val="16"/>
                <w:szCs w:val="16"/>
                <w:lang w:eastAsia="es-CO"/>
              </w:rPr>
            </w:pPr>
          </w:p>
        </w:tc>
        <w:tc>
          <w:tcPr>
            <w:tcW w:w="0" w:type="auto"/>
            <w:tcBorders>
              <w:top w:val="single" w:sz="4" w:space="0" w:color="auto"/>
            </w:tcBorders>
            <w:shd w:val="clear" w:color="auto" w:fill="auto"/>
            <w:noWrap/>
            <w:vAlign w:val="bottom"/>
            <w:hideMark/>
          </w:tcPr>
          <w:p w14:paraId="07E55619"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tcBorders>
            <w:shd w:val="clear" w:color="auto" w:fill="auto"/>
            <w:noWrap/>
            <w:vAlign w:val="bottom"/>
            <w:hideMark/>
          </w:tcPr>
          <w:p w14:paraId="0424BEE0"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tcBorders>
            <w:shd w:val="clear" w:color="auto" w:fill="auto"/>
            <w:noWrap/>
            <w:vAlign w:val="center"/>
            <w:hideMark/>
          </w:tcPr>
          <w:p w14:paraId="10BB36EC" w14:textId="77777777" w:rsidR="00104108" w:rsidRPr="00E30208" w:rsidRDefault="00104108" w:rsidP="0044671B">
            <w:pPr>
              <w:rPr>
                <w:rFonts w:ascii="Arial" w:hAnsi="Arial" w:cs="Arial"/>
                <w:sz w:val="16"/>
                <w:szCs w:val="16"/>
                <w:lang w:eastAsia="es-CO"/>
              </w:rPr>
            </w:pPr>
          </w:p>
        </w:tc>
        <w:tc>
          <w:tcPr>
            <w:tcW w:w="0" w:type="auto"/>
            <w:tcBorders>
              <w:top w:val="single" w:sz="4" w:space="0" w:color="auto"/>
            </w:tcBorders>
            <w:shd w:val="clear" w:color="auto" w:fill="auto"/>
            <w:noWrap/>
            <w:vAlign w:val="center"/>
            <w:hideMark/>
          </w:tcPr>
          <w:p w14:paraId="7936C144"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tcBorders>
            <w:shd w:val="clear" w:color="auto" w:fill="auto"/>
            <w:noWrap/>
            <w:vAlign w:val="center"/>
            <w:hideMark/>
          </w:tcPr>
          <w:p w14:paraId="44A13D1F"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tcBorders>
            <w:shd w:val="clear" w:color="auto" w:fill="auto"/>
            <w:noWrap/>
            <w:vAlign w:val="center"/>
            <w:hideMark/>
          </w:tcPr>
          <w:p w14:paraId="78B2ABFE" w14:textId="77777777" w:rsidR="00104108" w:rsidRPr="00E30208" w:rsidRDefault="00104108" w:rsidP="0044671B">
            <w:pPr>
              <w:jc w:val="center"/>
              <w:rPr>
                <w:rFonts w:ascii="Arial" w:hAnsi="Arial" w:cs="Arial"/>
                <w:sz w:val="16"/>
                <w:szCs w:val="16"/>
                <w:lang w:eastAsia="es-CO"/>
              </w:rPr>
            </w:pPr>
          </w:p>
        </w:tc>
        <w:tc>
          <w:tcPr>
            <w:tcW w:w="0" w:type="auto"/>
            <w:tcBorders>
              <w:top w:val="single" w:sz="4" w:space="0" w:color="auto"/>
            </w:tcBorders>
            <w:shd w:val="clear" w:color="auto" w:fill="auto"/>
            <w:noWrap/>
            <w:vAlign w:val="center"/>
            <w:hideMark/>
          </w:tcPr>
          <w:p w14:paraId="797D3864" w14:textId="77777777" w:rsidR="00104108" w:rsidRPr="00E30208" w:rsidRDefault="00104108" w:rsidP="0044671B">
            <w:pPr>
              <w:jc w:val="center"/>
              <w:rPr>
                <w:rFonts w:ascii="Arial" w:hAnsi="Arial" w:cs="Arial"/>
                <w:sz w:val="16"/>
                <w:szCs w:val="16"/>
                <w:lang w:eastAsia="es-CO"/>
              </w:rPr>
            </w:pPr>
          </w:p>
        </w:tc>
      </w:tr>
    </w:tbl>
    <w:p w14:paraId="4208FC53" w14:textId="77777777" w:rsidR="00104108" w:rsidRDefault="00104108" w:rsidP="00F377A0">
      <w:pPr>
        <w:pStyle w:val="Prrafodelista"/>
        <w:ind w:left="284"/>
        <w:jc w:val="center"/>
        <w:rPr>
          <w:rFonts w:ascii="Verdana" w:hAnsi="Verdana" w:cs="Arial"/>
          <w:sz w:val="16"/>
          <w:szCs w:val="16"/>
          <w:lang w:val="es-MX"/>
        </w:rPr>
      </w:pPr>
    </w:p>
    <w:p w14:paraId="6CCDC817" w14:textId="4A3FCA0B" w:rsidR="009F1CFF" w:rsidRDefault="006021B8" w:rsidP="00F377A0">
      <w:pPr>
        <w:pStyle w:val="Prrafodelista"/>
        <w:ind w:left="284"/>
        <w:jc w:val="center"/>
        <w:rPr>
          <w:rFonts w:ascii="Verdana" w:hAnsi="Verdana" w:cs="Arial"/>
          <w:sz w:val="16"/>
          <w:szCs w:val="16"/>
          <w:lang w:val="es-MX"/>
        </w:rPr>
      </w:pPr>
      <w:r>
        <w:rPr>
          <w:rFonts w:ascii="Verdana" w:hAnsi="Verdana" w:cs="Arial"/>
          <w:sz w:val="16"/>
          <w:szCs w:val="16"/>
          <w:lang w:val="es-MX"/>
        </w:rPr>
        <w:t xml:space="preserve">Fuente: </w:t>
      </w:r>
      <w:r w:rsidR="00621A75" w:rsidRPr="005C7E10">
        <w:rPr>
          <w:rFonts w:ascii="Verdana" w:hAnsi="Verdana" w:cs="Arial"/>
          <w:sz w:val="16"/>
          <w:szCs w:val="16"/>
          <w:lang w:val="es-MX"/>
        </w:rPr>
        <w:t>Elaboración propia</w:t>
      </w:r>
    </w:p>
    <w:p w14:paraId="13913D02" w14:textId="77777777" w:rsidR="00621A75" w:rsidRDefault="00621A75" w:rsidP="00621A75">
      <w:pPr>
        <w:pStyle w:val="Prrafodelista"/>
        <w:ind w:left="1068"/>
        <w:jc w:val="center"/>
        <w:rPr>
          <w:rFonts w:ascii="Verdana" w:hAnsi="Verdana" w:cs="Arial"/>
          <w:sz w:val="16"/>
          <w:szCs w:val="16"/>
          <w:lang w:val="es-MX"/>
        </w:rPr>
      </w:pPr>
    </w:p>
    <w:p w14:paraId="3D3D4DD5" w14:textId="77777777" w:rsidR="00B94425" w:rsidRDefault="00B94425" w:rsidP="00A73A42">
      <w:pPr>
        <w:pStyle w:val="Prrafodelista"/>
        <w:ind w:left="1068"/>
        <w:jc w:val="center"/>
        <w:rPr>
          <w:rFonts w:ascii="Verdana" w:hAnsi="Verdana" w:cs="Arial"/>
          <w:sz w:val="16"/>
          <w:szCs w:val="16"/>
          <w:lang w:val="es-MX"/>
        </w:rPr>
      </w:pPr>
    </w:p>
    <w:p w14:paraId="12567AC5" w14:textId="77777777" w:rsidR="00A73A42" w:rsidRPr="005C7E10" w:rsidRDefault="00A73A42" w:rsidP="005C7E10">
      <w:pPr>
        <w:pStyle w:val="Prrafodelista"/>
        <w:ind w:left="1068"/>
        <w:jc w:val="center"/>
        <w:rPr>
          <w:rFonts w:ascii="Verdana" w:hAnsi="Verdana" w:cs="Arial"/>
          <w:sz w:val="16"/>
          <w:szCs w:val="16"/>
          <w:lang w:val="es-MX"/>
        </w:rPr>
      </w:pPr>
    </w:p>
    <w:p w14:paraId="2D821C35" w14:textId="77777777" w:rsidR="009F1CFF" w:rsidRPr="00A81BAA" w:rsidRDefault="009F1CFF" w:rsidP="00E42FDE">
      <w:pPr>
        <w:pStyle w:val="Prrafodelista"/>
        <w:numPr>
          <w:ilvl w:val="0"/>
          <w:numId w:val="56"/>
        </w:numPr>
        <w:spacing w:after="0" w:line="276" w:lineRule="auto"/>
        <w:contextualSpacing w:val="0"/>
        <w:rPr>
          <w:rFonts w:ascii="Verdana" w:eastAsia="Times New Roman" w:hAnsi="Verdana" w:cs="Arial"/>
          <w:b/>
          <w:lang w:eastAsia="es-MX"/>
        </w:rPr>
      </w:pPr>
      <w:r w:rsidRPr="00A81BAA">
        <w:rPr>
          <w:rFonts w:ascii="Verdana" w:eastAsia="Times New Roman" w:hAnsi="Verdana" w:cs="Arial"/>
          <w:b/>
          <w:lang w:eastAsia="es-MX"/>
        </w:rPr>
        <w:t>Indicadores adicionales de capacidad financiera</w:t>
      </w:r>
    </w:p>
    <w:p w14:paraId="7380EED9" w14:textId="77777777" w:rsidR="009F1CFF" w:rsidRPr="00A81BAA" w:rsidRDefault="009F1CFF" w:rsidP="009F1CFF">
      <w:pPr>
        <w:jc w:val="both"/>
        <w:rPr>
          <w:rFonts w:ascii="Verdana" w:hAnsi="Verdana" w:cs="Arial"/>
          <w:lang w:val="es-MX"/>
        </w:rPr>
      </w:pPr>
    </w:p>
    <w:p w14:paraId="4698B0EB" w14:textId="77777777" w:rsidR="00427FE9" w:rsidRDefault="00427FE9" w:rsidP="00427FE9">
      <w:pPr>
        <w:jc w:val="both"/>
        <w:rPr>
          <w:rFonts w:ascii="Verdana" w:hAnsi="Verdana" w:cs="Arial"/>
          <w:sz w:val="22"/>
          <w:szCs w:val="22"/>
          <w:lang w:val="es-MX"/>
        </w:rPr>
      </w:pPr>
      <w:r w:rsidRPr="00427FE9">
        <w:rPr>
          <w:rFonts w:ascii="Verdana" w:hAnsi="Verdana" w:cs="Arial"/>
          <w:sz w:val="22"/>
          <w:szCs w:val="22"/>
          <w:lang w:val="es-MX"/>
        </w:rPr>
        <w:t xml:space="preserve">Con el objetivo de fortalecer los procesos de selección de infraestructura de obra social en la nueva versión del documento tipo se considera relevante preservar como un requisito habilitante de capacidad financiera adicional el indicador de “Capital de trabajo” e incluir en el documento tipo el indicador de “Patrimonio”. </w:t>
      </w:r>
    </w:p>
    <w:p w14:paraId="3404D7CC" w14:textId="77777777" w:rsidR="00427FE9" w:rsidRPr="00427FE9" w:rsidRDefault="00427FE9" w:rsidP="00427FE9">
      <w:pPr>
        <w:jc w:val="both"/>
        <w:rPr>
          <w:rFonts w:ascii="Verdana" w:hAnsi="Verdana" w:cs="Arial"/>
          <w:sz w:val="22"/>
          <w:szCs w:val="22"/>
          <w:lang w:val="es-MX"/>
        </w:rPr>
      </w:pPr>
    </w:p>
    <w:p w14:paraId="6AC80062" w14:textId="4112A89F" w:rsidR="00427FE9" w:rsidRPr="00427FE9" w:rsidRDefault="5F4EFD66" w:rsidP="00427FE9">
      <w:pPr>
        <w:jc w:val="both"/>
        <w:rPr>
          <w:rFonts w:ascii="Verdana" w:hAnsi="Verdana" w:cs="Arial"/>
          <w:sz w:val="22"/>
          <w:szCs w:val="22"/>
          <w:lang w:val="es-MX"/>
        </w:rPr>
      </w:pPr>
      <w:r w:rsidRPr="27D648A7">
        <w:rPr>
          <w:rFonts w:ascii="Verdana" w:hAnsi="Verdana" w:cs="Arial"/>
          <w:sz w:val="22"/>
          <w:szCs w:val="22"/>
          <w:lang w:val="es-MX"/>
        </w:rPr>
        <w:t xml:space="preserve">Lo anterior, tomando en consideración lo indicado en el numeral 4.2 Indicadores Adicionales de Capacidad Financiera del Manual para la definición de requisitos habilitantes expedido por la Agencia Nacional de Contratación Pública – Colombia </w:t>
      </w:r>
      <w:r w:rsidRPr="27D648A7">
        <w:rPr>
          <w:rFonts w:ascii="Verdana" w:hAnsi="Verdana" w:cs="Arial"/>
          <w:sz w:val="22"/>
          <w:szCs w:val="22"/>
          <w:lang w:val="es-MX"/>
        </w:rPr>
        <w:lastRenderedPageBreak/>
        <w:t xml:space="preserve">Compra Eficiente (versión 3): “Las Entidades Estatales también pueden optar por utilizar indicadores distintos de los señalados en el artículo 2.2.1.1.1.5.3 del Decreto 1082 de 2015 para evaluar la capacidad financiera, cuando en virtud del análisis correspondiente se determine necesario. Dicho análisis a su vez puede estudiar la necesidad de aplicar los indicadores señalados en la norma en conjunto con otros indicadores complementarios, relevantes en relación con las características del objeto a contratar, la naturaleza, valor, complejidad y Riesgo del Proceso de </w:t>
      </w:r>
      <w:r w:rsidR="6A78959D" w:rsidRPr="27D648A7">
        <w:rPr>
          <w:rFonts w:ascii="Verdana" w:hAnsi="Verdana" w:cs="Arial"/>
          <w:sz w:val="22"/>
          <w:szCs w:val="22"/>
          <w:lang w:val="es-MX"/>
        </w:rPr>
        <w:t>Contratación</w:t>
      </w:r>
      <w:proofErr w:type="gramStart"/>
      <w:r w:rsidR="6A78959D" w:rsidRPr="27D648A7">
        <w:rPr>
          <w:rFonts w:ascii="Verdana" w:hAnsi="Verdana" w:cs="Arial"/>
          <w:sz w:val="22"/>
          <w:szCs w:val="22"/>
          <w:lang w:val="es-MX"/>
        </w:rPr>
        <w:t>” .</w:t>
      </w:r>
      <w:proofErr w:type="gramEnd"/>
    </w:p>
    <w:p w14:paraId="15C3A7B7" w14:textId="77777777" w:rsidR="00427FE9" w:rsidRPr="00427FE9" w:rsidRDefault="00427FE9" w:rsidP="00427FE9">
      <w:pPr>
        <w:jc w:val="both"/>
        <w:rPr>
          <w:rFonts w:ascii="Verdana" w:hAnsi="Verdana" w:cs="Arial"/>
          <w:sz w:val="22"/>
          <w:szCs w:val="22"/>
          <w:lang w:val="es-MX"/>
        </w:rPr>
      </w:pPr>
    </w:p>
    <w:p w14:paraId="6F959683" w14:textId="0E05D18E" w:rsidR="009F1CFF" w:rsidRPr="00A81BAA" w:rsidRDefault="00427FE9" w:rsidP="00427FE9">
      <w:pPr>
        <w:jc w:val="both"/>
        <w:rPr>
          <w:rFonts w:ascii="Verdana" w:hAnsi="Verdana" w:cs="Arial"/>
          <w:sz w:val="22"/>
          <w:szCs w:val="22"/>
          <w:lang w:val="es-MX"/>
        </w:rPr>
      </w:pPr>
      <w:r w:rsidRPr="00427FE9">
        <w:rPr>
          <w:rFonts w:ascii="Verdana" w:hAnsi="Verdana" w:cs="Arial"/>
          <w:sz w:val="22"/>
          <w:szCs w:val="22"/>
          <w:lang w:val="es-MX"/>
        </w:rPr>
        <w:t>Por lo anterior, es importante reseñar que la inclusión del indicador y el requisito a solicitar dependerán de factores como el presupuesto y el plazo de ejecución del proceso de selección, conforme con las condiciones definidas a continuación:</w:t>
      </w:r>
    </w:p>
    <w:p w14:paraId="58BC1899" w14:textId="77777777" w:rsidR="009F1CFF" w:rsidRPr="00A81BAA" w:rsidRDefault="009F1CFF" w:rsidP="009F1CFF">
      <w:pPr>
        <w:jc w:val="both"/>
        <w:rPr>
          <w:rFonts w:ascii="Verdana" w:hAnsi="Verdana" w:cs="Arial"/>
          <w:lang w:val="es-MX"/>
        </w:rPr>
      </w:pPr>
    </w:p>
    <w:p w14:paraId="43088CE9" w14:textId="77777777" w:rsidR="009F1CFF" w:rsidRPr="00A81BAA" w:rsidRDefault="009F1CFF" w:rsidP="0063278A">
      <w:pPr>
        <w:pStyle w:val="Prrafodelista"/>
        <w:spacing w:after="0" w:line="276" w:lineRule="auto"/>
        <w:contextualSpacing w:val="0"/>
        <w:rPr>
          <w:rFonts w:ascii="Verdana" w:eastAsia="Times New Roman" w:hAnsi="Verdana" w:cs="Arial"/>
          <w:b/>
          <w:lang w:eastAsia="es-MX"/>
        </w:rPr>
      </w:pPr>
      <w:r w:rsidRPr="00A81BAA">
        <w:rPr>
          <w:rFonts w:ascii="Verdana" w:eastAsia="Times New Roman" w:hAnsi="Verdana" w:cs="Arial"/>
          <w:b/>
          <w:lang w:eastAsia="es-MX"/>
        </w:rPr>
        <w:t>Capital de trabajo</w:t>
      </w:r>
    </w:p>
    <w:p w14:paraId="3A128CA1" w14:textId="77777777" w:rsidR="009F1CFF" w:rsidRPr="00A81BAA" w:rsidRDefault="009F1CFF" w:rsidP="009F1CFF">
      <w:pPr>
        <w:ind w:left="708"/>
        <w:jc w:val="both"/>
        <w:rPr>
          <w:rFonts w:ascii="Verdana" w:hAnsi="Verdana" w:cs="Arial"/>
          <w:b/>
          <w:bCs/>
          <w:sz w:val="22"/>
          <w:szCs w:val="22"/>
          <w:u w:val="single"/>
          <w:lang w:val="es-MX"/>
        </w:rPr>
      </w:pPr>
    </w:p>
    <w:p w14:paraId="3E013222" w14:textId="77777777" w:rsidR="00126421" w:rsidRPr="00126421" w:rsidRDefault="4D7D125C" w:rsidP="00126421">
      <w:pPr>
        <w:jc w:val="both"/>
        <w:rPr>
          <w:rFonts w:ascii="Verdana" w:hAnsi="Verdana" w:cs="Arial"/>
          <w:sz w:val="22"/>
          <w:szCs w:val="22"/>
          <w:lang w:val="es-MX"/>
        </w:rPr>
      </w:pPr>
      <w:r w:rsidRPr="00126421">
        <w:rPr>
          <w:rFonts w:ascii="Verdana" w:hAnsi="Verdana" w:cs="Arial"/>
          <w:sz w:val="22"/>
          <w:szCs w:val="22"/>
          <w:lang w:val="es-MX"/>
        </w:rPr>
        <w:t>Teniendo en cuenta que los servicios de obra para infraestructura social requieren un alto nivel de apalancamiento para el desarrollo de sus proyectos</w:t>
      </w:r>
      <w:r w:rsidR="00126421" w:rsidRPr="00126421">
        <w:rPr>
          <w:sz w:val="22"/>
          <w:szCs w:val="22"/>
        </w:rPr>
        <w:footnoteReference w:id="41"/>
      </w:r>
      <w:r w:rsidRPr="00126421">
        <w:rPr>
          <w:rFonts w:ascii="Verdana" w:hAnsi="Verdana" w:cs="Arial"/>
          <w:sz w:val="22"/>
          <w:szCs w:val="22"/>
          <w:lang w:val="es-MX"/>
        </w:rPr>
        <w:t>, el capital de trabajo requerido se solicitará para todos los procesos de selección.</w:t>
      </w:r>
    </w:p>
    <w:p w14:paraId="4EED1406" w14:textId="77777777" w:rsidR="00126421" w:rsidRPr="00126421" w:rsidRDefault="00126421" w:rsidP="00126421">
      <w:pPr>
        <w:jc w:val="both"/>
        <w:rPr>
          <w:rFonts w:ascii="Verdana" w:hAnsi="Verdana" w:cs="Arial"/>
          <w:sz w:val="22"/>
          <w:szCs w:val="22"/>
          <w:lang w:val="es-MX"/>
        </w:rPr>
      </w:pPr>
    </w:p>
    <w:p w14:paraId="78260391" w14:textId="77777777" w:rsidR="00126421" w:rsidRPr="00126421" w:rsidRDefault="00126421" w:rsidP="00126421">
      <w:pPr>
        <w:jc w:val="both"/>
        <w:rPr>
          <w:rFonts w:ascii="Verdana" w:hAnsi="Verdana" w:cs="Arial"/>
          <w:sz w:val="22"/>
          <w:szCs w:val="22"/>
          <w:lang w:val="es-MX"/>
        </w:rPr>
      </w:pPr>
      <w:r w:rsidRPr="00126421">
        <w:rPr>
          <w:rFonts w:ascii="Verdana" w:hAnsi="Verdana" w:cs="Arial"/>
          <w:sz w:val="22"/>
          <w:szCs w:val="22"/>
          <w:lang w:val="es-MX"/>
        </w:rPr>
        <w:t>Es importante precisar que con el objetivo de atender las observaciones remitidas por las diferentes Entidades especializadas del sector (relacionados con problemas de apalancamiento de las empresas al momento de ejecutar los procesos), así como las observaciones planteadas por la CCI y la SCI en el marco del proceso de actualización de los documentos tipo de infraestructura de transporte (en el sentido de revisar la forma de hacer este requisito proporcional al proceso y considerar el anticipo o pago anticipado como esquemas de financiación del contrato de obra), se solicitará este requisito considerando una cantidad de meses de apalancamiento dependiendo el plazo estimado de ejecución del proyecto (con el objetivo de solicitar el requisito de forma proporcional al presupuesto oficial y el plazo estimado de ejecución de cada proceso), pero considerando descontar dentro del cálculo del capital de trabajo demandado, los recursos que por concepto de anticipo o pago anticipado, la Entidad contratante contemple entregar en el marco del proceso de selección, si así lo determina.</w:t>
      </w:r>
    </w:p>
    <w:p w14:paraId="6563C643" w14:textId="77777777" w:rsidR="00126421" w:rsidRPr="00126421" w:rsidRDefault="00126421" w:rsidP="00126421">
      <w:pPr>
        <w:jc w:val="both"/>
        <w:rPr>
          <w:rFonts w:ascii="Verdana" w:hAnsi="Verdana" w:cs="Arial"/>
          <w:sz w:val="22"/>
          <w:szCs w:val="22"/>
          <w:lang w:val="es-MX"/>
        </w:rPr>
      </w:pPr>
    </w:p>
    <w:p w14:paraId="3FB9EA75" w14:textId="77777777" w:rsidR="00126421" w:rsidRDefault="00126421" w:rsidP="00126421">
      <w:pPr>
        <w:jc w:val="both"/>
        <w:rPr>
          <w:rFonts w:ascii="Verdana" w:hAnsi="Verdana" w:cs="Arial"/>
          <w:sz w:val="22"/>
          <w:szCs w:val="22"/>
          <w:lang w:val="es-MX"/>
        </w:rPr>
      </w:pPr>
      <w:r w:rsidRPr="00126421">
        <w:rPr>
          <w:rFonts w:ascii="Verdana" w:hAnsi="Verdana" w:cs="Arial"/>
          <w:sz w:val="22"/>
          <w:szCs w:val="22"/>
          <w:lang w:val="es-MX"/>
        </w:rPr>
        <w:t>La determinación del capital de trabajo demandado (requerido), que es una medición de los recursos que se requieren para apalancar las necesidades contractuales equivalentes a una cantidad (n) de meses, se hará de acuerdo con la siguiente tabla, conforme con el plazo estimado de ejecución del proceso de selección:</w:t>
      </w:r>
    </w:p>
    <w:p w14:paraId="59BA8423" w14:textId="77777777" w:rsidR="00C45AFE" w:rsidRDefault="00C45AFE" w:rsidP="00126421">
      <w:pPr>
        <w:jc w:val="both"/>
        <w:rPr>
          <w:rFonts w:ascii="Verdana" w:hAnsi="Verdana" w:cs="Arial"/>
          <w:sz w:val="22"/>
          <w:szCs w:val="22"/>
          <w:lang w:val="es-MX"/>
        </w:rPr>
      </w:pPr>
    </w:p>
    <w:p w14:paraId="44B45A8B" w14:textId="2EA8B69E" w:rsidR="00C45AFE" w:rsidRPr="006021B8" w:rsidRDefault="00C45AFE" w:rsidP="006021B8">
      <w:pPr>
        <w:pStyle w:val="Descripcin"/>
        <w:jc w:val="center"/>
        <w:rPr>
          <w:rFonts w:ascii="Verdana" w:hAnsi="Verdana" w:cs="Arial"/>
          <w:sz w:val="24"/>
          <w:szCs w:val="24"/>
          <w:lang w:val="es-MX"/>
        </w:rPr>
      </w:pPr>
      <w:bookmarkStart w:id="53" w:name="_Toc180136829"/>
      <w:r w:rsidRPr="006021B8">
        <w:rPr>
          <w:rFonts w:ascii="Verdana" w:hAnsi="Verdana"/>
          <w:sz w:val="22"/>
          <w:szCs w:val="22"/>
        </w:rPr>
        <w:lastRenderedPageBreak/>
        <w:t xml:space="preserve">Tabla </w:t>
      </w:r>
      <w:r w:rsidRPr="006021B8">
        <w:rPr>
          <w:rFonts w:ascii="Verdana" w:hAnsi="Verdana"/>
          <w:sz w:val="22"/>
          <w:szCs w:val="22"/>
        </w:rPr>
        <w:fldChar w:fldCharType="begin"/>
      </w:r>
      <w:r w:rsidRPr="006021B8">
        <w:rPr>
          <w:rFonts w:ascii="Verdana" w:hAnsi="Verdana"/>
          <w:sz w:val="22"/>
          <w:szCs w:val="22"/>
        </w:rPr>
        <w:instrText xml:space="preserve"> SEQ Tabla \* ARABIC </w:instrText>
      </w:r>
      <w:r w:rsidRPr="006021B8">
        <w:rPr>
          <w:rFonts w:ascii="Verdana" w:hAnsi="Verdana"/>
          <w:sz w:val="22"/>
          <w:szCs w:val="22"/>
        </w:rPr>
        <w:fldChar w:fldCharType="separate"/>
      </w:r>
      <w:r w:rsidR="00CF739E">
        <w:rPr>
          <w:rFonts w:ascii="Verdana" w:hAnsi="Verdana"/>
          <w:noProof/>
          <w:sz w:val="22"/>
          <w:szCs w:val="22"/>
        </w:rPr>
        <w:t>13</w:t>
      </w:r>
      <w:r w:rsidRPr="006021B8">
        <w:rPr>
          <w:rFonts w:ascii="Verdana" w:hAnsi="Verdana"/>
          <w:sz w:val="22"/>
          <w:szCs w:val="22"/>
        </w:rPr>
        <w:fldChar w:fldCharType="end"/>
      </w:r>
      <w:r w:rsidRPr="006021B8">
        <w:rPr>
          <w:rFonts w:ascii="Verdana" w:hAnsi="Verdana"/>
          <w:sz w:val="22"/>
          <w:szCs w:val="22"/>
        </w:rPr>
        <w:t>. Apalancamiento Capital de trabajo</w:t>
      </w:r>
      <w:bookmarkEnd w:id="53"/>
    </w:p>
    <w:p w14:paraId="176E0034" w14:textId="77777777" w:rsidR="00126421" w:rsidRPr="00126421" w:rsidRDefault="00126421" w:rsidP="00126421">
      <w:pPr>
        <w:jc w:val="both"/>
        <w:rPr>
          <w:rFonts w:ascii="Verdana" w:hAnsi="Verdana" w:cs="Arial"/>
          <w:sz w:val="22"/>
          <w:szCs w:val="22"/>
          <w:lang w:val="es-MX"/>
        </w:rPr>
      </w:pPr>
    </w:p>
    <w:tbl>
      <w:tblPr>
        <w:tblW w:w="0" w:type="auto"/>
        <w:jc w:val="center"/>
        <w:tblCellMar>
          <w:left w:w="70" w:type="dxa"/>
          <w:right w:w="70" w:type="dxa"/>
        </w:tblCellMar>
        <w:tblLook w:val="04A0" w:firstRow="1" w:lastRow="0" w:firstColumn="1" w:lastColumn="0" w:noHBand="0" w:noVBand="1"/>
      </w:tblPr>
      <w:tblGrid>
        <w:gridCol w:w="1665"/>
        <w:gridCol w:w="1665"/>
        <w:gridCol w:w="148"/>
        <w:gridCol w:w="148"/>
        <w:gridCol w:w="1633"/>
      </w:tblGrid>
      <w:tr w:rsidR="00126421" w:rsidRPr="00126421" w14:paraId="7D6DFF46" w14:textId="77777777" w:rsidTr="006021B8">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64567B"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Plazo estimado de ejecución</w:t>
            </w:r>
          </w:p>
          <w:p w14:paraId="56568D91"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 xml:space="preserve"> del proceso de selección</w:t>
            </w:r>
          </w:p>
        </w:tc>
        <w:tc>
          <w:tcPr>
            <w:tcW w:w="1928" w:type="dxa"/>
            <w:gridSpan w:val="3"/>
            <w:vMerge w:val="restart"/>
            <w:tcBorders>
              <w:top w:val="single" w:sz="4" w:space="0" w:color="auto"/>
              <w:left w:val="nil"/>
              <w:right w:val="single" w:sz="4" w:space="0" w:color="auto"/>
            </w:tcBorders>
            <w:shd w:val="clear" w:color="auto" w:fill="D9D9D9" w:themeFill="background1" w:themeFillShade="D9"/>
            <w:noWrap/>
            <w:vAlign w:val="center"/>
          </w:tcPr>
          <w:p w14:paraId="5181C832"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 xml:space="preserve">Meses de </w:t>
            </w:r>
          </w:p>
          <w:p w14:paraId="7AE9FBCE"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apalancamiento</w:t>
            </w:r>
          </w:p>
        </w:tc>
      </w:tr>
      <w:tr w:rsidR="00126421" w:rsidRPr="00126421" w14:paraId="7DEE562D" w14:textId="77777777" w:rsidTr="006021B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E720EE"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&gt;=</w:t>
            </w:r>
          </w:p>
          <w:p w14:paraId="60E73814"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(meses)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15F4D94"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 xml:space="preserve"> &lt;</w:t>
            </w:r>
          </w:p>
          <w:p w14:paraId="602FF956" w14:textId="77777777" w:rsidR="00126421" w:rsidRPr="00126421" w:rsidRDefault="00126421" w:rsidP="0044671B">
            <w:pPr>
              <w:jc w:val="center"/>
              <w:rPr>
                <w:rFonts w:ascii="Verdana" w:hAnsi="Verdana" w:cs="Arial"/>
                <w:b/>
                <w:bCs/>
                <w:color w:val="000000"/>
                <w:sz w:val="20"/>
                <w:szCs w:val="20"/>
                <w:lang w:eastAsia="es-CO"/>
              </w:rPr>
            </w:pPr>
            <w:r w:rsidRPr="00126421">
              <w:rPr>
                <w:rFonts w:ascii="Verdana" w:hAnsi="Verdana" w:cs="Arial"/>
                <w:b/>
                <w:bCs/>
                <w:color w:val="000000"/>
                <w:sz w:val="20"/>
                <w:szCs w:val="20"/>
                <w:lang w:eastAsia="es-CO"/>
              </w:rPr>
              <w:t>(meses)</w:t>
            </w:r>
          </w:p>
        </w:tc>
        <w:tc>
          <w:tcPr>
            <w:tcW w:w="1928" w:type="dxa"/>
            <w:gridSpan w:val="3"/>
            <w:vMerge/>
            <w:tcBorders>
              <w:left w:val="nil"/>
              <w:bottom w:val="single" w:sz="4" w:space="0" w:color="auto"/>
              <w:right w:val="single" w:sz="4" w:space="0" w:color="auto"/>
            </w:tcBorders>
            <w:shd w:val="clear" w:color="auto" w:fill="D9D9D9" w:themeFill="background1" w:themeFillShade="D9"/>
            <w:noWrap/>
            <w:vAlign w:val="center"/>
            <w:hideMark/>
          </w:tcPr>
          <w:p w14:paraId="2B7D3887" w14:textId="77777777" w:rsidR="00126421" w:rsidRPr="00126421" w:rsidRDefault="00126421" w:rsidP="0044671B">
            <w:pPr>
              <w:jc w:val="center"/>
              <w:rPr>
                <w:rFonts w:ascii="Verdana" w:hAnsi="Verdana" w:cs="Arial"/>
                <w:b/>
                <w:bCs/>
                <w:color w:val="000000"/>
                <w:sz w:val="20"/>
                <w:szCs w:val="20"/>
                <w:lang w:eastAsia="es-CO"/>
              </w:rPr>
            </w:pPr>
          </w:p>
        </w:tc>
      </w:tr>
      <w:tr w:rsidR="00126421" w:rsidRPr="00126421" w14:paraId="331192C2" w14:textId="77777777" w:rsidTr="006021B8">
        <w:trPr>
          <w:trHeight w:val="20"/>
          <w:jc w:val="center"/>
        </w:trPr>
        <w:tc>
          <w:tcPr>
            <w:tcW w:w="0" w:type="auto"/>
            <w:tcBorders>
              <w:top w:val="nil"/>
              <w:left w:val="nil"/>
              <w:bottom w:val="single" w:sz="4" w:space="0" w:color="auto"/>
              <w:right w:val="nil"/>
            </w:tcBorders>
            <w:shd w:val="clear" w:color="auto" w:fill="auto"/>
            <w:noWrap/>
            <w:vAlign w:val="bottom"/>
            <w:hideMark/>
          </w:tcPr>
          <w:p w14:paraId="3B6CF2F6" w14:textId="77777777" w:rsidR="00126421" w:rsidRPr="00126421" w:rsidRDefault="00126421" w:rsidP="0044671B">
            <w:pPr>
              <w:jc w:val="center"/>
              <w:rPr>
                <w:rFonts w:ascii="Verdana" w:hAnsi="Verdana" w:cs="Arial"/>
                <w:b/>
                <w:bCs/>
                <w:color w:val="000000"/>
                <w:sz w:val="20"/>
                <w:szCs w:val="20"/>
                <w:lang w:eastAsia="es-CO"/>
              </w:rPr>
            </w:pPr>
          </w:p>
        </w:tc>
        <w:tc>
          <w:tcPr>
            <w:tcW w:w="0" w:type="auto"/>
            <w:tcBorders>
              <w:top w:val="nil"/>
              <w:left w:val="nil"/>
              <w:bottom w:val="single" w:sz="4" w:space="0" w:color="auto"/>
              <w:right w:val="nil"/>
            </w:tcBorders>
            <w:shd w:val="clear" w:color="auto" w:fill="auto"/>
            <w:noWrap/>
            <w:vAlign w:val="bottom"/>
            <w:hideMark/>
          </w:tcPr>
          <w:p w14:paraId="5DB18F86" w14:textId="77777777" w:rsidR="00126421" w:rsidRPr="00126421" w:rsidRDefault="00126421" w:rsidP="0044671B">
            <w:pPr>
              <w:jc w:val="center"/>
              <w:rPr>
                <w:rFonts w:ascii="Verdana" w:hAnsi="Verdana" w:cs="Arial"/>
                <w:sz w:val="20"/>
                <w:szCs w:val="20"/>
                <w:lang w:eastAsia="es-CO"/>
              </w:rPr>
            </w:pPr>
          </w:p>
        </w:tc>
        <w:tc>
          <w:tcPr>
            <w:tcW w:w="0" w:type="auto"/>
            <w:tcBorders>
              <w:top w:val="nil"/>
              <w:left w:val="nil"/>
              <w:bottom w:val="nil"/>
              <w:right w:val="nil"/>
            </w:tcBorders>
            <w:shd w:val="clear" w:color="auto" w:fill="auto"/>
            <w:noWrap/>
            <w:vAlign w:val="bottom"/>
            <w:hideMark/>
          </w:tcPr>
          <w:p w14:paraId="7FDBDE71" w14:textId="77777777" w:rsidR="00126421" w:rsidRPr="00126421" w:rsidRDefault="00126421" w:rsidP="0044671B">
            <w:pPr>
              <w:jc w:val="center"/>
              <w:rPr>
                <w:rFonts w:ascii="Verdana" w:hAnsi="Verdana" w:cs="Arial"/>
                <w:sz w:val="20"/>
                <w:szCs w:val="20"/>
                <w:lang w:eastAsia="es-CO"/>
              </w:rPr>
            </w:pPr>
          </w:p>
        </w:tc>
        <w:tc>
          <w:tcPr>
            <w:tcW w:w="0" w:type="auto"/>
            <w:tcBorders>
              <w:top w:val="nil"/>
              <w:left w:val="nil"/>
              <w:bottom w:val="nil"/>
              <w:right w:val="nil"/>
            </w:tcBorders>
            <w:shd w:val="clear" w:color="auto" w:fill="auto"/>
            <w:noWrap/>
            <w:vAlign w:val="bottom"/>
            <w:hideMark/>
          </w:tcPr>
          <w:p w14:paraId="30F1A24B" w14:textId="77777777" w:rsidR="00126421" w:rsidRPr="00126421" w:rsidRDefault="00126421" w:rsidP="0044671B">
            <w:pPr>
              <w:jc w:val="center"/>
              <w:rPr>
                <w:rFonts w:ascii="Verdana" w:hAnsi="Verdana" w:cs="Arial"/>
                <w:sz w:val="20"/>
                <w:szCs w:val="20"/>
                <w:lang w:eastAsia="es-CO"/>
              </w:rPr>
            </w:pPr>
          </w:p>
        </w:tc>
        <w:tc>
          <w:tcPr>
            <w:tcW w:w="1616" w:type="dxa"/>
            <w:tcBorders>
              <w:top w:val="nil"/>
              <w:left w:val="nil"/>
              <w:bottom w:val="nil"/>
              <w:right w:val="nil"/>
            </w:tcBorders>
            <w:shd w:val="clear" w:color="auto" w:fill="auto"/>
            <w:noWrap/>
            <w:vAlign w:val="bottom"/>
            <w:hideMark/>
          </w:tcPr>
          <w:p w14:paraId="40EBD9DC" w14:textId="77777777" w:rsidR="00126421" w:rsidRPr="00126421" w:rsidRDefault="00126421" w:rsidP="0044671B">
            <w:pPr>
              <w:rPr>
                <w:rFonts w:ascii="Verdana" w:hAnsi="Verdana" w:cs="Arial"/>
                <w:sz w:val="20"/>
                <w:szCs w:val="20"/>
                <w:lang w:eastAsia="es-CO"/>
              </w:rPr>
            </w:pPr>
          </w:p>
        </w:tc>
      </w:tr>
      <w:tr w:rsidR="00126421" w:rsidRPr="00126421" w14:paraId="03F54961" w14:textId="77777777" w:rsidTr="006021B8">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37DB0B"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12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DDB022C"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18</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45EF2F45"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4</w:t>
            </w:r>
          </w:p>
        </w:tc>
      </w:tr>
      <w:tr w:rsidR="00126421" w:rsidRPr="00126421" w14:paraId="1EC640C9"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40CC382"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18</w:t>
            </w:r>
          </w:p>
        </w:tc>
        <w:tc>
          <w:tcPr>
            <w:tcW w:w="0" w:type="auto"/>
            <w:tcBorders>
              <w:top w:val="nil"/>
              <w:left w:val="nil"/>
              <w:bottom w:val="single" w:sz="4" w:space="0" w:color="auto"/>
              <w:right w:val="single" w:sz="4" w:space="0" w:color="auto"/>
            </w:tcBorders>
            <w:shd w:val="clear" w:color="auto" w:fill="auto"/>
            <w:noWrap/>
            <w:vAlign w:val="center"/>
          </w:tcPr>
          <w:p w14:paraId="28B5580D"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24</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4FFFAE15"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6</w:t>
            </w:r>
          </w:p>
        </w:tc>
      </w:tr>
      <w:tr w:rsidR="00126421" w:rsidRPr="00126421" w14:paraId="13884663"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6B01ABD"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24</w:t>
            </w:r>
          </w:p>
        </w:tc>
        <w:tc>
          <w:tcPr>
            <w:tcW w:w="0" w:type="auto"/>
            <w:tcBorders>
              <w:top w:val="nil"/>
              <w:left w:val="nil"/>
              <w:bottom w:val="single" w:sz="4" w:space="0" w:color="auto"/>
              <w:right w:val="single" w:sz="4" w:space="0" w:color="auto"/>
            </w:tcBorders>
            <w:shd w:val="clear" w:color="auto" w:fill="auto"/>
            <w:noWrap/>
            <w:vAlign w:val="center"/>
          </w:tcPr>
          <w:p w14:paraId="1CFE9596"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30</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6DBD558F"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8</w:t>
            </w:r>
          </w:p>
        </w:tc>
      </w:tr>
      <w:tr w:rsidR="00126421" w:rsidRPr="00126421" w14:paraId="09F19084"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E010C1E"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30</w:t>
            </w:r>
          </w:p>
        </w:tc>
        <w:tc>
          <w:tcPr>
            <w:tcW w:w="0" w:type="auto"/>
            <w:tcBorders>
              <w:top w:val="nil"/>
              <w:left w:val="nil"/>
              <w:bottom w:val="single" w:sz="4" w:space="0" w:color="auto"/>
              <w:right w:val="single" w:sz="4" w:space="0" w:color="auto"/>
            </w:tcBorders>
            <w:shd w:val="clear" w:color="auto" w:fill="auto"/>
            <w:noWrap/>
            <w:vAlign w:val="center"/>
          </w:tcPr>
          <w:p w14:paraId="393AD808"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36</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217E6B92"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10</w:t>
            </w:r>
          </w:p>
        </w:tc>
      </w:tr>
      <w:tr w:rsidR="00126421" w:rsidRPr="00126421" w14:paraId="7B934D43"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341CE94"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36</w:t>
            </w:r>
          </w:p>
        </w:tc>
        <w:tc>
          <w:tcPr>
            <w:tcW w:w="0" w:type="auto"/>
            <w:tcBorders>
              <w:top w:val="nil"/>
              <w:left w:val="nil"/>
              <w:bottom w:val="single" w:sz="4" w:space="0" w:color="auto"/>
              <w:right w:val="single" w:sz="4" w:space="0" w:color="auto"/>
            </w:tcBorders>
            <w:shd w:val="clear" w:color="auto" w:fill="auto"/>
            <w:noWrap/>
            <w:vAlign w:val="center"/>
          </w:tcPr>
          <w:p w14:paraId="5E9EC733"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42</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0C4CDBA7"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12</w:t>
            </w:r>
          </w:p>
        </w:tc>
      </w:tr>
      <w:tr w:rsidR="00126421" w:rsidRPr="00126421" w14:paraId="4FF59817"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D07FB00"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42</w:t>
            </w:r>
          </w:p>
        </w:tc>
        <w:tc>
          <w:tcPr>
            <w:tcW w:w="0" w:type="auto"/>
            <w:tcBorders>
              <w:top w:val="nil"/>
              <w:left w:val="nil"/>
              <w:bottom w:val="single" w:sz="4" w:space="0" w:color="auto"/>
              <w:right w:val="single" w:sz="4" w:space="0" w:color="auto"/>
            </w:tcBorders>
            <w:shd w:val="clear" w:color="auto" w:fill="auto"/>
            <w:noWrap/>
            <w:vAlign w:val="center"/>
          </w:tcPr>
          <w:p w14:paraId="16350BFD"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48</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0C19AC59"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14</w:t>
            </w:r>
          </w:p>
        </w:tc>
      </w:tr>
      <w:tr w:rsidR="00126421" w:rsidRPr="00126421" w14:paraId="0B4A1BBB"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BD88851"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48</w:t>
            </w:r>
          </w:p>
        </w:tc>
        <w:tc>
          <w:tcPr>
            <w:tcW w:w="0" w:type="auto"/>
            <w:tcBorders>
              <w:top w:val="nil"/>
              <w:left w:val="nil"/>
              <w:bottom w:val="single" w:sz="4" w:space="0" w:color="auto"/>
              <w:right w:val="single" w:sz="4" w:space="0" w:color="auto"/>
            </w:tcBorders>
            <w:shd w:val="clear" w:color="auto" w:fill="auto"/>
            <w:noWrap/>
            <w:vAlign w:val="center"/>
          </w:tcPr>
          <w:p w14:paraId="5CF25CB9"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54</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58DC021E"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16</w:t>
            </w:r>
          </w:p>
        </w:tc>
      </w:tr>
      <w:tr w:rsidR="00126421" w:rsidRPr="00126421" w14:paraId="2EDC9A48" w14:textId="77777777" w:rsidTr="006021B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5169ED0"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54</w:t>
            </w:r>
          </w:p>
        </w:tc>
        <w:tc>
          <w:tcPr>
            <w:tcW w:w="0" w:type="auto"/>
            <w:tcBorders>
              <w:top w:val="nil"/>
              <w:left w:val="nil"/>
              <w:bottom w:val="single" w:sz="4" w:space="0" w:color="auto"/>
              <w:right w:val="single" w:sz="4" w:space="0" w:color="auto"/>
            </w:tcBorders>
            <w:shd w:val="clear" w:color="auto" w:fill="auto"/>
            <w:noWrap/>
            <w:vAlign w:val="center"/>
          </w:tcPr>
          <w:p w14:paraId="3FD76F26" w14:textId="77777777" w:rsidR="00126421" w:rsidRPr="00126421" w:rsidRDefault="00126421" w:rsidP="0044671B">
            <w:pPr>
              <w:jc w:val="center"/>
              <w:rPr>
                <w:rFonts w:ascii="Verdana" w:hAnsi="Verdana" w:cs="Arial"/>
                <w:color w:val="000000"/>
                <w:sz w:val="20"/>
                <w:szCs w:val="20"/>
                <w:lang w:eastAsia="es-CO"/>
              </w:rPr>
            </w:pPr>
            <w:r w:rsidRPr="00126421">
              <w:rPr>
                <w:rFonts w:ascii="Verdana" w:hAnsi="Verdana" w:cs="Arial"/>
                <w:color w:val="000000"/>
                <w:sz w:val="20"/>
                <w:szCs w:val="20"/>
                <w:lang w:eastAsia="es-CO"/>
              </w:rPr>
              <w:t>-</w:t>
            </w:r>
          </w:p>
        </w:tc>
        <w:tc>
          <w:tcPr>
            <w:tcW w:w="1928" w:type="dxa"/>
            <w:gridSpan w:val="3"/>
            <w:tcBorders>
              <w:top w:val="single" w:sz="4" w:space="0" w:color="auto"/>
              <w:left w:val="nil"/>
              <w:bottom w:val="single" w:sz="4" w:space="0" w:color="auto"/>
              <w:right w:val="single" w:sz="4" w:space="0" w:color="auto"/>
            </w:tcBorders>
            <w:shd w:val="clear" w:color="auto" w:fill="auto"/>
            <w:noWrap/>
            <w:vAlign w:val="center"/>
          </w:tcPr>
          <w:p w14:paraId="46CFD9A0" w14:textId="77777777" w:rsidR="00126421" w:rsidRPr="00126421" w:rsidRDefault="00126421" w:rsidP="0044671B">
            <w:pPr>
              <w:jc w:val="center"/>
              <w:rPr>
                <w:rFonts w:ascii="Verdana" w:hAnsi="Verdana" w:cs="Arial"/>
                <w:sz w:val="20"/>
                <w:szCs w:val="20"/>
                <w:lang w:eastAsia="es-CO"/>
              </w:rPr>
            </w:pPr>
            <w:r w:rsidRPr="00126421">
              <w:rPr>
                <w:rFonts w:ascii="Verdana" w:hAnsi="Verdana" w:cs="Arial"/>
                <w:sz w:val="20"/>
                <w:szCs w:val="20"/>
                <w:lang w:eastAsia="es-CO"/>
              </w:rPr>
              <w:t>18</w:t>
            </w:r>
          </w:p>
        </w:tc>
      </w:tr>
    </w:tbl>
    <w:p w14:paraId="2E7A57D3" w14:textId="77777777" w:rsidR="006021B8" w:rsidRDefault="006021B8" w:rsidP="006021B8">
      <w:pPr>
        <w:pStyle w:val="Prrafodelista"/>
        <w:ind w:left="284"/>
        <w:jc w:val="center"/>
        <w:rPr>
          <w:rFonts w:ascii="Verdana" w:hAnsi="Verdana" w:cs="Arial"/>
          <w:sz w:val="16"/>
          <w:szCs w:val="16"/>
          <w:lang w:val="es-MX"/>
        </w:rPr>
      </w:pPr>
      <w:r>
        <w:rPr>
          <w:rFonts w:ascii="Verdana" w:hAnsi="Verdana" w:cs="Arial"/>
          <w:sz w:val="16"/>
          <w:szCs w:val="16"/>
          <w:lang w:val="es-MX"/>
        </w:rPr>
        <w:t xml:space="preserve">Fuente: </w:t>
      </w:r>
      <w:r w:rsidRPr="005C7E10">
        <w:rPr>
          <w:rFonts w:ascii="Verdana" w:hAnsi="Verdana" w:cs="Arial"/>
          <w:sz w:val="16"/>
          <w:szCs w:val="16"/>
          <w:lang w:val="es-MX"/>
        </w:rPr>
        <w:t>Elaboración propia</w:t>
      </w:r>
    </w:p>
    <w:p w14:paraId="601776C0" w14:textId="77777777" w:rsidR="00126421" w:rsidRPr="00126421" w:rsidRDefault="00126421" w:rsidP="00126421">
      <w:pPr>
        <w:rPr>
          <w:rFonts w:ascii="Verdana" w:hAnsi="Verdana" w:cs="Arial"/>
        </w:rPr>
      </w:pPr>
    </w:p>
    <w:p w14:paraId="7F337F3C" w14:textId="77777777" w:rsidR="00126421" w:rsidRPr="00126421" w:rsidRDefault="00126421" w:rsidP="00126421">
      <w:pPr>
        <w:rPr>
          <w:rFonts w:ascii="Verdana" w:hAnsi="Verdana" w:cs="Arial"/>
        </w:rPr>
      </w:pPr>
      <w:r w:rsidRPr="00126421">
        <w:rPr>
          <w:rFonts w:ascii="Verdana" w:hAnsi="Verdana" w:cs="Arial"/>
        </w:rPr>
        <w:t xml:space="preserve">Esta estructura se configuró teniendo en las siguientes consideraciones: </w:t>
      </w:r>
    </w:p>
    <w:p w14:paraId="75A518AE" w14:textId="77777777" w:rsidR="00126421" w:rsidRPr="00126421" w:rsidRDefault="00126421" w:rsidP="00126421">
      <w:pPr>
        <w:rPr>
          <w:rFonts w:ascii="Verdana" w:hAnsi="Verdana" w:cs="Arial"/>
        </w:rPr>
      </w:pPr>
    </w:p>
    <w:p w14:paraId="59B0BD07" w14:textId="77777777" w:rsidR="00126421" w:rsidRPr="00126421" w:rsidRDefault="00126421" w:rsidP="00E42FDE">
      <w:pPr>
        <w:pStyle w:val="Prrafodelista"/>
        <w:numPr>
          <w:ilvl w:val="0"/>
          <w:numId w:val="62"/>
        </w:numPr>
        <w:spacing w:after="0" w:line="276" w:lineRule="auto"/>
        <w:contextualSpacing w:val="0"/>
        <w:rPr>
          <w:rFonts w:ascii="Verdana" w:hAnsi="Verdana" w:cs="Arial"/>
        </w:rPr>
      </w:pPr>
      <w:r w:rsidRPr="00126421">
        <w:rPr>
          <w:rFonts w:ascii="Verdana" w:hAnsi="Verdana" w:cs="Arial"/>
        </w:rPr>
        <w:t>Las facturas normalmente son pagadas por las entidades a los 60 días calendario, lo anterior teniendo en cuenta los trámites que se deben realizar.</w:t>
      </w:r>
    </w:p>
    <w:p w14:paraId="6C508C15" w14:textId="77777777" w:rsidR="00126421" w:rsidRPr="00126421" w:rsidRDefault="00126421" w:rsidP="00E42FDE">
      <w:pPr>
        <w:pStyle w:val="Prrafodelista"/>
        <w:numPr>
          <w:ilvl w:val="0"/>
          <w:numId w:val="62"/>
        </w:numPr>
        <w:spacing w:after="0" w:line="276" w:lineRule="auto"/>
        <w:contextualSpacing w:val="0"/>
        <w:rPr>
          <w:rFonts w:ascii="Verdana" w:hAnsi="Verdana" w:cs="Arial"/>
        </w:rPr>
      </w:pPr>
      <w:r w:rsidRPr="00126421">
        <w:rPr>
          <w:rFonts w:ascii="Verdana" w:hAnsi="Verdana" w:cs="Arial"/>
        </w:rPr>
        <w:t xml:space="preserve">Toda vez que se debe surtir revisiones adicionales por la interventoría, es posible que este tiempo se prolongue, por lo cual, se considera que 4 meses de apalancamiento para este tipo de procesos es un estándar que refleja un flujo de recursos mínimos que debe tener el proyecto más allá de las circunstancias que se puedan presentar. </w:t>
      </w:r>
    </w:p>
    <w:p w14:paraId="691AF9F6" w14:textId="77777777" w:rsidR="00126421" w:rsidRPr="00126421" w:rsidRDefault="00126421" w:rsidP="00E42FDE">
      <w:pPr>
        <w:pStyle w:val="Prrafodelista"/>
        <w:numPr>
          <w:ilvl w:val="0"/>
          <w:numId w:val="62"/>
        </w:numPr>
        <w:spacing w:after="0" w:line="276" w:lineRule="auto"/>
        <w:contextualSpacing w:val="0"/>
        <w:rPr>
          <w:rFonts w:ascii="Verdana" w:hAnsi="Verdana" w:cs="Arial"/>
        </w:rPr>
      </w:pPr>
      <w:r w:rsidRPr="00126421">
        <w:rPr>
          <w:rFonts w:ascii="Verdana" w:hAnsi="Verdana" w:cs="Arial"/>
        </w:rPr>
        <w:t>Este nivel de apalancamiento se incrementa dos meses del requisito establecido para el primer rango conforme aumenta el plazo estimado de ejecución, considerando que esto supondrá un incremento en el costo y alcance de la obra. Es importante precisar que este incremento se determinó teniendo en cuenta que cada rango tiene una cobertura de 6 meses de ejecución.</w:t>
      </w:r>
    </w:p>
    <w:p w14:paraId="4AF447C8" w14:textId="77777777" w:rsidR="00126421" w:rsidRPr="00126421" w:rsidRDefault="00126421" w:rsidP="00126421">
      <w:pPr>
        <w:rPr>
          <w:rFonts w:ascii="Verdana" w:hAnsi="Verdana" w:cs="Arial"/>
        </w:rPr>
      </w:pPr>
    </w:p>
    <w:p w14:paraId="18728F56" w14:textId="77777777" w:rsidR="00126421" w:rsidRPr="00126421" w:rsidRDefault="00126421" w:rsidP="00126421">
      <w:pPr>
        <w:rPr>
          <w:rFonts w:ascii="Verdana" w:hAnsi="Verdana" w:cs="Arial"/>
        </w:rPr>
      </w:pPr>
    </w:p>
    <w:p w14:paraId="7DF19B3F" w14:textId="77777777" w:rsidR="00126421" w:rsidRPr="00126421" w:rsidRDefault="00126421" w:rsidP="00126421">
      <w:pPr>
        <w:rPr>
          <w:rFonts w:ascii="Verdana" w:hAnsi="Verdana" w:cs="Arial"/>
        </w:rPr>
      </w:pPr>
      <w:r w:rsidRPr="00126421">
        <w:rPr>
          <w:rFonts w:ascii="Verdana" w:hAnsi="Verdana" w:cs="Arial"/>
        </w:rPr>
        <w:t>El cálculo del capital de trabajo demandado se hará de acuerdo con la siguiente fórmula:</w:t>
      </w:r>
    </w:p>
    <w:p w14:paraId="38DDCB41" w14:textId="77777777" w:rsidR="00126421" w:rsidRPr="00126421" w:rsidRDefault="00126421" w:rsidP="00126421">
      <w:pPr>
        <w:rPr>
          <w:rFonts w:ascii="Verdana" w:hAnsi="Verdana" w:cs="Arial"/>
        </w:rPr>
      </w:pPr>
    </w:p>
    <w:p w14:paraId="2FCB50C2" w14:textId="77777777" w:rsidR="00126421" w:rsidRPr="00126421" w:rsidRDefault="00126421" w:rsidP="00126421">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hAnsi="Verdana" w:cs="Arial"/>
          <w:iCs/>
        </w:rPr>
      </w:pPr>
      <m:oMathPara>
        <m:oMath>
          <m:r>
            <m:rPr>
              <m:sty m:val="p"/>
            </m:rPr>
            <w:rPr>
              <w:rFonts w:ascii="Cambria Math" w:hAnsi="Cambria Math" w:cs="Arial"/>
            </w:rPr>
            <w:lastRenderedPageBreak/>
            <m:t>CTd</m:t>
          </m:r>
          <m:r>
            <w:rPr>
              <w:rFonts w:ascii="Cambria Math" w:hAnsi="Cambria Math" w:cs="Arial"/>
            </w:rPr>
            <m:t>=</m:t>
          </m:r>
          <m:d>
            <m:dPr>
              <m:ctrlPr>
                <w:rPr>
                  <w:rFonts w:ascii="Cambria Math" w:hAnsi="Cambria Math" w:cs="Arial"/>
                  <w:i/>
                </w:rPr>
              </m:ctrlPr>
            </m:dPr>
            <m:e>
              <m:f>
                <m:fPr>
                  <m:ctrlPr>
                    <w:rPr>
                      <w:rFonts w:ascii="Cambria Math" w:hAnsi="Cambria Math" w:cs="Arial"/>
                      <w:iCs/>
                    </w:rPr>
                  </m:ctrlPr>
                </m:fPr>
                <m:num>
                  <m:r>
                    <m:rPr>
                      <m:sty m:val="p"/>
                    </m:rPr>
                    <w:rPr>
                      <w:rFonts w:ascii="Cambria Math" w:hAnsi="Cambria Math" w:cs="Arial"/>
                    </w:rPr>
                    <m:t xml:space="preserve">POE - Anticipo y/o  Pago anticipado </m:t>
                  </m:r>
                </m:num>
                <m:den>
                  <m:r>
                    <m:rPr>
                      <m:sty m:val="p"/>
                    </m:rPr>
                    <w:rPr>
                      <w:rFonts w:ascii="Cambria Math" w:hAnsi="Cambria Math" w:cs="Arial"/>
                    </w:rPr>
                    <m:t xml:space="preserve">Plazo estimado de ejecución del contrato (en meses) </m:t>
                  </m:r>
                </m:den>
              </m:f>
            </m:e>
          </m:d>
          <m:r>
            <w:rPr>
              <w:rFonts w:ascii="Cambria Math" w:hAnsi="Cambria Math" w:cs="Arial"/>
            </w:rPr>
            <m:t>*n</m:t>
          </m:r>
        </m:oMath>
      </m:oMathPara>
    </w:p>
    <w:p w14:paraId="25E5FBA5" w14:textId="77777777" w:rsidR="00126421" w:rsidRPr="00126421" w:rsidRDefault="00126421" w:rsidP="00126421">
      <w:pPr>
        <w:rPr>
          <w:rFonts w:ascii="Verdana" w:hAnsi="Verdana" w:cs="Arial"/>
          <w:sz w:val="16"/>
          <w:szCs w:val="16"/>
        </w:rPr>
      </w:pPr>
      <w:r w:rsidRPr="00126421">
        <w:rPr>
          <w:rFonts w:ascii="Verdana" w:hAnsi="Verdana" w:cs="Arial"/>
          <w:sz w:val="16"/>
          <w:szCs w:val="16"/>
        </w:rPr>
        <w:t>Donde,</w:t>
      </w:r>
    </w:p>
    <w:p w14:paraId="02F3A244" w14:textId="77777777" w:rsidR="00126421" w:rsidRPr="00126421" w:rsidRDefault="00126421" w:rsidP="00126421">
      <w:pPr>
        <w:rPr>
          <w:rFonts w:ascii="Verdana" w:hAnsi="Verdana" w:cs="Arial"/>
          <w:sz w:val="16"/>
          <w:szCs w:val="16"/>
          <w:lang w:val="es-MX"/>
        </w:rPr>
      </w:pPr>
      <w:r w:rsidRPr="00126421">
        <w:rPr>
          <w:rFonts w:ascii="Verdana" w:hAnsi="Verdana" w:cs="Arial"/>
          <w:sz w:val="16"/>
          <w:szCs w:val="16"/>
        </w:rPr>
        <w:t>CTd =</w:t>
      </w:r>
      <w:r w:rsidRPr="00126421">
        <w:rPr>
          <w:rFonts w:ascii="Verdana" w:hAnsi="Verdana" w:cs="Arial"/>
          <w:sz w:val="16"/>
          <w:szCs w:val="16"/>
          <w:lang w:val="es-MX"/>
        </w:rPr>
        <w:t>Capital de Trabajo demandado para el proceso que presenta propuesta</w:t>
      </w:r>
    </w:p>
    <w:p w14:paraId="57A4BC74" w14:textId="77777777" w:rsidR="00126421" w:rsidRPr="00126421" w:rsidRDefault="00126421" w:rsidP="00126421">
      <w:pPr>
        <w:rPr>
          <w:rFonts w:ascii="Verdana" w:hAnsi="Verdana" w:cs="Arial"/>
          <w:sz w:val="16"/>
          <w:szCs w:val="16"/>
        </w:rPr>
      </w:pPr>
      <w:r w:rsidRPr="00126421">
        <w:rPr>
          <w:rFonts w:ascii="Verdana" w:hAnsi="Verdana" w:cs="Arial"/>
          <w:sz w:val="16"/>
          <w:szCs w:val="16"/>
          <w:lang w:val="es-MX"/>
        </w:rPr>
        <w:t>POE = Presupuesto oficial estimado</w:t>
      </w:r>
    </w:p>
    <w:p w14:paraId="65DE9F5C" w14:textId="77777777" w:rsidR="00126421" w:rsidRPr="00126421" w:rsidRDefault="00126421" w:rsidP="00126421">
      <w:pPr>
        <w:rPr>
          <w:rFonts w:ascii="Verdana" w:hAnsi="Verdana" w:cs="Arial"/>
          <w:sz w:val="16"/>
          <w:szCs w:val="16"/>
        </w:rPr>
      </w:pPr>
      <w:r w:rsidRPr="00126421">
        <w:rPr>
          <w:rFonts w:ascii="Verdana" w:hAnsi="Verdana" w:cs="Arial"/>
          <w:i/>
          <w:iCs/>
          <w:sz w:val="16"/>
          <w:szCs w:val="16"/>
        </w:rPr>
        <w:t>n=</w:t>
      </w:r>
      <w:r w:rsidRPr="00126421">
        <w:rPr>
          <w:rFonts w:ascii="Verdana" w:hAnsi="Verdana" w:cs="Arial"/>
          <w:sz w:val="16"/>
          <w:szCs w:val="16"/>
        </w:rPr>
        <w:t xml:space="preserve"> meses de apalancamiento</w:t>
      </w:r>
    </w:p>
    <w:p w14:paraId="28946883" w14:textId="77777777" w:rsidR="00126421" w:rsidRPr="00126421" w:rsidRDefault="00126421" w:rsidP="00126421">
      <w:pPr>
        <w:rPr>
          <w:rFonts w:ascii="Verdana" w:hAnsi="Verdana" w:cs="Arial"/>
          <w:sz w:val="16"/>
          <w:szCs w:val="16"/>
        </w:rPr>
      </w:pPr>
    </w:p>
    <w:p w14:paraId="607A2621" w14:textId="77777777" w:rsidR="00126421" w:rsidRPr="00126421" w:rsidRDefault="00126421" w:rsidP="00126421">
      <w:pPr>
        <w:jc w:val="both"/>
        <w:rPr>
          <w:rFonts w:ascii="Verdana" w:hAnsi="Verdana" w:cs="Arial"/>
        </w:rPr>
      </w:pPr>
      <w:r w:rsidRPr="00126421">
        <w:rPr>
          <w:rFonts w:ascii="Verdana" w:hAnsi="Verdana" w:cs="Arial"/>
        </w:rPr>
        <w:t>Para procesos de selección cuyo plazo estimado de ejecución del contrato sea menor a doce (12) meses, el cálculo del capital de trabajo demandado, se hará de acuerdo con la siguiente fórmula:</w:t>
      </w:r>
    </w:p>
    <w:tbl>
      <w:tblPr>
        <w:tblStyle w:val="Tablaconcuadrcula"/>
        <w:tblW w:w="0" w:type="auto"/>
        <w:jc w:val="center"/>
        <w:tblLook w:val="04A0" w:firstRow="1" w:lastRow="0" w:firstColumn="1" w:lastColumn="0" w:noHBand="0" w:noVBand="1"/>
      </w:tblPr>
      <w:tblGrid>
        <w:gridCol w:w="6799"/>
      </w:tblGrid>
      <w:tr w:rsidR="00126421" w:rsidRPr="00126421" w14:paraId="6121F8FD" w14:textId="77777777" w:rsidTr="0044671B">
        <w:trPr>
          <w:trHeight w:val="283"/>
          <w:tblHeader/>
          <w:jc w:val="center"/>
        </w:trPr>
        <w:tc>
          <w:tcPr>
            <w:tcW w:w="679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4915B733" w14:textId="77777777" w:rsidR="00126421" w:rsidRPr="00126421" w:rsidRDefault="00126421" w:rsidP="0044671B">
            <w:pPr>
              <w:jc w:val="center"/>
              <w:rPr>
                <w:rFonts w:ascii="Verdana" w:eastAsia="Arial" w:hAnsi="Verdana" w:cs="Arial"/>
                <w:b/>
                <w:bCs/>
                <w:szCs w:val="20"/>
              </w:rPr>
            </w:pPr>
            <w:r w:rsidRPr="00126421">
              <w:rPr>
                <w:rFonts w:ascii="Verdana" w:hAnsi="Verdana" w:cs="Arial"/>
                <w:b/>
                <w:bCs/>
                <w:szCs w:val="20"/>
              </w:rPr>
              <w:t>Fórmula</w:t>
            </w:r>
          </w:p>
        </w:tc>
      </w:tr>
      <w:tr w:rsidR="00126421" w:rsidRPr="00126421" w14:paraId="6A5DAC39" w14:textId="77777777" w:rsidTr="0044671B">
        <w:trPr>
          <w:trHeight w:val="569"/>
          <w:jc w:val="center"/>
        </w:trPr>
        <w:tc>
          <w:tcPr>
            <w:tcW w:w="6799" w:type="dxa"/>
            <w:tcBorders>
              <w:top w:val="single" w:sz="4" w:space="0" w:color="auto"/>
              <w:left w:val="single" w:sz="4" w:space="0" w:color="auto"/>
              <w:bottom w:val="single" w:sz="4" w:space="0" w:color="auto"/>
              <w:right w:val="double" w:sz="4" w:space="0" w:color="auto"/>
            </w:tcBorders>
            <w:vAlign w:val="center"/>
            <w:hideMark/>
          </w:tcPr>
          <w:p w14:paraId="6F59FD77" w14:textId="77777777" w:rsidR="00126421" w:rsidRPr="00126421" w:rsidRDefault="00126421" w:rsidP="0044671B">
            <w:pPr>
              <w:jc w:val="center"/>
              <w:rPr>
                <w:rFonts w:ascii="Verdana" w:hAnsi="Verdana" w:cs="Arial"/>
                <w:szCs w:val="20"/>
              </w:rPr>
            </w:pPr>
            <w:r w:rsidRPr="00126421">
              <w:rPr>
                <w:rFonts w:ascii="Verdana" w:hAnsi="Verdana" w:cs="Arial"/>
                <w:szCs w:val="20"/>
              </w:rPr>
              <w:t xml:space="preserve">CTd = (POE </w:t>
            </w:r>
            <m:oMath>
              <m:r>
                <m:rPr>
                  <m:sty m:val="p"/>
                </m:rPr>
                <w:rPr>
                  <w:rFonts w:ascii="Cambria Math" w:hAnsi="Cambria Math" w:cs="Arial"/>
                </w:rPr>
                <m:t>-</m:t>
              </m:r>
            </m:oMath>
            <w:r w:rsidRPr="00126421">
              <w:rPr>
                <w:rFonts w:ascii="Verdana" w:hAnsi="Verdana" w:cs="Arial"/>
                <w:szCs w:val="20"/>
              </w:rPr>
              <w:t xml:space="preserve"> Anticipo o Pago anticipado) x 33%</w:t>
            </w:r>
          </w:p>
        </w:tc>
      </w:tr>
    </w:tbl>
    <w:p w14:paraId="26A4F96D" w14:textId="77777777" w:rsidR="00126421" w:rsidRPr="00126421" w:rsidRDefault="00126421" w:rsidP="00126421">
      <w:pPr>
        <w:rPr>
          <w:rFonts w:ascii="Verdana" w:hAnsi="Verdana" w:cs="Arial"/>
          <w:sz w:val="16"/>
          <w:szCs w:val="16"/>
        </w:rPr>
      </w:pPr>
    </w:p>
    <w:p w14:paraId="22018199" w14:textId="77777777" w:rsidR="00126421" w:rsidRPr="00126421" w:rsidRDefault="00126421" w:rsidP="00126421">
      <w:pPr>
        <w:rPr>
          <w:rFonts w:ascii="Verdana" w:hAnsi="Verdana" w:cs="Arial"/>
          <w:sz w:val="16"/>
          <w:szCs w:val="16"/>
        </w:rPr>
      </w:pPr>
      <w:r w:rsidRPr="00126421">
        <w:rPr>
          <w:rFonts w:ascii="Verdana" w:hAnsi="Verdana" w:cs="Arial"/>
          <w:sz w:val="16"/>
          <w:szCs w:val="16"/>
        </w:rPr>
        <w:t>Donde,</w:t>
      </w:r>
    </w:p>
    <w:p w14:paraId="2ED58A7F" w14:textId="77777777" w:rsidR="00126421" w:rsidRPr="00126421" w:rsidRDefault="00126421" w:rsidP="00126421">
      <w:pPr>
        <w:rPr>
          <w:rFonts w:ascii="Verdana" w:hAnsi="Verdana" w:cs="Arial"/>
          <w:sz w:val="16"/>
          <w:szCs w:val="16"/>
        </w:rPr>
      </w:pPr>
      <w:r w:rsidRPr="00126421">
        <w:rPr>
          <w:rFonts w:ascii="Verdana" w:hAnsi="Verdana" w:cs="Arial"/>
          <w:sz w:val="16"/>
          <w:szCs w:val="16"/>
        </w:rPr>
        <w:t xml:space="preserve">CTd = </w:t>
      </w:r>
      <w:r w:rsidRPr="00126421">
        <w:rPr>
          <w:rFonts w:ascii="Verdana" w:hAnsi="Verdana" w:cs="Arial"/>
          <w:sz w:val="16"/>
          <w:szCs w:val="16"/>
          <w:lang w:val="es-MX"/>
        </w:rPr>
        <w:t>Capital de Trabajo demandado para el proceso que presenta propuesta</w:t>
      </w:r>
    </w:p>
    <w:p w14:paraId="512F01A7" w14:textId="77777777" w:rsidR="00126421" w:rsidRPr="00126421" w:rsidRDefault="00126421" w:rsidP="00126421">
      <w:pPr>
        <w:rPr>
          <w:rFonts w:ascii="Verdana" w:hAnsi="Verdana" w:cs="Arial"/>
          <w:sz w:val="16"/>
          <w:szCs w:val="16"/>
        </w:rPr>
      </w:pPr>
      <w:r w:rsidRPr="00126421">
        <w:rPr>
          <w:rFonts w:ascii="Verdana" w:hAnsi="Verdana" w:cs="Arial"/>
          <w:sz w:val="16"/>
          <w:szCs w:val="16"/>
        </w:rPr>
        <w:t>POE = Presupuesto oficial estimado</w:t>
      </w:r>
    </w:p>
    <w:p w14:paraId="1A1E2648" w14:textId="77777777" w:rsidR="009F1CFF" w:rsidRPr="00A81BAA" w:rsidRDefault="009F1CFF" w:rsidP="009F1CFF">
      <w:pPr>
        <w:jc w:val="both"/>
        <w:rPr>
          <w:rFonts w:ascii="Verdana" w:hAnsi="Verdana" w:cs="Arial"/>
          <w:sz w:val="20"/>
          <w:szCs w:val="20"/>
        </w:rPr>
      </w:pPr>
    </w:p>
    <w:p w14:paraId="2E854F80" w14:textId="77777777" w:rsidR="009F1CFF" w:rsidRPr="00A81BAA" w:rsidRDefault="009F1CFF" w:rsidP="009F1CFF">
      <w:pPr>
        <w:ind w:left="708"/>
        <w:jc w:val="both"/>
        <w:rPr>
          <w:rFonts w:ascii="Verdana" w:hAnsi="Verdana" w:cs="Arial"/>
          <w:b/>
          <w:sz w:val="22"/>
          <w:szCs w:val="22"/>
        </w:rPr>
      </w:pPr>
      <w:r w:rsidRPr="00A81BAA">
        <w:rPr>
          <w:rFonts w:ascii="Verdana" w:hAnsi="Verdana" w:cs="Arial"/>
          <w:b/>
          <w:sz w:val="22"/>
          <w:szCs w:val="22"/>
        </w:rPr>
        <w:t>Patrimonio</w:t>
      </w:r>
    </w:p>
    <w:p w14:paraId="4B479DAB" w14:textId="77777777" w:rsidR="009F1CFF" w:rsidRPr="00A81BAA" w:rsidRDefault="009F1CFF" w:rsidP="009F1CFF">
      <w:pPr>
        <w:ind w:left="708"/>
        <w:jc w:val="both"/>
        <w:rPr>
          <w:rFonts w:ascii="Verdana" w:hAnsi="Verdana" w:cs="Arial"/>
          <w:b/>
          <w:bCs/>
          <w:u w:val="single"/>
          <w:lang w:val="es-MX"/>
        </w:rPr>
      </w:pPr>
    </w:p>
    <w:p w14:paraId="59ECACBC" w14:textId="77777777" w:rsidR="004423F5" w:rsidRDefault="3016056D" w:rsidP="004423F5">
      <w:pPr>
        <w:jc w:val="both"/>
        <w:rPr>
          <w:rFonts w:ascii="Verdana" w:hAnsi="Verdana" w:cs="Arial"/>
          <w:sz w:val="22"/>
          <w:szCs w:val="22"/>
          <w:lang w:val="es-MX"/>
        </w:rPr>
      </w:pPr>
      <w:r w:rsidRPr="00C46ACD">
        <w:rPr>
          <w:rFonts w:ascii="Verdana" w:hAnsi="Verdana" w:cs="Arial"/>
          <w:sz w:val="22"/>
          <w:szCs w:val="22"/>
          <w:lang w:val="es-MX"/>
        </w:rPr>
        <w:t>Este indicador mide la cantidad de recursos propios del proponente y es recomendable su uso cuando la Entidad Estatal requiere analizar la proporción de recursos propios en términos absolutos cuando el presupuesto del Proceso de Contratación es muy alto y se debe asegurar la continuidad del oferente en el tiempo</w:t>
      </w:r>
      <w:r w:rsidR="004423F5" w:rsidRPr="00C46ACD">
        <w:rPr>
          <w:rStyle w:val="Refdenotaalpie"/>
          <w:rFonts w:ascii="Verdana" w:hAnsi="Verdana" w:cs="Arial"/>
          <w:sz w:val="22"/>
          <w:szCs w:val="22"/>
          <w:lang w:val="es-MX"/>
        </w:rPr>
        <w:footnoteReference w:id="42"/>
      </w:r>
      <w:r w:rsidRPr="00C46ACD">
        <w:rPr>
          <w:rFonts w:ascii="Verdana" w:hAnsi="Verdana" w:cs="Arial"/>
          <w:sz w:val="22"/>
          <w:szCs w:val="22"/>
          <w:lang w:val="es-MX"/>
        </w:rPr>
        <w:t xml:space="preserve">. </w:t>
      </w:r>
    </w:p>
    <w:p w14:paraId="6D39A7F0" w14:textId="77777777" w:rsidR="00C46ACD" w:rsidRPr="00C46ACD" w:rsidRDefault="00C46ACD" w:rsidP="004423F5">
      <w:pPr>
        <w:jc w:val="both"/>
        <w:rPr>
          <w:rFonts w:ascii="Verdana" w:hAnsi="Verdana" w:cs="Arial"/>
          <w:sz w:val="22"/>
          <w:szCs w:val="22"/>
          <w:lang w:val="es-MX"/>
        </w:rPr>
      </w:pPr>
    </w:p>
    <w:p w14:paraId="67AB87AE" w14:textId="77777777" w:rsidR="004423F5" w:rsidRDefault="004423F5" w:rsidP="004423F5">
      <w:pPr>
        <w:jc w:val="both"/>
        <w:rPr>
          <w:rFonts w:ascii="Verdana" w:hAnsi="Verdana" w:cs="Arial"/>
          <w:sz w:val="22"/>
          <w:szCs w:val="22"/>
          <w:lang w:val="es-MX"/>
        </w:rPr>
      </w:pPr>
      <w:r w:rsidRPr="00C46ACD">
        <w:rPr>
          <w:rFonts w:ascii="Verdana" w:hAnsi="Verdana" w:cs="Arial"/>
          <w:sz w:val="22"/>
          <w:szCs w:val="22"/>
          <w:lang w:val="es-MX"/>
        </w:rPr>
        <w:t>Considerando que los grandes proyectos de infraestructura de obra están concebidos para varias vigencias e implican la adjudicación de contratos por altos montos de recursos, este indicador cobra relevancia con el objetivo de fortalecer los requisitos a solicitar a los proponentes en el marco de este tipo de proyectos.</w:t>
      </w:r>
    </w:p>
    <w:p w14:paraId="2BD9AB2E" w14:textId="77777777" w:rsidR="00C46ACD" w:rsidRPr="00C46ACD" w:rsidRDefault="00C46ACD" w:rsidP="004423F5">
      <w:pPr>
        <w:jc w:val="both"/>
        <w:rPr>
          <w:rFonts w:ascii="Verdana" w:hAnsi="Verdana" w:cs="Arial"/>
          <w:sz w:val="22"/>
          <w:szCs w:val="22"/>
          <w:lang w:val="es-MX"/>
        </w:rPr>
      </w:pPr>
    </w:p>
    <w:p w14:paraId="3A8100D1" w14:textId="77777777" w:rsidR="004423F5" w:rsidRPr="00641071" w:rsidRDefault="004423F5" w:rsidP="004423F5">
      <w:pPr>
        <w:jc w:val="both"/>
        <w:rPr>
          <w:rFonts w:ascii="Verdana" w:hAnsi="Verdana" w:cs="Arial"/>
          <w:sz w:val="22"/>
          <w:szCs w:val="22"/>
          <w:lang w:val="es-MX"/>
        </w:rPr>
      </w:pPr>
      <w:r w:rsidRPr="00C46ACD">
        <w:rPr>
          <w:rFonts w:ascii="Verdana" w:hAnsi="Verdana" w:cs="Arial"/>
          <w:sz w:val="22"/>
          <w:szCs w:val="22"/>
          <w:lang w:val="es-MX"/>
        </w:rPr>
        <w:t xml:space="preserve">Por lo anterior, se considera viable su inclusión en aquellos procesos de selección para la contratación de obra de infraestructura social, en los cuales se cumplan condiciones asociadas al plazo estimado de ejecución y al rango de presupuesto (rango 2) más alto analizado dentro de la propuesta de indicadores (en el cual se está flexibilizando el indicador de </w:t>
      </w:r>
      <w:r w:rsidRPr="00641071">
        <w:rPr>
          <w:rFonts w:ascii="Verdana" w:hAnsi="Verdana" w:cs="Arial"/>
          <w:sz w:val="22"/>
          <w:szCs w:val="22"/>
          <w:lang w:val="es-MX"/>
        </w:rPr>
        <w:t>endeudamiento (mayor o igual a 0,75), considerando la participación de empresas con altos niveles de endeudamiento).</w:t>
      </w:r>
    </w:p>
    <w:p w14:paraId="02092D44" w14:textId="77777777" w:rsidR="004423F5" w:rsidRPr="00641071" w:rsidRDefault="004423F5" w:rsidP="004423F5">
      <w:pPr>
        <w:jc w:val="both"/>
        <w:rPr>
          <w:rFonts w:ascii="Verdana" w:hAnsi="Verdana" w:cs="Arial"/>
          <w:sz w:val="22"/>
          <w:szCs w:val="22"/>
          <w:lang w:val="es-MX"/>
        </w:rPr>
      </w:pPr>
      <w:r w:rsidRPr="00641071">
        <w:rPr>
          <w:rFonts w:ascii="Verdana" w:hAnsi="Verdana" w:cs="Arial"/>
          <w:sz w:val="22"/>
          <w:szCs w:val="22"/>
          <w:lang w:val="es-MX"/>
        </w:rPr>
        <w:t>En concordancia con lo señalado previamente, el Patrimonio se solicitará en aquellos procesos de selección en los que se cumplan las siguientes dos condiciones:</w:t>
      </w:r>
    </w:p>
    <w:p w14:paraId="14356C95" w14:textId="77777777" w:rsidR="00C46ACD" w:rsidRPr="00641071" w:rsidRDefault="00C46ACD" w:rsidP="004423F5">
      <w:pPr>
        <w:jc w:val="both"/>
        <w:rPr>
          <w:rFonts w:ascii="Verdana" w:hAnsi="Verdana" w:cs="Arial"/>
          <w:sz w:val="22"/>
          <w:szCs w:val="22"/>
          <w:lang w:val="es-MX"/>
        </w:rPr>
      </w:pPr>
    </w:p>
    <w:p w14:paraId="351A4D4A" w14:textId="77777777" w:rsidR="004423F5" w:rsidRPr="00641071" w:rsidRDefault="004423F5" w:rsidP="00E42FDE">
      <w:pPr>
        <w:pStyle w:val="Prrafodelista"/>
        <w:numPr>
          <w:ilvl w:val="0"/>
          <w:numId w:val="61"/>
        </w:numPr>
        <w:spacing w:after="200" w:line="276" w:lineRule="auto"/>
        <w:contextualSpacing w:val="0"/>
        <w:rPr>
          <w:rFonts w:ascii="Verdana" w:hAnsi="Verdana" w:cs="Arial"/>
          <w:b/>
          <w:bCs/>
          <w:lang w:val="es-MX"/>
        </w:rPr>
      </w:pPr>
      <w:r w:rsidRPr="00641071">
        <w:rPr>
          <w:rFonts w:ascii="Verdana" w:hAnsi="Verdana" w:cs="Arial"/>
          <w:b/>
          <w:bCs/>
          <w:lang w:val="es-MX"/>
        </w:rPr>
        <w:t>Presupuesto oficial es &gt;= a 4.000 SMMLV.</w:t>
      </w:r>
    </w:p>
    <w:p w14:paraId="4D13E394" w14:textId="77777777" w:rsidR="004423F5" w:rsidRPr="00641071" w:rsidRDefault="004423F5" w:rsidP="00E42FDE">
      <w:pPr>
        <w:pStyle w:val="Prrafodelista"/>
        <w:numPr>
          <w:ilvl w:val="0"/>
          <w:numId w:val="61"/>
        </w:numPr>
        <w:spacing w:after="200" w:line="276" w:lineRule="auto"/>
        <w:contextualSpacing w:val="0"/>
        <w:rPr>
          <w:rFonts w:ascii="Verdana" w:hAnsi="Verdana" w:cs="Arial"/>
          <w:b/>
          <w:bCs/>
          <w:lang w:val="es-MX"/>
        </w:rPr>
      </w:pPr>
      <w:r w:rsidRPr="00641071">
        <w:rPr>
          <w:rFonts w:ascii="Verdana" w:hAnsi="Verdana" w:cs="Arial"/>
          <w:b/>
          <w:bCs/>
          <w:lang w:val="es-MX"/>
        </w:rPr>
        <w:t>El plazo de ejecución del proceso es mayor o igual a 24 meses.</w:t>
      </w:r>
    </w:p>
    <w:p w14:paraId="0F0E917D" w14:textId="77777777" w:rsidR="004423F5" w:rsidRPr="00641071" w:rsidRDefault="004423F5" w:rsidP="004423F5">
      <w:pPr>
        <w:jc w:val="both"/>
        <w:rPr>
          <w:rFonts w:ascii="Verdana" w:hAnsi="Verdana" w:cs="Arial"/>
          <w:sz w:val="22"/>
          <w:szCs w:val="22"/>
          <w:lang w:val="es-MX"/>
        </w:rPr>
      </w:pPr>
      <w:r w:rsidRPr="00641071">
        <w:rPr>
          <w:rFonts w:ascii="Verdana" w:hAnsi="Verdana" w:cs="Arial"/>
          <w:sz w:val="22"/>
          <w:szCs w:val="22"/>
          <w:lang w:val="es-MX"/>
        </w:rPr>
        <w:t>La determinación del Patrimonio demandado (requerido), se hará de acuerdo con la siguiente fórmula:</w:t>
      </w:r>
    </w:p>
    <w:p w14:paraId="3CF03164" w14:textId="77777777" w:rsidR="004423F5" w:rsidRPr="00641071" w:rsidRDefault="004423F5" w:rsidP="004423F5">
      <w:pPr>
        <w:pBdr>
          <w:top w:val="single" w:sz="4" w:space="1" w:color="auto"/>
          <w:left w:val="single" w:sz="4" w:space="4" w:color="auto"/>
          <w:bottom w:val="single" w:sz="4" w:space="1" w:color="auto"/>
          <w:right w:val="single" w:sz="4" w:space="4" w:color="auto"/>
        </w:pBdr>
        <w:rPr>
          <w:rFonts w:ascii="Verdana" w:hAnsi="Verdana" w:cs="Arial"/>
          <w:sz w:val="22"/>
          <w:szCs w:val="22"/>
        </w:rPr>
      </w:pPr>
      <m:oMathPara>
        <m:oMath>
          <m:r>
            <m:rPr>
              <m:sty m:val="p"/>
            </m:rPr>
            <w:rPr>
              <w:rFonts w:ascii="Cambria Math" w:hAnsi="Cambria Math" w:cs="Arial"/>
              <w:sz w:val="22"/>
              <w:szCs w:val="22"/>
            </w:rPr>
            <m:t>Pd</m:t>
          </m:r>
          <m:r>
            <w:rPr>
              <w:rFonts w:ascii="Cambria Math" w:hAnsi="Cambria Math" w:cs="Arial"/>
              <w:sz w:val="22"/>
              <w:szCs w:val="22"/>
            </w:rPr>
            <m:t>= POE x 25%</m:t>
          </m:r>
        </m:oMath>
      </m:oMathPara>
    </w:p>
    <w:p w14:paraId="65A3A005" w14:textId="77777777" w:rsidR="004423F5" w:rsidRPr="00641071" w:rsidRDefault="004423F5" w:rsidP="004423F5">
      <w:pPr>
        <w:rPr>
          <w:rFonts w:ascii="Verdana" w:hAnsi="Verdana" w:cs="Arial"/>
          <w:sz w:val="16"/>
          <w:szCs w:val="16"/>
          <w:lang w:val="es-MX"/>
        </w:rPr>
      </w:pPr>
      <w:r w:rsidRPr="00641071">
        <w:rPr>
          <w:rFonts w:ascii="Verdana" w:hAnsi="Verdana" w:cs="Arial"/>
          <w:sz w:val="16"/>
          <w:szCs w:val="16"/>
          <w:lang w:val="es-MX"/>
        </w:rPr>
        <w:t>Donde,</w:t>
      </w:r>
    </w:p>
    <w:p w14:paraId="513EBFB9" w14:textId="77777777" w:rsidR="004423F5" w:rsidRPr="00641071" w:rsidRDefault="004423F5" w:rsidP="004423F5">
      <w:pPr>
        <w:autoSpaceDE w:val="0"/>
        <w:autoSpaceDN w:val="0"/>
        <w:adjustRightInd w:val="0"/>
        <w:spacing w:before="120"/>
        <w:rPr>
          <w:rFonts w:ascii="Verdana" w:hAnsi="Verdana" w:cs="Arial"/>
          <w:sz w:val="16"/>
          <w:szCs w:val="16"/>
          <w:lang w:val="es-MX"/>
        </w:rPr>
      </w:pPr>
      <w:r w:rsidRPr="00641071">
        <w:rPr>
          <w:rFonts w:ascii="Verdana" w:hAnsi="Verdana" w:cs="Arial"/>
          <w:sz w:val="16"/>
          <w:szCs w:val="16"/>
          <w:lang w:val="es-MX"/>
        </w:rPr>
        <w:t>Pd = Patrimonio demandado (requerido) para el proceso que presenta la propuesta</w:t>
      </w:r>
    </w:p>
    <w:p w14:paraId="6F4E093A" w14:textId="77777777" w:rsidR="004423F5" w:rsidRPr="00641071" w:rsidRDefault="004423F5" w:rsidP="004423F5">
      <w:pPr>
        <w:rPr>
          <w:rFonts w:ascii="Verdana" w:hAnsi="Verdana" w:cs="Arial"/>
          <w:sz w:val="16"/>
          <w:szCs w:val="16"/>
          <w:lang w:val="es-MX"/>
        </w:rPr>
      </w:pPr>
      <w:r w:rsidRPr="00641071">
        <w:rPr>
          <w:rFonts w:ascii="Verdana" w:hAnsi="Verdana" w:cs="Arial"/>
          <w:sz w:val="16"/>
          <w:szCs w:val="16"/>
          <w:lang w:val="es-MX"/>
        </w:rPr>
        <w:t>POE = Presupuesto oficial estimado</w:t>
      </w:r>
    </w:p>
    <w:p w14:paraId="1FC4DAED" w14:textId="77777777" w:rsidR="004423F5" w:rsidRPr="00641071" w:rsidRDefault="004423F5" w:rsidP="004423F5">
      <w:pPr>
        <w:jc w:val="both"/>
        <w:rPr>
          <w:rFonts w:ascii="Arial" w:hAnsi="Arial" w:cs="Arial"/>
          <w:sz w:val="20"/>
          <w:szCs w:val="20"/>
        </w:rPr>
      </w:pPr>
    </w:p>
    <w:p w14:paraId="6E15E3D7" w14:textId="2383A569" w:rsidR="00E5392F" w:rsidRPr="00B00FCB" w:rsidRDefault="00E5392F" w:rsidP="00E42FDE">
      <w:pPr>
        <w:pStyle w:val="Ttulo1"/>
        <w:numPr>
          <w:ilvl w:val="0"/>
          <w:numId w:val="44"/>
        </w:numPr>
        <w:jc w:val="both"/>
        <w:rPr>
          <w:rFonts w:ascii="Verdana" w:hAnsi="Verdana" w:cs="Arial"/>
          <w:color w:val="auto"/>
          <w:szCs w:val="22"/>
        </w:rPr>
      </w:pPr>
      <w:bookmarkStart w:id="54" w:name="_Toc196716371"/>
      <w:r w:rsidRPr="00B00FCB">
        <w:rPr>
          <w:rFonts w:ascii="Verdana" w:hAnsi="Verdana" w:cs="Arial"/>
          <w:color w:val="auto"/>
          <w:szCs w:val="22"/>
        </w:rPr>
        <w:t xml:space="preserve">Análisis de criterios </w:t>
      </w:r>
      <w:r w:rsidR="00E80AA2" w:rsidRPr="00B00FCB">
        <w:rPr>
          <w:rFonts w:ascii="Verdana" w:hAnsi="Verdana" w:cs="Arial"/>
          <w:color w:val="auto"/>
          <w:szCs w:val="22"/>
        </w:rPr>
        <w:t>de evaluación</w:t>
      </w:r>
      <w:r w:rsidR="00E021FE" w:rsidRPr="00B00FCB">
        <w:rPr>
          <w:rFonts w:ascii="Verdana" w:hAnsi="Verdana" w:cs="Arial"/>
          <w:color w:val="auto"/>
          <w:szCs w:val="22"/>
        </w:rPr>
        <w:t xml:space="preserve"> </w:t>
      </w:r>
      <w:r w:rsidR="3EFB1F0E" w:rsidRPr="00B00FCB">
        <w:rPr>
          <w:rFonts w:ascii="Verdana" w:hAnsi="Verdana" w:cs="Arial"/>
          <w:color w:val="auto"/>
          <w:szCs w:val="22"/>
        </w:rPr>
        <w:t xml:space="preserve">ponderables </w:t>
      </w:r>
      <w:r w:rsidR="00E021FE" w:rsidRPr="00B00FCB">
        <w:rPr>
          <w:rFonts w:ascii="Verdana" w:hAnsi="Verdana" w:cs="Arial"/>
          <w:color w:val="auto"/>
          <w:szCs w:val="22"/>
        </w:rPr>
        <w:t>solicitados en</w:t>
      </w:r>
      <w:r w:rsidR="00E021FE" w:rsidRPr="00B00FCB">
        <w:rPr>
          <w:rFonts w:ascii="Verdana" w:eastAsia="Calibri" w:hAnsi="Verdana" w:cs="Arial"/>
          <w:color w:val="auto"/>
          <w:szCs w:val="22"/>
        </w:rPr>
        <w:t xml:space="preserve"> los </w:t>
      </w:r>
      <w:r w:rsidR="00E021FE" w:rsidRPr="00B00FCB">
        <w:rPr>
          <w:rFonts w:ascii="Verdana" w:hAnsi="Verdana" w:cs="Arial"/>
          <w:color w:val="auto"/>
          <w:szCs w:val="22"/>
        </w:rPr>
        <w:t xml:space="preserve">documentos tipo de </w:t>
      </w:r>
      <w:r w:rsidR="00B11B55" w:rsidRPr="00B00FCB">
        <w:rPr>
          <w:rFonts w:ascii="Verdana" w:hAnsi="Verdana" w:cs="Arial"/>
          <w:color w:val="auto"/>
          <w:szCs w:val="22"/>
        </w:rPr>
        <w:t>o</w:t>
      </w:r>
      <w:r w:rsidR="00E021FE" w:rsidRPr="00B00FCB">
        <w:rPr>
          <w:rFonts w:ascii="Verdana" w:hAnsi="Verdana" w:cs="Arial"/>
          <w:color w:val="auto"/>
          <w:szCs w:val="22"/>
        </w:rPr>
        <w:t xml:space="preserve">bra pública de infraestructura </w:t>
      </w:r>
      <w:r w:rsidR="00B11B55" w:rsidRPr="00B00FCB">
        <w:rPr>
          <w:rFonts w:ascii="Verdana" w:hAnsi="Verdana" w:cs="Arial"/>
          <w:color w:val="auto"/>
          <w:szCs w:val="22"/>
        </w:rPr>
        <w:t>social</w:t>
      </w:r>
      <w:bookmarkEnd w:id="54"/>
    </w:p>
    <w:p w14:paraId="133B6304" w14:textId="77777777" w:rsidR="008064EB" w:rsidRPr="00B00FCB" w:rsidRDefault="008064EB" w:rsidP="008064EB">
      <w:pPr>
        <w:rPr>
          <w:rFonts w:ascii="Verdana" w:hAnsi="Verdana" w:cs="Arial"/>
          <w:sz w:val="22"/>
          <w:szCs w:val="22"/>
        </w:rPr>
      </w:pPr>
    </w:p>
    <w:p w14:paraId="53BA12C3"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El capítulo IV del documento base establece los “Criterios de Evaluación, asignación de puntaje y criterios de desempate y en este aspecto incluye: la Oferta Económica, el Factor de Calidad, el apoyo a la industria nacional. Vinculación de personal con discapacidad, tarjeta OCCRE, Emprendimiento y Empresas de mujeres, Mipyme domiciliada en Colombia y los criterios de desempate, la actual modificación incluyó un ajuste al numeral 4.2. Factor de Calidad e incluyo en el numeral 4.2.4. la incorporación de los criterios ambientales y sociales, para lo cual se realizó el ajuste a las ponderaciones existentes.</w:t>
      </w:r>
    </w:p>
    <w:p w14:paraId="246EAAEB" w14:textId="77777777" w:rsidR="00656205" w:rsidRPr="00B00FCB" w:rsidRDefault="00656205" w:rsidP="00656205">
      <w:pPr>
        <w:jc w:val="both"/>
        <w:rPr>
          <w:rFonts w:ascii="Verdana" w:hAnsi="Verdana" w:cs="Arial"/>
          <w:sz w:val="22"/>
          <w:szCs w:val="22"/>
        </w:rPr>
      </w:pPr>
    </w:p>
    <w:p w14:paraId="449FB850" w14:textId="556CEBFC" w:rsidR="00656205" w:rsidRPr="00B00FCB" w:rsidRDefault="00656205" w:rsidP="00656205">
      <w:pPr>
        <w:jc w:val="both"/>
        <w:rPr>
          <w:rFonts w:ascii="Verdana" w:hAnsi="Verdana" w:cs="Arial"/>
          <w:sz w:val="22"/>
          <w:szCs w:val="22"/>
        </w:rPr>
      </w:pPr>
      <w:r w:rsidRPr="00B00FCB">
        <w:rPr>
          <w:rFonts w:ascii="Verdana" w:hAnsi="Verdana" w:cs="Arial"/>
          <w:sz w:val="22"/>
          <w:szCs w:val="22"/>
        </w:rPr>
        <w:t>A continuación</w:t>
      </w:r>
      <w:r w:rsidR="34D91D5F" w:rsidRPr="00B00FCB">
        <w:rPr>
          <w:rFonts w:ascii="Verdana" w:hAnsi="Verdana" w:cs="Arial"/>
          <w:sz w:val="22"/>
          <w:szCs w:val="22"/>
        </w:rPr>
        <w:t>,</w:t>
      </w:r>
      <w:r w:rsidRPr="00B00FCB">
        <w:rPr>
          <w:rFonts w:ascii="Verdana" w:hAnsi="Verdana" w:cs="Arial"/>
          <w:sz w:val="22"/>
          <w:szCs w:val="22"/>
        </w:rPr>
        <w:t xml:space="preserve"> se muestra un comparativo para la asignación de puntaje con la incorporación de los criterios socio ambientales en los factores de Calidad, el primero para las convocatorias no limitadas a Mi</w:t>
      </w:r>
      <w:r w:rsidR="00D14711" w:rsidRPr="00B00FCB">
        <w:rPr>
          <w:rFonts w:ascii="Verdana" w:hAnsi="Verdana" w:cs="Arial"/>
          <w:sz w:val="22"/>
          <w:szCs w:val="22"/>
        </w:rPr>
        <w:t>P</w:t>
      </w:r>
      <w:r w:rsidRPr="00B00FCB">
        <w:rPr>
          <w:rFonts w:ascii="Verdana" w:hAnsi="Verdana" w:cs="Arial"/>
          <w:sz w:val="22"/>
          <w:szCs w:val="22"/>
        </w:rPr>
        <w:t>ymes:</w:t>
      </w:r>
    </w:p>
    <w:p w14:paraId="53683082" w14:textId="77777777" w:rsidR="00693F23" w:rsidRPr="00B00FCB" w:rsidRDefault="00693F23" w:rsidP="00656205">
      <w:pPr>
        <w:jc w:val="both"/>
        <w:rPr>
          <w:rFonts w:ascii="Verdana" w:hAnsi="Verdana" w:cs="Arial"/>
          <w:sz w:val="22"/>
          <w:szCs w:val="22"/>
        </w:rPr>
      </w:pPr>
    </w:p>
    <w:p w14:paraId="491C90EA" w14:textId="3BE30302" w:rsidR="00256AE1" w:rsidRPr="00B00FCB" w:rsidRDefault="00256AE1" w:rsidP="005C7E10">
      <w:pPr>
        <w:pStyle w:val="Descripcin"/>
        <w:rPr>
          <w:rFonts w:ascii="Verdana" w:hAnsi="Verdana" w:cs="Arial"/>
          <w:sz w:val="24"/>
          <w:szCs w:val="24"/>
        </w:rPr>
      </w:pPr>
      <w:bookmarkStart w:id="55" w:name="_Toc180136830"/>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14</w:t>
      </w:r>
      <w:r w:rsidRPr="00B00FCB">
        <w:rPr>
          <w:rFonts w:ascii="Verdana" w:hAnsi="Verdana"/>
          <w:sz w:val="22"/>
          <w:szCs w:val="22"/>
        </w:rPr>
        <w:fldChar w:fldCharType="end"/>
      </w:r>
      <w:r w:rsidRPr="00B00FCB">
        <w:rPr>
          <w:rFonts w:ascii="Verdana" w:hAnsi="Verdana"/>
          <w:sz w:val="22"/>
          <w:szCs w:val="22"/>
        </w:rPr>
        <w:t>. Comparativo convocatorias no limitadas a MiPymes</w:t>
      </w:r>
      <w:bookmarkEnd w:id="55"/>
    </w:p>
    <w:p w14:paraId="30045883" w14:textId="3C424AB3" w:rsidR="0074636C" w:rsidRPr="00B00FCB" w:rsidRDefault="00743FEF" w:rsidP="00656205">
      <w:pPr>
        <w:jc w:val="both"/>
        <w:rPr>
          <w:rFonts w:ascii="Verdana" w:hAnsi="Verdana" w:cs="Arial"/>
          <w:sz w:val="22"/>
          <w:szCs w:val="22"/>
        </w:rPr>
      </w:pPr>
      <w:r w:rsidRPr="00B00FCB">
        <w:rPr>
          <w:noProof/>
        </w:rPr>
        <w:lastRenderedPageBreak/>
        <w:drawing>
          <wp:inline distT="0" distB="0" distL="0" distR="0" wp14:anchorId="68B8909D" wp14:editId="2D2A15CE">
            <wp:extent cx="6120765" cy="3289465"/>
            <wp:effectExtent l="0" t="0" r="0" b="6350"/>
            <wp:docPr id="3792916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31327" cy="3295141"/>
                    </a:xfrm>
                    <a:prstGeom prst="rect">
                      <a:avLst/>
                    </a:prstGeom>
                    <a:noFill/>
                    <a:ln>
                      <a:noFill/>
                    </a:ln>
                  </pic:spPr>
                </pic:pic>
              </a:graphicData>
            </a:graphic>
          </wp:inline>
        </w:drawing>
      </w:r>
    </w:p>
    <w:p w14:paraId="55C7E087" w14:textId="3180B27F" w:rsidR="0074636C" w:rsidRPr="00B00FCB" w:rsidRDefault="0074636C" w:rsidP="00656205">
      <w:pPr>
        <w:jc w:val="both"/>
        <w:rPr>
          <w:rFonts w:ascii="Verdana" w:hAnsi="Verdana" w:cs="Arial"/>
          <w:sz w:val="22"/>
          <w:szCs w:val="22"/>
        </w:rPr>
      </w:pPr>
    </w:p>
    <w:p w14:paraId="0DE17B1F" w14:textId="3D61589B" w:rsidR="00182C33" w:rsidRPr="00B00FCB" w:rsidRDefault="00DE09DB" w:rsidP="00656205">
      <w:pPr>
        <w:jc w:val="center"/>
        <w:rPr>
          <w:rFonts w:ascii="Verdana" w:hAnsi="Verdana" w:cs="Arial"/>
          <w:sz w:val="22"/>
          <w:szCs w:val="22"/>
        </w:rPr>
      </w:pPr>
      <w:r w:rsidRPr="00B00FCB">
        <w:rPr>
          <w:rFonts w:ascii="Verdana" w:hAnsi="Verdana" w:cs="Arial"/>
          <w:sz w:val="16"/>
          <w:szCs w:val="16"/>
        </w:rPr>
        <w:t>Elaboración propia</w:t>
      </w:r>
    </w:p>
    <w:p w14:paraId="07CC12DE" w14:textId="77777777" w:rsidR="00656205" w:rsidRPr="00B00FCB" w:rsidRDefault="00656205" w:rsidP="00656205">
      <w:pPr>
        <w:jc w:val="center"/>
        <w:rPr>
          <w:rFonts w:ascii="Verdana" w:hAnsi="Verdana" w:cs="Arial"/>
          <w:sz w:val="22"/>
          <w:szCs w:val="22"/>
        </w:rPr>
      </w:pPr>
    </w:p>
    <w:p w14:paraId="3AFC7251" w14:textId="6161E784" w:rsidR="00656205" w:rsidRPr="00B00FCB" w:rsidRDefault="00656205" w:rsidP="00656205">
      <w:pPr>
        <w:jc w:val="both"/>
        <w:rPr>
          <w:rFonts w:ascii="Verdana" w:hAnsi="Verdana" w:cs="Arial"/>
          <w:sz w:val="22"/>
          <w:szCs w:val="22"/>
        </w:rPr>
      </w:pPr>
      <w:r w:rsidRPr="00B00FCB">
        <w:rPr>
          <w:rFonts w:ascii="Verdana" w:hAnsi="Verdana" w:cs="Arial"/>
          <w:sz w:val="22"/>
          <w:szCs w:val="22"/>
        </w:rPr>
        <w:t>Y</w:t>
      </w:r>
      <w:r w:rsidR="1713C5C6" w:rsidRPr="00B00FCB">
        <w:rPr>
          <w:rFonts w:ascii="Verdana" w:hAnsi="Verdana" w:cs="Arial"/>
          <w:sz w:val="22"/>
          <w:szCs w:val="22"/>
        </w:rPr>
        <w:t>,</w:t>
      </w:r>
      <w:r w:rsidRPr="00B00FCB">
        <w:rPr>
          <w:rFonts w:ascii="Verdana" w:hAnsi="Verdana" w:cs="Arial"/>
          <w:sz w:val="22"/>
          <w:szCs w:val="22"/>
        </w:rPr>
        <w:t xml:space="preserve"> para las convocatorias limitadas a </w:t>
      </w:r>
      <w:proofErr w:type="gramStart"/>
      <w:r w:rsidRPr="00B00FCB">
        <w:rPr>
          <w:rFonts w:ascii="Verdana" w:hAnsi="Verdana" w:cs="Arial"/>
          <w:sz w:val="22"/>
          <w:szCs w:val="22"/>
        </w:rPr>
        <w:t>Mipyme :</w:t>
      </w:r>
      <w:proofErr w:type="gramEnd"/>
    </w:p>
    <w:p w14:paraId="01BA5297" w14:textId="77777777" w:rsidR="00656205" w:rsidRPr="00B00FCB" w:rsidRDefault="00656205" w:rsidP="00656205">
      <w:pPr>
        <w:rPr>
          <w:rFonts w:ascii="Verdana" w:hAnsi="Verdana" w:cs="Arial"/>
          <w:b/>
          <w:bCs/>
          <w:sz w:val="22"/>
          <w:szCs w:val="22"/>
        </w:rPr>
      </w:pPr>
    </w:p>
    <w:p w14:paraId="706B9FE9" w14:textId="77777777" w:rsidR="009D773D" w:rsidRPr="00B00FCB" w:rsidRDefault="009D773D" w:rsidP="00656205">
      <w:pPr>
        <w:rPr>
          <w:rFonts w:ascii="Verdana" w:hAnsi="Verdana" w:cs="Arial"/>
          <w:b/>
          <w:bCs/>
          <w:sz w:val="22"/>
          <w:szCs w:val="22"/>
        </w:rPr>
      </w:pPr>
    </w:p>
    <w:p w14:paraId="695C8272" w14:textId="56EA07A2" w:rsidR="009D773D" w:rsidRPr="00B00FCB" w:rsidRDefault="00E345C8" w:rsidP="005C7E10">
      <w:pPr>
        <w:pStyle w:val="Descripcin"/>
        <w:jc w:val="center"/>
        <w:rPr>
          <w:rFonts w:ascii="Verdana" w:hAnsi="Verdana" w:cs="Arial"/>
          <w:b w:val="0"/>
          <w:bCs w:val="0"/>
          <w:sz w:val="24"/>
          <w:szCs w:val="24"/>
        </w:rPr>
      </w:pPr>
      <w:bookmarkStart w:id="56" w:name="_Toc180136831"/>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15</w:t>
      </w:r>
      <w:r w:rsidRPr="00B00FCB">
        <w:rPr>
          <w:rFonts w:ascii="Verdana" w:hAnsi="Verdana"/>
          <w:sz w:val="22"/>
          <w:szCs w:val="22"/>
        </w:rPr>
        <w:fldChar w:fldCharType="end"/>
      </w:r>
      <w:r w:rsidRPr="00B00FCB">
        <w:rPr>
          <w:rFonts w:ascii="Verdana" w:hAnsi="Verdana"/>
          <w:sz w:val="22"/>
          <w:szCs w:val="22"/>
        </w:rPr>
        <w:t>. Comparativo convocatorias limitadas a MiPymes</w:t>
      </w:r>
      <w:bookmarkEnd w:id="56"/>
    </w:p>
    <w:p w14:paraId="2D60FF43" w14:textId="35FF1085" w:rsidR="009D773D" w:rsidRPr="00B00FCB" w:rsidRDefault="00B722F8" w:rsidP="00656205">
      <w:pPr>
        <w:rPr>
          <w:rFonts w:ascii="Verdana" w:hAnsi="Verdana" w:cs="Arial"/>
          <w:b/>
          <w:bCs/>
          <w:sz w:val="22"/>
          <w:szCs w:val="22"/>
        </w:rPr>
      </w:pPr>
      <w:r w:rsidRPr="00B00FCB">
        <w:rPr>
          <w:noProof/>
        </w:rPr>
        <w:lastRenderedPageBreak/>
        <w:drawing>
          <wp:inline distT="0" distB="0" distL="0" distR="0" wp14:anchorId="6465B7AA" wp14:editId="34C8B6D2">
            <wp:extent cx="6120765" cy="2339439"/>
            <wp:effectExtent l="0" t="0" r="0" b="3810"/>
            <wp:docPr id="59345707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7133" cy="2341873"/>
                    </a:xfrm>
                    <a:prstGeom prst="rect">
                      <a:avLst/>
                    </a:prstGeom>
                    <a:noFill/>
                    <a:ln>
                      <a:noFill/>
                    </a:ln>
                  </pic:spPr>
                </pic:pic>
              </a:graphicData>
            </a:graphic>
          </wp:inline>
        </w:drawing>
      </w:r>
    </w:p>
    <w:p w14:paraId="69E37838" w14:textId="5A975317" w:rsidR="00493B28" w:rsidRPr="00B00FCB" w:rsidRDefault="00493B28" w:rsidP="00656205">
      <w:pPr>
        <w:jc w:val="center"/>
        <w:rPr>
          <w:rFonts w:ascii="Verdana" w:hAnsi="Verdana" w:cs="Arial"/>
          <w:b/>
          <w:bCs/>
          <w:sz w:val="22"/>
          <w:szCs w:val="22"/>
        </w:rPr>
      </w:pPr>
      <w:r w:rsidRPr="00B00FCB">
        <w:rPr>
          <w:rFonts w:ascii="Verdana" w:hAnsi="Verdana" w:cs="Arial"/>
          <w:sz w:val="16"/>
          <w:szCs w:val="16"/>
        </w:rPr>
        <w:t>Elaboración propia</w:t>
      </w:r>
    </w:p>
    <w:p w14:paraId="4B3EAB72" w14:textId="77777777" w:rsidR="00656205" w:rsidRPr="00B00FCB" w:rsidRDefault="00656205" w:rsidP="00656205">
      <w:pPr>
        <w:rPr>
          <w:rFonts w:ascii="Verdana" w:hAnsi="Verdana" w:cs="Arial"/>
          <w:sz w:val="22"/>
          <w:szCs w:val="22"/>
        </w:rPr>
      </w:pPr>
    </w:p>
    <w:p w14:paraId="3E43FEF8" w14:textId="2FD67010" w:rsidR="00656205" w:rsidRPr="00B00FCB" w:rsidRDefault="00656205" w:rsidP="00656205">
      <w:pPr>
        <w:rPr>
          <w:rFonts w:ascii="Verdana" w:hAnsi="Verdana" w:cs="Arial"/>
          <w:sz w:val="22"/>
          <w:szCs w:val="22"/>
        </w:rPr>
      </w:pPr>
      <w:r w:rsidRPr="00B00FCB">
        <w:rPr>
          <w:rFonts w:ascii="Verdana" w:hAnsi="Verdana" w:cs="Arial"/>
          <w:sz w:val="22"/>
          <w:szCs w:val="22"/>
        </w:rPr>
        <w:t xml:space="preserve">Para los procesos de </w:t>
      </w:r>
      <w:r w:rsidR="0CC605BF" w:rsidRPr="00B00FCB">
        <w:rPr>
          <w:rFonts w:ascii="Verdana" w:hAnsi="Verdana" w:cs="Arial"/>
          <w:sz w:val="22"/>
          <w:szCs w:val="22"/>
        </w:rPr>
        <w:t>s</w:t>
      </w:r>
      <w:r w:rsidRPr="00B00FCB">
        <w:rPr>
          <w:rFonts w:ascii="Verdana" w:hAnsi="Verdana" w:cs="Arial"/>
          <w:sz w:val="22"/>
          <w:szCs w:val="22"/>
        </w:rPr>
        <w:t>elección abreviada</w:t>
      </w:r>
      <w:r w:rsidR="7757F2A4" w:rsidRPr="00B00FCB">
        <w:rPr>
          <w:rFonts w:ascii="Verdana" w:hAnsi="Verdana" w:cs="Arial"/>
          <w:sz w:val="22"/>
          <w:szCs w:val="22"/>
        </w:rPr>
        <w:t xml:space="preserve"> de menor cuantía</w:t>
      </w:r>
      <w:r w:rsidRPr="00B00FCB">
        <w:rPr>
          <w:rFonts w:ascii="Verdana" w:hAnsi="Verdana" w:cs="Arial"/>
          <w:sz w:val="22"/>
          <w:szCs w:val="22"/>
        </w:rPr>
        <w:t>:</w:t>
      </w:r>
    </w:p>
    <w:p w14:paraId="66B9E223" w14:textId="77777777" w:rsidR="006D4183" w:rsidRPr="00B00FCB" w:rsidRDefault="006D4183" w:rsidP="00656205">
      <w:pPr>
        <w:rPr>
          <w:rFonts w:ascii="Verdana" w:hAnsi="Verdana" w:cs="Arial"/>
          <w:sz w:val="22"/>
          <w:szCs w:val="22"/>
        </w:rPr>
      </w:pPr>
    </w:p>
    <w:p w14:paraId="53BCCE83" w14:textId="2CCA8618" w:rsidR="006D4183" w:rsidRPr="00B00FCB" w:rsidRDefault="006D4183" w:rsidP="005C7E10">
      <w:pPr>
        <w:pStyle w:val="Descripcin"/>
        <w:jc w:val="center"/>
        <w:rPr>
          <w:rFonts w:ascii="Verdana" w:hAnsi="Verdana" w:cs="Arial"/>
          <w:sz w:val="24"/>
          <w:szCs w:val="24"/>
        </w:rPr>
      </w:pPr>
      <w:bookmarkStart w:id="57" w:name="_Toc180136832"/>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16</w:t>
      </w:r>
      <w:r w:rsidRPr="00B00FCB">
        <w:rPr>
          <w:rFonts w:ascii="Verdana" w:hAnsi="Verdana"/>
          <w:sz w:val="22"/>
          <w:szCs w:val="22"/>
        </w:rPr>
        <w:fldChar w:fldCharType="end"/>
      </w:r>
      <w:r w:rsidRPr="00B00FCB">
        <w:rPr>
          <w:rFonts w:ascii="Verdana" w:hAnsi="Verdana"/>
          <w:sz w:val="22"/>
          <w:szCs w:val="22"/>
        </w:rPr>
        <w:t>. Proceso selección abreviada de menor cuantía</w:t>
      </w:r>
      <w:bookmarkEnd w:id="57"/>
    </w:p>
    <w:p w14:paraId="5510AB87" w14:textId="0CAADF04" w:rsidR="009D773D" w:rsidRPr="00B00FCB" w:rsidRDefault="007814C2" w:rsidP="00656205">
      <w:pPr>
        <w:rPr>
          <w:rFonts w:ascii="Verdana" w:hAnsi="Verdana" w:cs="Arial"/>
          <w:sz w:val="22"/>
          <w:szCs w:val="22"/>
        </w:rPr>
      </w:pPr>
      <w:r w:rsidRPr="00B00FCB">
        <w:rPr>
          <w:noProof/>
        </w:rPr>
        <w:drawing>
          <wp:inline distT="0" distB="0" distL="0" distR="0" wp14:anchorId="2059F4F9" wp14:editId="29172AA0">
            <wp:extent cx="6120765" cy="1947554"/>
            <wp:effectExtent l="0" t="0" r="0" b="0"/>
            <wp:docPr id="50755007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181" cy="1948641"/>
                    </a:xfrm>
                    <a:prstGeom prst="rect">
                      <a:avLst/>
                    </a:prstGeom>
                    <a:noFill/>
                    <a:ln>
                      <a:noFill/>
                    </a:ln>
                  </pic:spPr>
                </pic:pic>
              </a:graphicData>
            </a:graphic>
          </wp:inline>
        </w:drawing>
      </w:r>
    </w:p>
    <w:p w14:paraId="63676181" w14:textId="26A4ECD4" w:rsidR="00656205" w:rsidRPr="00B00FCB" w:rsidRDefault="00493B28" w:rsidP="007814C2">
      <w:pPr>
        <w:jc w:val="center"/>
        <w:rPr>
          <w:rFonts w:ascii="Verdana" w:hAnsi="Verdana" w:cs="Arial"/>
          <w:sz w:val="16"/>
          <w:szCs w:val="16"/>
        </w:rPr>
      </w:pPr>
      <w:r w:rsidRPr="00B00FCB">
        <w:rPr>
          <w:rFonts w:ascii="Verdana" w:hAnsi="Verdana" w:cs="Arial"/>
          <w:sz w:val="16"/>
          <w:szCs w:val="16"/>
        </w:rPr>
        <w:t>Elaboración propia</w:t>
      </w:r>
    </w:p>
    <w:p w14:paraId="6C8551A7" w14:textId="77777777" w:rsidR="007814C2" w:rsidRPr="00B00FCB" w:rsidRDefault="007814C2" w:rsidP="007814C2">
      <w:pPr>
        <w:jc w:val="center"/>
        <w:rPr>
          <w:rFonts w:ascii="Verdana" w:hAnsi="Verdana" w:cs="Arial"/>
          <w:sz w:val="16"/>
          <w:szCs w:val="16"/>
        </w:rPr>
      </w:pPr>
    </w:p>
    <w:p w14:paraId="4A93A677" w14:textId="77777777" w:rsidR="00493B28" w:rsidRPr="00B00FCB" w:rsidRDefault="00493B28" w:rsidP="005C7E10">
      <w:pPr>
        <w:jc w:val="center"/>
        <w:rPr>
          <w:rFonts w:ascii="Verdana" w:hAnsi="Verdana" w:cs="Arial"/>
          <w:sz w:val="22"/>
          <w:szCs w:val="22"/>
        </w:rPr>
      </w:pPr>
    </w:p>
    <w:p w14:paraId="1014797E" w14:textId="77777777" w:rsidR="00656205" w:rsidRPr="00B00FCB" w:rsidRDefault="00656205" w:rsidP="00FE2C92">
      <w:pPr>
        <w:jc w:val="both"/>
        <w:rPr>
          <w:rFonts w:ascii="Verdana" w:hAnsi="Verdana" w:cs="Arial"/>
          <w:sz w:val="22"/>
          <w:szCs w:val="22"/>
        </w:rPr>
      </w:pPr>
      <w:r w:rsidRPr="00B00FCB">
        <w:rPr>
          <w:rFonts w:ascii="Verdana" w:hAnsi="Verdana" w:cs="Arial"/>
          <w:sz w:val="22"/>
          <w:szCs w:val="22"/>
        </w:rPr>
        <w:t>Como se puede ver, se disminuyeron las ponderaciones sobre los aspectos de oferta económica y se trasladaron a los factores de calidad, de manera que busque una relación más armónica entre calidad y precio.</w:t>
      </w:r>
    </w:p>
    <w:p w14:paraId="7C859243" w14:textId="77777777" w:rsidR="00656205" w:rsidRPr="00B00FCB" w:rsidRDefault="00656205" w:rsidP="00656205">
      <w:pPr>
        <w:rPr>
          <w:rFonts w:ascii="Verdana" w:hAnsi="Verdana" w:cs="Arial"/>
          <w:sz w:val="22"/>
          <w:szCs w:val="22"/>
        </w:rPr>
      </w:pPr>
    </w:p>
    <w:p w14:paraId="2B491D16" w14:textId="5A6656F9" w:rsidR="00656205" w:rsidRPr="00B00FCB" w:rsidRDefault="00656205" w:rsidP="00656205">
      <w:pPr>
        <w:jc w:val="both"/>
        <w:rPr>
          <w:rFonts w:ascii="Verdana" w:hAnsi="Verdana" w:cs="Arial"/>
          <w:sz w:val="22"/>
          <w:szCs w:val="22"/>
        </w:rPr>
      </w:pPr>
      <w:r w:rsidRPr="00B00FCB">
        <w:rPr>
          <w:rFonts w:ascii="Verdana" w:hAnsi="Verdana" w:cs="Arial"/>
          <w:sz w:val="22"/>
          <w:szCs w:val="22"/>
        </w:rPr>
        <w:t>Un análisis que se realizó sobre una pequeña muestra de procesos que se adelantaron a través de</w:t>
      </w:r>
      <w:r w:rsidR="762340F2" w:rsidRPr="00B00FCB">
        <w:rPr>
          <w:rFonts w:ascii="Verdana" w:hAnsi="Verdana" w:cs="Arial"/>
          <w:sz w:val="22"/>
          <w:szCs w:val="22"/>
        </w:rPr>
        <w:t>l</w:t>
      </w:r>
      <w:r w:rsidRPr="00B00FCB">
        <w:rPr>
          <w:rFonts w:ascii="Verdana" w:hAnsi="Verdana" w:cs="Arial"/>
          <w:sz w:val="22"/>
          <w:szCs w:val="22"/>
        </w:rPr>
        <w:t xml:space="preserve"> S</w:t>
      </w:r>
      <w:r w:rsidR="22FE8115" w:rsidRPr="00B00FCB">
        <w:rPr>
          <w:rFonts w:ascii="Verdana" w:hAnsi="Verdana" w:cs="Arial"/>
          <w:sz w:val="22"/>
          <w:szCs w:val="22"/>
        </w:rPr>
        <w:t>ECOP</w:t>
      </w:r>
      <w:r w:rsidRPr="00B00FCB">
        <w:rPr>
          <w:rFonts w:ascii="Verdana" w:hAnsi="Verdana" w:cs="Arial"/>
          <w:sz w:val="22"/>
          <w:szCs w:val="22"/>
        </w:rPr>
        <w:t xml:space="preserve"> I y II, mostró como fue el comportamiento de estos criterios en un </w:t>
      </w:r>
      <w:r w:rsidRPr="00B00FCB">
        <w:rPr>
          <w:rFonts w:ascii="Verdana" w:hAnsi="Verdana" w:cs="Arial"/>
          <w:sz w:val="22"/>
          <w:szCs w:val="22"/>
        </w:rPr>
        <w:lastRenderedPageBreak/>
        <w:t>segmento de procesos de construcción, mantenimiento de vías primarias, secundarias y terciarias, puentes y vías urbanas, con diferentes valores de presupuesto. Allí se encontró que los criterios de calidad que más se aplican, son los correspondientes a Condiciones funcionales de la maquinaria, seguido de la implementación de un plan de calidad y sobre estos procesos se encontró que las entidades solicitan la aplicación principalmente y de manera simultánea de estos dos factores, tal como se puede apreciar en las gráficas que se muestran a continuación, lo que evidencia la posibilidad de eliminar el factor de Implementación de un programa de Gerencia de Proyectos:</w:t>
      </w:r>
    </w:p>
    <w:p w14:paraId="386B57C8" w14:textId="77777777" w:rsidR="009B496D" w:rsidRPr="00B00FCB" w:rsidRDefault="009B496D" w:rsidP="00656205">
      <w:pPr>
        <w:jc w:val="both"/>
        <w:rPr>
          <w:rFonts w:ascii="Verdana" w:hAnsi="Verdana" w:cs="Arial"/>
          <w:sz w:val="22"/>
          <w:szCs w:val="22"/>
        </w:rPr>
      </w:pPr>
    </w:p>
    <w:p w14:paraId="2FF3C47F" w14:textId="77777777" w:rsidR="009B496D" w:rsidRPr="00B00FCB" w:rsidRDefault="009B496D" w:rsidP="009B496D">
      <w:pPr>
        <w:pStyle w:val="Prrafodelista"/>
        <w:spacing w:after="0"/>
        <w:ind w:left="426"/>
        <w:rPr>
          <w:rFonts w:ascii="Verdana" w:hAnsi="Verdana" w:cs="Arial"/>
          <w:lang w:val="es-MX"/>
        </w:rPr>
      </w:pPr>
    </w:p>
    <w:p w14:paraId="2EED9B80" w14:textId="177DCCFB" w:rsidR="00656205" w:rsidRPr="00B00FCB" w:rsidRDefault="0075540D" w:rsidP="0075540D">
      <w:pPr>
        <w:jc w:val="center"/>
        <w:rPr>
          <w:rFonts w:ascii="Verdana" w:hAnsi="Verdana" w:cs="Arial"/>
          <w:b/>
          <w:sz w:val="22"/>
          <w:szCs w:val="22"/>
        </w:rPr>
      </w:pPr>
      <w:bookmarkStart w:id="58" w:name="_Toc180136806"/>
      <w:r w:rsidRPr="00B00FCB">
        <w:rPr>
          <w:rFonts w:ascii="Verdana" w:eastAsia="Calibri" w:hAnsi="Verdana"/>
          <w:b/>
          <w:sz w:val="22"/>
          <w:szCs w:val="22"/>
          <w:lang w:val="es-ES" w:eastAsia="en-US"/>
        </w:rPr>
        <w:t xml:space="preserve">Gráfica </w:t>
      </w:r>
      <w:r w:rsidRPr="00B00FCB">
        <w:rPr>
          <w:rFonts w:ascii="Verdana" w:eastAsia="Calibri" w:hAnsi="Verdana"/>
          <w:b/>
          <w:sz w:val="22"/>
          <w:szCs w:val="22"/>
          <w:lang w:val="es-ES" w:eastAsia="en-US"/>
        </w:rPr>
        <w:fldChar w:fldCharType="begin"/>
      </w:r>
      <w:r w:rsidRPr="00B00FCB">
        <w:rPr>
          <w:rFonts w:ascii="Verdana" w:eastAsia="Calibri" w:hAnsi="Verdana"/>
          <w:b/>
          <w:sz w:val="22"/>
          <w:szCs w:val="22"/>
          <w:lang w:val="es-ES" w:eastAsia="en-US"/>
        </w:rPr>
        <w:instrText xml:space="preserve"> SEQ Gráfica \* ARABIC </w:instrText>
      </w:r>
      <w:r w:rsidRPr="00B00FCB">
        <w:rPr>
          <w:rFonts w:ascii="Verdana" w:eastAsia="Calibri" w:hAnsi="Verdana"/>
          <w:b/>
          <w:sz w:val="22"/>
          <w:szCs w:val="22"/>
          <w:lang w:val="es-ES" w:eastAsia="en-US"/>
        </w:rPr>
        <w:fldChar w:fldCharType="separate"/>
      </w:r>
      <w:r w:rsidR="00BC476F" w:rsidRPr="00B00FCB">
        <w:rPr>
          <w:rFonts w:ascii="Verdana" w:eastAsia="Calibri" w:hAnsi="Verdana"/>
          <w:b/>
          <w:sz w:val="22"/>
          <w:szCs w:val="22"/>
          <w:lang w:val="es-ES" w:eastAsia="en-US"/>
        </w:rPr>
        <w:t>40</w:t>
      </w:r>
      <w:r w:rsidRPr="00B00FCB">
        <w:rPr>
          <w:rFonts w:ascii="Verdana" w:eastAsia="Calibri" w:hAnsi="Verdana"/>
          <w:b/>
          <w:sz w:val="22"/>
          <w:szCs w:val="22"/>
          <w:lang w:val="es-ES" w:eastAsia="en-US"/>
        </w:rPr>
        <w:fldChar w:fldCharType="end"/>
      </w:r>
      <w:r w:rsidRPr="00B00FCB">
        <w:rPr>
          <w:rFonts w:ascii="Verdana" w:eastAsia="Calibri" w:hAnsi="Verdana"/>
          <w:b/>
          <w:sz w:val="22"/>
          <w:szCs w:val="22"/>
          <w:lang w:val="es-ES" w:eastAsia="en-US"/>
        </w:rPr>
        <w:t>. Factores de Calidad</w:t>
      </w:r>
      <w:r w:rsidR="00301BBE" w:rsidRPr="00B00FCB">
        <w:rPr>
          <w:rFonts w:ascii="Verdana" w:eastAsia="Calibri" w:hAnsi="Verdana" w:cs="Arial"/>
          <w:noProof/>
          <w:sz w:val="20"/>
          <w:szCs w:val="20"/>
          <w:lang w:val="es-ES" w:eastAsia="en-US"/>
        </w:rPr>
        <mc:AlternateContent>
          <mc:Choice Requires="wpg">
            <w:drawing>
              <wp:anchor distT="0" distB="0" distL="114300" distR="114300" simplePos="0" relativeHeight="251658240" behindDoc="0" locked="0" layoutInCell="1" allowOverlap="1" wp14:anchorId="4A4D6B07" wp14:editId="1D46C012">
                <wp:simplePos x="0" y="0"/>
                <wp:positionH relativeFrom="column">
                  <wp:posOffset>-2738</wp:posOffset>
                </wp:positionH>
                <wp:positionV relativeFrom="paragraph">
                  <wp:posOffset>353274</wp:posOffset>
                </wp:positionV>
                <wp:extent cx="6072670" cy="1727200"/>
                <wp:effectExtent l="0" t="0" r="4445" b="6350"/>
                <wp:wrapSquare wrapText="bothSides"/>
                <wp:docPr id="1744192429" name="Grupo 2"/>
                <wp:cNvGraphicFramePr/>
                <a:graphic xmlns:a="http://schemas.openxmlformats.org/drawingml/2006/main">
                  <a:graphicData uri="http://schemas.microsoft.com/office/word/2010/wordprocessingGroup">
                    <wpg:wgp>
                      <wpg:cNvGrpSpPr/>
                      <wpg:grpSpPr>
                        <a:xfrm>
                          <a:off x="0" y="0"/>
                          <a:ext cx="6072670" cy="1727200"/>
                          <a:chOff x="0" y="0"/>
                          <a:chExt cx="6072670" cy="1727200"/>
                        </a:xfrm>
                      </wpg:grpSpPr>
                      <pic:pic xmlns:pic="http://schemas.openxmlformats.org/drawingml/2006/picture">
                        <pic:nvPicPr>
                          <pic:cNvPr id="656473801" name="Imagen 1"/>
                          <pic:cNvPicPr>
                            <a:picLocks noChangeAspect="1"/>
                          </pic:cNvPicPr>
                        </pic:nvPicPr>
                        <pic:blipFill>
                          <a:blip r:embed="rId82"/>
                          <a:stretch>
                            <a:fillRect/>
                          </a:stretch>
                        </pic:blipFill>
                        <pic:spPr>
                          <a:xfrm>
                            <a:off x="0" y="0"/>
                            <a:ext cx="2874010" cy="1727200"/>
                          </a:xfrm>
                          <a:prstGeom prst="rect">
                            <a:avLst/>
                          </a:prstGeom>
                        </pic:spPr>
                      </pic:pic>
                      <pic:pic xmlns:pic="http://schemas.openxmlformats.org/drawingml/2006/picture">
                        <pic:nvPicPr>
                          <pic:cNvPr id="1991328625" name="Imagen 1"/>
                          <pic:cNvPicPr>
                            <a:picLocks noChangeAspect="1"/>
                          </pic:cNvPicPr>
                        </pic:nvPicPr>
                        <pic:blipFill>
                          <a:blip r:embed="rId83"/>
                          <a:stretch>
                            <a:fillRect/>
                          </a:stretch>
                        </pic:blipFill>
                        <pic:spPr>
                          <a:xfrm>
                            <a:off x="3289465" y="0"/>
                            <a:ext cx="2783205" cy="1722755"/>
                          </a:xfrm>
                          <a:prstGeom prst="rect">
                            <a:avLst/>
                          </a:prstGeom>
                        </pic:spPr>
                      </pic:pic>
                    </wpg:wgp>
                  </a:graphicData>
                </a:graphic>
              </wp:anchor>
            </w:drawing>
          </mc:Choice>
          <mc:Fallback xmlns:arto="http://schemas.microsoft.com/office/word/2006/arto" xmlns:ask="http://schemas.microsoft.com/office/drawing/2018/sketchyshapes"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425973F3">
              <v:group id="Grupo 2" style="position:absolute;margin-left:-.2pt;margin-top:27.8pt;width:478.15pt;height:136pt;z-index:251658241" coordsize="60726,17272" o:spid="_x0000_s1026" w14:anchorId="097D7EC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">
                <v:shape id="Imagen 1" style="position:absolute;width:28740;height:1727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">
                  <v:imagedata o:title="" r:id="rId88"/>
                </v:shape>
                <v:shape id="Imagen 1" style="position:absolute;left:32894;width:27832;height:1722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">
                  <v:imagedata o:title="" r:id="rId89"/>
                </v:shape>
                <w10:wrap type="square"/>
              </v:group>
            </w:pict>
          </mc:Fallback>
        </mc:AlternateContent>
      </w:r>
      <w:bookmarkEnd w:id="58"/>
    </w:p>
    <w:p w14:paraId="763FC1DE" w14:textId="0736669B" w:rsidR="00493B28" w:rsidRPr="00B00FCB" w:rsidRDefault="00656205" w:rsidP="00656205">
      <w:pPr>
        <w:jc w:val="center"/>
        <w:rPr>
          <w:rFonts w:ascii="Verdana" w:hAnsi="Verdana" w:cs="Arial"/>
          <w:sz w:val="16"/>
          <w:szCs w:val="16"/>
        </w:rPr>
      </w:pPr>
      <w:r w:rsidRPr="00B00FCB">
        <w:rPr>
          <w:rFonts w:ascii="Verdana" w:hAnsi="Verdana" w:cs="Arial"/>
          <w:sz w:val="22"/>
          <w:szCs w:val="22"/>
        </w:rPr>
        <w:t xml:space="preserve">      </w:t>
      </w:r>
    </w:p>
    <w:p w14:paraId="30BB2DEA" w14:textId="77777777" w:rsidR="00493B28" w:rsidRPr="00B00FCB" w:rsidRDefault="00493B28" w:rsidP="00656205">
      <w:pPr>
        <w:jc w:val="center"/>
        <w:rPr>
          <w:rFonts w:ascii="Verdana" w:hAnsi="Verdana" w:cs="Arial"/>
          <w:b/>
          <w:bCs/>
          <w:sz w:val="22"/>
          <w:szCs w:val="22"/>
        </w:rPr>
      </w:pPr>
    </w:p>
    <w:p w14:paraId="2820572E" w14:textId="15B7272D" w:rsidR="00F80EC6" w:rsidRPr="00B00FCB" w:rsidRDefault="00F80EC6" w:rsidP="00656205">
      <w:pPr>
        <w:jc w:val="center"/>
        <w:rPr>
          <w:rFonts w:ascii="Verdana" w:hAnsi="Verdana" w:cs="Arial"/>
          <w:b/>
          <w:bCs/>
          <w:sz w:val="22"/>
          <w:szCs w:val="22"/>
        </w:rPr>
      </w:pPr>
      <w:r w:rsidRPr="00B00FCB">
        <w:rPr>
          <w:rFonts w:ascii="Verdana" w:hAnsi="Verdana" w:cs="Arial"/>
          <w:sz w:val="16"/>
          <w:szCs w:val="16"/>
        </w:rPr>
        <w:t>Elaboración propia</w:t>
      </w:r>
    </w:p>
    <w:p w14:paraId="3C09143A" w14:textId="77777777" w:rsidR="00F80EC6" w:rsidRPr="00B00FCB" w:rsidRDefault="00F80EC6" w:rsidP="00656205">
      <w:pPr>
        <w:jc w:val="center"/>
        <w:rPr>
          <w:rFonts w:ascii="Verdana" w:hAnsi="Verdana" w:cs="Arial"/>
          <w:b/>
          <w:sz w:val="22"/>
          <w:szCs w:val="22"/>
        </w:rPr>
      </w:pPr>
    </w:p>
    <w:p w14:paraId="57F24814" w14:textId="77777777" w:rsidR="00F80EC6" w:rsidRPr="00B00FCB" w:rsidRDefault="00F80EC6" w:rsidP="00656205">
      <w:pPr>
        <w:jc w:val="center"/>
        <w:rPr>
          <w:rFonts w:ascii="Verdana" w:hAnsi="Verdana" w:cs="Arial"/>
          <w:b/>
          <w:sz w:val="22"/>
          <w:szCs w:val="22"/>
        </w:rPr>
      </w:pPr>
    </w:p>
    <w:p w14:paraId="340E3986" w14:textId="08BDD923" w:rsidR="00656205" w:rsidRPr="00B00FCB" w:rsidRDefault="00656205" w:rsidP="00656205">
      <w:pPr>
        <w:jc w:val="center"/>
        <w:rPr>
          <w:rFonts w:ascii="Verdana" w:hAnsi="Verdana" w:cs="Arial"/>
          <w:b/>
          <w:sz w:val="22"/>
          <w:szCs w:val="22"/>
        </w:rPr>
      </w:pPr>
      <w:r w:rsidRPr="00B00FCB">
        <w:rPr>
          <w:rFonts w:ascii="Verdana" w:hAnsi="Verdana" w:cs="Arial"/>
          <w:b/>
          <w:sz w:val="22"/>
          <w:szCs w:val="22"/>
        </w:rPr>
        <w:t>Modificación de Factores de Calidad: Incorporación de criterios ambientales y sociales en los procesos de contratación.</w:t>
      </w:r>
    </w:p>
    <w:p w14:paraId="20C19044"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 </w:t>
      </w:r>
    </w:p>
    <w:p w14:paraId="1ABC8792"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Introducir estos criterios en la </w:t>
      </w:r>
      <w:r w:rsidR="28FC9ED6" w:rsidRPr="00B00FCB">
        <w:rPr>
          <w:rFonts w:ascii="Verdana" w:hAnsi="Verdana" w:cs="Arial"/>
          <w:sz w:val="22"/>
          <w:szCs w:val="22"/>
        </w:rPr>
        <w:t>contratación</w:t>
      </w:r>
      <w:r w:rsidRPr="00B00FCB">
        <w:rPr>
          <w:rFonts w:ascii="Verdana" w:hAnsi="Verdana" w:cs="Arial"/>
          <w:sz w:val="22"/>
          <w:szCs w:val="22"/>
        </w:rPr>
        <w:t xml:space="preserve"> pública colombiana nace de la preocupación del Gobierno Nacional y Organismos Internacionales sobre abordar mecanismos de mitigación del cambio climático, en donde es  importante considerar los “Objetivos de Desarrollo Sostenible”, planteados por la ONU, en los que se incluye el 12 que busca “Garantizar modalidades de Consumo y producción sostenibles” que destaca la importancia del desarrollo sostenible “(...) Para reducir nuestros niveles de consumo, debemos cambiar nuestros hábitos de consumo, y una de las principales medidas que debemos adoptar es sustituir los sistemas de suministro energético por otros más sostenibles. (...)”</w:t>
      </w:r>
    </w:p>
    <w:p w14:paraId="6821D366" w14:textId="77777777" w:rsidR="00656205" w:rsidRPr="00C46ACD" w:rsidRDefault="00656205" w:rsidP="00656205">
      <w:pPr>
        <w:jc w:val="both"/>
        <w:rPr>
          <w:rFonts w:ascii="Verdana" w:hAnsi="Verdana" w:cs="Arial"/>
          <w:sz w:val="22"/>
          <w:szCs w:val="22"/>
          <w:highlight w:val="yellow"/>
        </w:rPr>
      </w:pPr>
    </w:p>
    <w:p w14:paraId="4DA9B552"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lastRenderedPageBreak/>
        <w:t xml:space="preserve">Esta determinación conlleva a incorporar unos nuevos criterios en los factores de calidad, que se hace conforme a los principios de selección objetiva y a la determinación del ofrecimiento más favorable, establecido en el artículo 5 de la Ley 1150 de 2007, reglamentado por el artículo 2.2.1.1.2.2.2 del Decreto 1082 de 2015, en las cuales se establece que en los procesos de selección deben evaluarse, fuera de los requisitos habilitantes, los factores de calificación, valoración o evaluación. Los cuales pueden ponderarse mediante la asignación de puntaje, por lo que la norma se refiere a factores que no otorgan puntaje para diferenciar los requisitos habilitantes de los mencionados factores de calificación. Lo anterior, bajo el entendido que son estos últimos los que determinan la oferta más favorable para la entidad y la que en consecuencia debe elegirse. </w:t>
      </w:r>
    </w:p>
    <w:p w14:paraId="4ADD1B73" w14:textId="77777777" w:rsidR="00656205" w:rsidRPr="00B00FCB" w:rsidRDefault="00656205" w:rsidP="00656205">
      <w:pPr>
        <w:jc w:val="both"/>
        <w:rPr>
          <w:rFonts w:ascii="Verdana" w:hAnsi="Verdana" w:cs="Arial"/>
          <w:sz w:val="22"/>
          <w:szCs w:val="22"/>
        </w:rPr>
      </w:pPr>
    </w:p>
    <w:p w14:paraId="696F8D39" w14:textId="1462D645" w:rsidR="00FE440C" w:rsidRPr="00B00FCB" w:rsidRDefault="00656205" w:rsidP="00656205">
      <w:pPr>
        <w:jc w:val="both"/>
        <w:rPr>
          <w:rFonts w:ascii="Verdana" w:hAnsi="Verdana" w:cs="Arial"/>
          <w:sz w:val="22"/>
          <w:szCs w:val="22"/>
        </w:rPr>
      </w:pPr>
      <w:r w:rsidRPr="00B00FCB">
        <w:rPr>
          <w:rFonts w:ascii="Verdana" w:hAnsi="Verdana" w:cs="Arial"/>
          <w:sz w:val="22"/>
          <w:szCs w:val="22"/>
        </w:rPr>
        <w:t>Actualmente</w:t>
      </w:r>
      <w:r w:rsidR="0DB33249" w:rsidRPr="00B00FCB">
        <w:rPr>
          <w:rFonts w:ascii="Verdana" w:hAnsi="Verdana" w:cs="Arial"/>
          <w:sz w:val="22"/>
          <w:szCs w:val="22"/>
        </w:rPr>
        <w:t>,</w:t>
      </w:r>
      <w:r w:rsidRPr="00B00FCB">
        <w:rPr>
          <w:rFonts w:ascii="Verdana" w:hAnsi="Verdana" w:cs="Arial"/>
          <w:sz w:val="22"/>
          <w:szCs w:val="22"/>
        </w:rPr>
        <w:t xml:space="preserve"> los Documentos Tipo de Infraestructura </w:t>
      </w:r>
      <w:r w:rsidR="00976CDB" w:rsidRPr="00B00FCB">
        <w:rPr>
          <w:rFonts w:ascii="Verdana" w:hAnsi="Verdana" w:cs="Arial"/>
          <w:sz w:val="22"/>
          <w:szCs w:val="22"/>
        </w:rPr>
        <w:t>Social</w:t>
      </w:r>
      <w:r w:rsidRPr="00B00FCB">
        <w:rPr>
          <w:rFonts w:ascii="Verdana" w:hAnsi="Verdana" w:cs="Arial"/>
          <w:sz w:val="22"/>
          <w:szCs w:val="22"/>
        </w:rPr>
        <w:t xml:space="preserve"> que se encuentran vigentes establecen como factores de calidad, con una asignación de 1</w:t>
      </w:r>
      <w:r w:rsidR="007F01BE" w:rsidRPr="00B00FCB">
        <w:rPr>
          <w:rFonts w:ascii="Verdana" w:hAnsi="Verdana" w:cs="Arial"/>
          <w:sz w:val="22"/>
          <w:szCs w:val="22"/>
        </w:rPr>
        <w:t>0</w:t>
      </w:r>
      <w:r w:rsidRPr="00B00FCB">
        <w:rPr>
          <w:rFonts w:ascii="Verdana" w:hAnsi="Verdana" w:cs="Arial"/>
          <w:sz w:val="22"/>
          <w:szCs w:val="22"/>
        </w:rPr>
        <w:t xml:space="preserve"> puntos al oferente que manifieste su intención de obtener el puntaje por este aspecto, para las siguientes consideraciones: a) Condiciones funcionales de la maquinaria, b) Plan de Calidad y c) Programa de Gerencia de Proyectos, como se muestra en la siguiente </w:t>
      </w:r>
      <w:r w:rsidR="004D3E82" w:rsidRPr="00B00FCB">
        <w:rPr>
          <w:rFonts w:ascii="Verdana" w:hAnsi="Verdana" w:cs="Arial"/>
          <w:sz w:val="22"/>
          <w:szCs w:val="22"/>
        </w:rPr>
        <w:t>tabla</w:t>
      </w:r>
      <w:r w:rsidRPr="00B00FCB">
        <w:rPr>
          <w:rFonts w:ascii="Verdana" w:hAnsi="Verdana" w:cs="Arial"/>
          <w:sz w:val="22"/>
          <w:szCs w:val="22"/>
        </w:rPr>
        <w:t>:</w:t>
      </w:r>
    </w:p>
    <w:p w14:paraId="3480883D" w14:textId="77777777" w:rsidR="00FE440C" w:rsidRPr="00C46ACD" w:rsidRDefault="00FE440C" w:rsidP="00656205">
      <w:pPr>
        <w:jc w:val="both"/>
        <w:rPr>
          <w:rFonts w:ascii="Verdana" w:hAnsi="Verdana" w:cs="Arial"/>
          <w:sz w:val="22"/>
          <w:szCs w:val="22"/>
          <w:highlight w:val="yellow"/>
        </w:rPr>
      </w:pPr>
    </w:p>
    <w:p w14:paraId="1F72D855" w14:textId="1DF0A898" w:rsidR="00656205" w:rsidRPr="00B00FCB" w:rsidRDefault="00656205" w:rsidP="00656205">
      <w:pPr>
        <w:jc w:val="both"/>
        <w:rPr>
          <w:rFonts w:ascii="Verdana" w:hAnsi="Verdana" w:cs="Arial"/>
          <w:sz w:val="22"/>
          <w:szCs w:val="22"/>
        </w:rPr>
      </w:pPr>
      <w:r w:rsidRPr="00C46ACD">
        <w:rPr>
          <w:rFonts w:ascii="Verdana" w:hAnsi="Verdana" w:cs="Arial"/>
          <w:sz w:val="22"/>
          <w:szCs w:val="22"/>
          <w:highlight w:val="yellow"/>
        </w:rPr>
        <w:t xml:space="preserve"> </w:t>
      </w:r>
    </w:p>
    <w:p w14:paraId="1EA2D68D" w14:textId="77777777" w:rsidR="00526F87" w:rsidRPr="00B00FCB" w:rsidRDefault="004D3E82" w:rsidP="005C7E10">
      <w:pPr>
        <w:pStyle w:val="Descripcin"/>
        <w:jc w:val="center"/>
        <w:rPr>
          <w:rFonts w:ascii="Verdana" w:hAnsi="Verdana" w:cs="Arial"/>
          <w:sz w:val="22"/>
          <w:szCs w:val="22"/>
        </w:rPr>
      </w:pPr>
      <w:bookmarkStart w:id="59" w:name="_Toc180136833"/>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sz w:val="22"/>
          <w:szCs w:val="22"/>
        </w:rPr>
        <w:t>17</w:t>
      </w:r>
      <w:r w:rsidRPr="00B00FCB">
        <w:rPr>
          <w:rFonts w:ascii="Verdana" w:hAnsi="Verdana"/>
          <w:sz w:val="22"/>
          <w:szCs w:val="22"/>
        </w:rPr>
        <w:fldChar w:fldCharType="end"/>
      </w:r>
      <w:r w:rsidRPr="00B00FCB">
        <w:rPr>
          <w:rFonts w:ascii="Verdana" w:hAnsi="Verdana"/>
          <w:sz w:val="22"/>
          <w:szCs w:val="22"/>
        </w:rPr>
        <w:t>. Factores de calidad actuales</w:t>
      </w:r>
      <w:r w:rsidRPr="00B00FCB">
        <w:rPr>
          <w:rFonts w:ascii="Verdana" w:hAnsi="Verdana" w:cs="Arial"/>
          <w:sz w:val="22"/>
          <w:szCs w:val="22"/>
        </w:rPr>
        <w:t xml:space="preserve"> </w:t>
      </w:r>
    </w:p>
    <w:tbl>
      <w:tblPr>
        <w:tblW w:w="959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80"/>
        <w:gridCol w:w="1134"/>
        <w:gridCol w:w="3379"/>
      </w:tblGrid>
      <w:tr w:rsidR="000F4FD6" w:rsidRPr="000F4FD6" w14:paraId="0503CCB2" w14:textId="77777777" w:rsidTr="00B00FCB">
        <w:trPr>
          <w:trHeight w:val="300"/>
        </w:trPr>
        <w:tc>
          <w:tcPr>
            <w:tcW w:w="5080" w:type="dxa"/>
            <w:tcBorders>
              <w:top w:val="double" w:sz="6" w:space="0" w:color="auto"/>
              <w:left w:val="double" w:sz="6" w:space="0" w:color="auto"/>
              <w:bottom w:val="single" w:sz="6" w:space="0" w:color="auto"/>
              <w:right w:val="single" w:sz="6" w:space="0" w:color="auto"/>
            </w:tcBorders>
            <w:shd w:val="clear" w:color="auto" w:fill="404040"/>
            <w:vAlign w:val="center"/>
            <w:hideMark/>
          </w:tcPr>
          <w:p w14:paraId="4C4E75D6" w14:textId="0E30D69B" w:rsidR="00526F87" w:rsidRPr="00B00FCB" w:rsidRDefault="00526F87" w:rsidP="00B00FCB">
            <w:pPr>
              <w:pStyle w:val="Descripcin"/>
              <w:jc w:val="center"/>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Concepto</w:t>
            </w:r>
          </w:p>
        </w:tc>
        <w:tc>
          <w:tcPr>
            <w:tcW w:w="1134" w:type="dxa"/>
            <w:tcBorders>
              <w:top w:val="double" w:sz="6" w:space="0" w:color="auto"/>
              <w:left w:val="single" w:sz="6" w:space="0" w:color="auto"/>
              <w:bottom w:val="single" w:sz="6" w:space="0" w:color="auto"/>
              <w:right w:val="double" w:sz="6" w:space="0" w:color="auto"/>
            </w:tcBorders>
            <w:shd w:val="clear" w:color="auto" w:fill="404040"/>
            <w:vAlign w:val="center"/>
            <w:hideMark/>
          </w:tcPr>
          <w:p w14:paraId="790B6DEE" w14:textId="02A5AF4F" w:rsidR="00526F87" w:rsidRPr="00B00FCB" w:rsidRDefault="00526F87" w:rsidP="00B00FCB">
            <w:pPr>
              <w:pStyle w:val="Descripcin"/>
              <w:jc w:val="center"/>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Puntaje</w:t>
            </w:r>
          </w:p>
        </w:tc>
        <w:tc>
          <w:tcPr>
            <w:tcW w:w="3379" w:type="dxa"/>
            <w:tcBorders>
              <w:top w:val="double" w:sz="6" w:space="0" w:color="auto"/>
              <w:left w:val="single" w:sz="6" w:space="0" w:color="auto"/>
              <w:bottom w:val="single" w:sz="6" w:space="0" w:color="auto"/>
              <w:right w:val="double" w:sz="6" w:space="0" w:color="auto"/>
            </w:tcBorders>
            <w:shd w:val="clear" w:color="auto" w:fill="404040"/>
          </w:tcPr>
          <w:p w14:paraId="55ABD9AF" w14:textId="2842331F" w:rsidR="00526F87" w:rsidRPr="00B00FCB" w:rsidRDefault="00EC7717" w:rsidP="00B00FCB">
            <w:pPr>
              <w:pStyle w:val="Descripcin"/>
              <w:jc w:val="center"/>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Observaciones</w:t>
            </w:r>
          </w:p>
        </w:tc>
      </w:tr>
      <w:tr w:rsidR="000F4FD6" w:rsidRPr="000F4FD6" w14:paraId="63E13D26" w14:textId="77777777" w:rsidTr="00B00FCB">
        <w:trPr>
          <w:trHeight w:val="300"/>
        </w:trPr>
        <w:tc>
          <w:tcPr>
            <w:tcW w:w="5080"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DCD0D2E" w14:textId="77777777" w:rsidR="00526F87" w:rsidRPr="00B00FCB" w:rsidRDefault="00526F87"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[La Entidad debe elegir una o algunas de las siguientes opciones, de acuerdo con la justificación consignada en el estudio del sector, estudios y documentos previos: </w:t>
            </w:r>
          </w:p>
          <w:p w14:paraId="3E7F8F4D" w14:textId="77777777" w:rsidR="00526F87" w:rsidRPr="00B00FCB" w:rsidRDefault="00526F87"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(i) implementación del programa de gerencia de proyectos;  </w:t>
            </w:r>
          </w:p>
          <w:p w14:paraId="3EA964E6" w14:textId="77777777" w:rsidR="00526F87" w:rsidRPr="00B00FCB" w:rsidRDefault="00526F87"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(ii) disponibilidad y condiciones funcionales de la maquinaria de obra;  </w:t>
            </w:r>
          </w:p>
          <w:p w14:paraId="1E329F99" w14:textId="0FD5DD15" w:rsidR="00526F87" w:rsidRPr="00B00FCB" w:rsidRDefault="00526F87"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(iii) presentación de un plan de calidad</w:t>
            </w:r>
            <w:r w:rsidR="0037179E" w:rsidRPr="00B00FCB">
              <w:rPr>
                <w:rFonts w:ascii="Verdana" w:eastAsia="Times New Roman" w:hAnsi="Verdana" w:cs="Arial"/>
                <w:b w:val="0"/>
                <w:bCs w:val="0"/>
                <w:sz w:val="18"/>
                <w:szCs w:val="18"/>
                <w:lang w:val="es-CO" w:eastAsia="es-MX"/>
              </w:rPr>
              <w:t>.</w:t>
            </w:r>
          </w:p>
        </w:tc>
        <w:tc>
          <w:tcPr>
            <w:tcW w:w="1134"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17217A04" w14:textId="784B9FDD" w:rsidR="00526F87" w:rsidRPr="00B00FCB" w:rsidRDefault="00526F87" w:rsidP="00B00FCB">
            <w:pPr>
              <w:pStyle w:val="Descripcin"/>
              <w:jc w:val="center"/>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10</w:t>
            </w:r>
          </w:p>
        </w:tc>
        <w:tc>
          <w:tcPr>
            <w:tcW w:w="3379" w:type="dxa"/>
            <w:tcBorders>
              <w:top w:val="single" w:sz="6" w:space="0" w:color="auto"/>
              <w:left w:val="single" w:sz="6" w:space="0" w:color="auto"/>
              <w:bottom w:val="single" w:sz="6" w:space="0" w:color="auto"/>
              <w:right w:val="double" w:sz="6" w:space="0" w:color="auto"/>
            </w:tcBorders>
          </w:tcPr>
          <w:p w14:paraId="06838CC5" w14:textId="3B4A95CA" w:rsidR="00526F87" w:rsidRPr="00B00FCB" w:rsidRDefault="0037179E" w:rsidP="00B00FCB">
            <w:pPr>
              <w:pStyle w:val="Descripcin"/>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Las entidades optan por una o varias de las opciones dispuestas dentro del documento base del sector social</w:t>
            </w:r>
          </w:p>
        </w:tc>
      </w:tr>
      <w:tr w:rsidR="00521470" w:rsidRPr="00521470" w14:paraId="0369E3C7" w14:textId="77777777" w:rsidTr="00B00FCB">
        <w:trPr>
          <w:trHeight w:val="300"/>
        </w:trPr>
        <w:tc>
          <w:tcPr>
            <w:tcW w:w="5080" w:type="dxa"/>
            <w:tcBorders>
              <w:top w:val="single" w:sz="6" w:space="0" w:color="auto"/>
              <w:left w:val="double" w:sz="6" w:space="0" w:color="auto"/>
              <w:bottom w:val="single" w:sz="6" w:space="0" w:color="auto"/>
              <w:right w:val="single" w:sz="6" w:space="0" w:color="auto"/>
            </w:tcBorders>
            <w:shd w:val="clear" w:color="auto" w:fill="auto"/>
            <w:vAlign w:val="center"/>
          </w:tcPr>
          <w:p w14:paraId="4A6971E6" w14:textId="77777777" w:rsidR="000F4FD6" w:rsidRPr="00B00FCB" w:rsidRDefault="00626041"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La Entidad incluirá siempre estos criterios, de acuerdo con el numeral 4.2.4</w:t>
            </w:r>
          </w:p>
          <w:p w14:paraId="274ABDE3" w14:textId="1E7D3BE5" w:rsidR="00521470" w:rsidRPr="00B00FCB" w:rsidRDefault="00626041"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 </w:t>
            </w:r>
            <w:r w:rsidR="000F4FD6" w:rsidRPr="00B00FCB">
              <w:rPr>
                <w:rFonts w:ascii="Verdana" w:eastAsia="Times New Roman" w:hAnsi="Verdana" w:cs="Arial"/>
                <w:b w:val="0"/>
                <w:bCs w:val="0"/>
                <w:sz w:val="18"/>
                <w:szCs w:val="18"/>
                <w:lang w:val="es-CO" w:eastAsia="es-MX"/>
              </w:rPr>
              <w:t xml:space="preserve">(ii) Factores de sostenibilidad técnico ambiental agregado   </w:t>
            </w:r>
          </w:p>
        </w:tc>
        <w:tc>
          <w:tcPr>
            <w:tcW w:w="1134" w:type="dxa"/>
            <w:tcBorders>
              <w:top w:val="single" w:sz="6" w:space="0" w:color="auto"/>
              <w:left w:val="single" w:sz="6" w:space="0" w:color="auto"/>
              <w:bottom w:val="single" w:sz="6" w:space="0" w:color="auto"/>
              <w:right w:val="double" w:sz="6" w:space="0" w:color="auto"/>
            </w:tcBorders>
            <w:shd w:val="clear" w:color="auto" w:fill="auto"/>
            <w:vAlign w:val="center"/>
          </w:tcPr>
          <w:p w14:paraId="796386DA" w14:textId="75B6F0A6" w:rsidR="00521470" w:rsidRPr="00B00FCB" w:rsidRDefault="000F4FD6" w:rsidP="00B00FCB">
            <w:pPr>
              <w:pStyle w:val="Descripcin"/>
              <w:spacing w:after="0"/>
              <w:jc w:val="center"/>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9</w:t>
            </w:r>
          </w:p>
        </w:tc>
        <w:tc>
          <w:tcPr>
            <w:tcW w:w="3379" w:type="dxa"/>
            <w:tcBorders>
              <w:top w:val="single" w:sz="6" w:space="0" w:color="auto"/>
              <w:left w:val="single" w:sz="6" w:space="0" w:color="auto"/>
              <w:bottom w:val="single" w:sz="6" w:space="0" w:color="auto"/>
              <w:right w:val="double" w:sz="6" w:space="0" w:color="auto"/>
            </w:tcBorders>
          </w:tcPr>
          <w:p w14:paraId="0B705D42" w14:textId="77777777" w:rsidR="000F4FD6" w:rsidRPr="00B00FCB" w:rsidRDefault="000F4FD6"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 xml:space="preserve">Se disponen tres opciones para que se puedan elegir en caso de aplicar máximo dos: </w:t>
            </w:r>
          </w:p>
          <w:p w14:paraId="60C0E838" w14:textId="77777777" w:rsidR="006C77D6" w:rsidRPr="00B00FCB" w:rsidRDefault="000F4FD6"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 xml:space="preserve">1- </w:t>
            </w:r>
            <w:r w:rsidR="006C77D6" w:rsidRPr="00B00FCB">
              <w:rPr>
                <w:rFonts w:ascii="Verdana" w:eastAsia="Times New Roman" w:hAnsi="Verdana" w:cs="Arial"/>
                <w:b w:val="0"/>
                <w:bCs w:val="0"/>
                <w:sz w:val="18"/>
                <w:szCs w:val="18"/>
                <w:lang w:val="es-CO" w:eastAsia="es-MX"/>
              </w:rPr>
              <w:t>Siembra de especímenes arbóreos.</w:t>
            </w:r>
          </w:p>
          <w:p w14:paraId="714E9E12" w14:textId="265B91C6" w:rsidR="006C77D6" w:rsidRPr="00B00FCB" w:rsidRDefault="006C77D6"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2- Instalación de ciclo – parqueadero</w:t>
            </w:r>
            <w:r w:rsidR="000F4FD6" w:rsidRPr="00B00FCB">
              <w:rPr>
                <w:rFonts w:ascii="Verdana" w:eastAsia="Times New Roman" w:hAnsi="Verdana" w:cs="Arial"/>
                <w:b w:val="0"/>
                <w:bCs w:val="0"/>
                <w:sz w:val="18"/>
                <w:szCs w:val="18"/>
                <w:lang w:val="es-CO" w:eastAsia="es-MX"/>
              </w:rPr>
              <w:t>s</w:t>
            </w:r>
          </w:p>
          <w:p w14:paraId="7A394DC8" w14:textId="52C1015F" w:rsidR="00521470" w:rsidRPr="00B00FCB" w:rsidRDefault="006C77D6" w:rsidP="00B00FCB">
            <w:pPr>
              <w:pStyle w:val="Descripcin"/>
              <w:spacing w:after="0"/>
              <w:jc w:val="both"/>
              <w:rPr>
                <w:rFonts w:ascii="Verdana" w:eastAsia="Times New Roman" w:hAnsi="Verdana" w:cs="Arial"/>
                <w:b w:val="0"/>
                <w:bCs w:val="0"/>
                <w:sz w:val="18"/>
                <w:szCs w:val="18"/>
                <w:lang w:val="es-CO" w:eastAsia="es-MX"/>
              </w:rPr>
            </w:pPr>
            <w:r w:rsidRPr="00B00FCB">
              <w:rPr>
                <w:rFonts w:ascii="Verdana" w:eastAsia="Times New Roman" w:hAnsi="Verdana" w:cs="Arial"/>
                <w:b w:val="0"/>
                <w:bCs w:val="0"/>
                <w:sz w:val="18"/>
                <w:szCs w:val="18"/>
                <w:lang w:val="es-CO" w:eastAsia="es-MX"/>
              </w:rPr>
              <w:t xml:space="preserve">3- </w:t>
            </w:r>
            <w:r w:rsidR="001A2C9F" w:rsidRPr="00B00FCB">
              <w:rPr>
                <w:rFonts w:ascii="Verdana" w:eastAsia="Times New Roman" w:hAnsi="Verdana" w:cs="Arial"/>
                <w:b w:val="0"/>
                <w:bCs w:val="0"/>
                <w:sz w:val="18"/>
                <w:szCs w:val="18"/>
                <w:lang w:val="es-CO" w:eastAsia="es-MX"/>
              </w:rPr>
              <w:t>Jardines verticales u horizontales</w:t>
            </w:r>
            <w:r w:rsidR="000F4FD6" w:rsidRPr="00B00FCB">
              <w:rPr>
                <w:rFonts w:ascii="Verdana" w:eastAsia="Times New Roman" w:hAnsi="Verdana" w:cs="Arial"/>
                <w:b w:val="0"/>
                <w:bCs w:val="0"/>
                <w:sz w:val="18"/>
                <w:szCs w:val="18"/>
                <w:lang w:val="es-CO" w:eastAsia="es-MX"/>
              </w:rPr>
              <w:t xml:space="preserve"> </w:t>
            </w:r>
          </w:p>
        </w:tc>
      </w:tr>
      <w:tr w:rsidR="00521470" w:rsidRPr="00521470" w14:paraId="552C1F02" w14:textId="77777777" w:rsidTr="00B00FCB">
        <w:trPr>
          <w:trHeight w:val="136"/>
        </w:trPr>
        <w:tc>
          <w:tcPr>
            <w:tcW w:w="5080" w:type="dxa"/>
            <w:tcBorders>
              <w:top w:val="single" w:sz="6" w:space="0" w:color="auto"/>
              <w:left w:val="double" w:sz="6" w:space="0" w:color="auto"/>
              <w:bottom w:val="single" w:sz="6" w:space="0" w:color="auto"/>
              <w:right w:val="single" w:sz="6" w:space="0" w:color="auto"/>
            </w:tcBorders>
            <w:shd w:val="clear" w:color="auto" w:fill="auto"/>
            <w:vAlign w:val="center"/>
          </w:tcPr>
          <w:p w14:paraId="177F6693" w14:textId="3E0E95D1" w:rsidR="00521470" w:rsidRPr="00B00FCB" w:rsidRDefault="001A2C9F" w:rsidP="0037179E">
            <w:pPr>
              <w:pStyle w:val="Descripcin"/>
              <w:jc w:val="both"/>
              <w:rPr>
                <w:rFonts w:ascii="Verdana" w:eastAsia="Times New Roman" w:hAnsi="Verdana" w:cs="Arial"/>
                <w:sz w:val="22"/>
                <w:szCs w:val="22"/>
                <w:lang w:val="es-CO" w:eastAsia="es-MX"/>
              </w:rPr>
            </w:pPr>
            <w:proofErr w:type="gramStart"/>
            <w:r w:rsidRPr="00B00FCB">
              <w:rPr>
                <w:rFonts w:ascii="Verdana" w:eastAsia="Times New Roman" w:hAnsi="Verdana" w:cs="Arial"/>
                <w:sz w:val="22"/>
                <w:szCs w:val="22"/>
                <w:lang w:val="es-CO" w:eastAsia="es-MX"/>
              </w:rPr>
              <w:t>TOTAL</w:t>
            </w:r>
            <w:proofErr w:type="gramEnd"/>
            <w:r w:rsidRPr="00B00FCB">
              <w:rPr>
                <w:rFonts w:ascii="Verdana" w:eastAsia="Times New Roman" w:hAnsi="Verdana" w:cs="Arial"/>
                <w:sz w:val="22"/>
                <w:szCs w:val="22"/>
                <w:lang w:val="es-CO" w:eastAsia="es-MX"/>
              </w:rPr>
              <w:t xml:space="preserve"> PUNTAJE</w:t>
            </w:r>
          </w:p>
        </w:tc>
        <w:tc>
          <w:tcPr>
            <w:tcW w:w="1134" w:type="dxa"/>
            <w:tcBorders>
              <w:top w:val="single" w:sz="6" w:space="0" w:color="auto"/>
              <w:left w:val="single" w:sz="6" w:space="0" w:color="auto"/>
              <w:bottom w:val="single" w:sz="6" w:space="0" w:color="auto"/>
              <w:right w:val="double" w:sz="6" w:space="0" w:color="auto"/>
            </w:tcBorders>
            <w:shd w:val="clear" w:color="auto" w:fill="auto"/>
            <w:vAlign w:val="center"/>
          </w:tcPr>
          <w:p w14:paraId="0D8ED385" w14:textId="2503EE14" w:rsidR="00521470" w:rsidRPr="00B00FCB" w:rsidRDefault="001A2C9F" w:rsidP="00EC7717">
            <w:pPr>
              <w:pStyle w:val="Descripcin"/>
              <w:jc w:val="center"/>
              <w:rPr>
                <w:rFonts w:ascii="Verdana" w:eastAsia="Times New Roman" w:hAnsi="Verdana" w:cs="Arial"/>
                <w:sz w:val="22"/>
                <w:szCs w:val="22"/>
                <w:lang w:val="es-CO" w:eastAsia="es-MX"/>
              </w:rPr>
            </w:pPr>
            <w:r w:rsidRPr="00B00FCB">
              <w:rPr>
                <w:rFonts w:ascii="Verdana" w:eastAsia="Times New Roman" w:hAnsi="Verdana" w:cs="Arial"/>
                <w:sz w:val="22"/>
                <w:szCs w:val="22"/>
                <w:lang w:val="es-CO" w:eastAsia="es-MX"/>
              </w:rPr>
              <w:t>19</w:t>
            </w:r>
          </w:p>
        </w:tc>
        <w:tc>
          <w:tcPr>
            <w:tcW w:w="3379" w:type="dxa"/>
            <w:tcBorders>
              <w:top w:val="single" w:sz="6" w:space="0" w:color="auto"/>
              <w:left w:val="single" w:sz="6" w:space="0" w:color="auto"/>
              <w:bottom w:val="single" w:sz="6" w:space="0" w:color="auto"/>
              <w:right w:val="double" w:sz="6" w:space="0" w:color="auto"/>
            </w:tcBorders>
          </w:tcPr>
          <w:p w14:paraId="3B555F0C" w14:textId="77777777" w:rsidR="00521470" w:rsidRPr="00521470" w:rsidRDefault="00521470" w:rsidP="0037179E">
            <w:pPr>
              <w:pStyle w:val="Descripcin"/>
              <w:jc w:val="both"/>
              <w:rPr>
                <w:rFonts w:ascii="Verdana" w:eastAsia="Times New Roman" w:hAnsi="Verdana" w:cs="Arial"/>
                <w:b w:val="0"/>
                <w:bCs w:val="0"/>
                <w:sz w:val="22"/>
                <w:szCs w:val="22"/>
                <w:lang w:val="es-CO" w:eastAsia="es-MX"/>
              </w:rPr>
            </w:pPr>
          </w:p>
        </w:tc>
      </w:tr>
      <w:bookmarkEnd w:id="59"/>
    </w:tbl>
    <w:p w14:paraId="5C98DCDC" w14:textId="2EC2DAC0" w:rsidR="00656205" w:rsidRPr="00B00FCB" w:rsidRDefault="00656205" w:rsidP="005C7E10">
      <w:pPr>
        <w:pStyle w:val="Descripcin"/>
        <w:jc w:val="center"/>
        <w:rPr>
          <w:rFonts w:ascii="Verdana" w:hAnsi="Verdana" w:cs="Arial"/>
          <w:highlight w:val="yellow"/>
        </w:rPr>
      </w:pPr>
    </w:p>
    <w:p w14:paraId="6F5DC16E" w14:textId="6EFD323E" w:rsidR="00656205" w:rsidRPr="00B00FCB" w:rsidRDefault="00FE440C" w:rsidP="005C7E10">
      <w:pPr>
        <w:jc w:val="center"/>
        <w:rPr>
          <w:rFonts w:ascii="Verdana" w:hAnsi="Verdana" w:cs="Arial"/>
          <w:sz w:val="22"/>
          <w:szCs w:val="22"/>
        </w:rPr>
      </w:pPr>
      <w:r w:rsidRPr="00B00FCB">
        <w:rPr>
          <w:rFonts w:ascii="Verdana" w:hAnsi="Verdana" w:cs="Arial"/>
          <w:sz w:val="16"/>
          <w:szCs w:val="16"/>
        </w:rPr>
        <w:t>Elaboración propia</w:t>
      </w:r>
    </w:p>
    <w:p w14:paraId="7CABE81C" w14:textId="77777777" w:rsidR="00714E8F" w:rsidRPr="00B00FCB" w:rsidRDefault="00714E8F" w:rsidP="00656205">
      <w:pPr>
        <w:jc w:val="both"/>
        <w:rPr>
          <w:rFonts w:ascii="Verdana" w:hAnsi="Verdana" w:cs="Arial"/>
          <w:sz w:val="22"/>
          <w:szCs w:val="22"/>
        </w:rPr>
      </w:pPr>
    </w:p>
    <w:p w14:paraId="029DD6FF"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Con ocasión</w:t>
      </w:r>
      <w:r w:rsidR="002B2BFA" w:rsidRPr="00B00FCB">
        <w:rPr>
          <w:rFonts w:ascii="Verdana" w:hAnsi="Verdana" w:cs="Arial"/>
          <w:sz w:val="22"/>
          <w:szCs w:val="22"/>
        </w:rPr>
        <w:t xml:space="preserve"> </w:t>
      </w:r>
      <w:r w:rsidR="6EB4FEB1" w:rsidRPr="00B00FCB">
        <w:rPr>
          <w:rFonts w:ascii="Verdana" w:hAnsi="Verdana" w:cs="Arial"/>
          <w:sz w:val="22"/>
          <w:szCs w:val="22"/>
        </w:rPr>
        <w:t xml:space="preserve">a la expedición </w:t>
      </w:r>
      <w:r w:rsidR="26C4ECDD" w:rsidRPr="00B00FCB">
        <w:rPr>
          <w:rFonts w:ascii="Verdana" w:hAnsi="Verdana" w:cs="Arial"/>
          <w:sz w:val="22"/>
          <w:szCs w:val="22"/>
        </w:rPr>
        <w:t>del</w:t>
      </w:r>
      <w:r w:rsidRPr="00B00FCB">
        <w:rPr>
          <w:rFonts w:ascii="Verdana" w:hAnsi="Verdana" w:cs="Arial"/>
          <w:sz w:val="22"/>
          <w:szCs w:val="22"/>
        </w:rPr>
        <w:t xml:space="preserve"> </w:t>
      </w:r>
      <w:r w:rsidR="2C32977E" w:rsidRPr="00B00FCB">
        <w:rPr>
          <w:rFonts w:ascii="Verdana" w:hAnsi="Verdana" w:cs="Arial"/>
          <w:sz w:val="22"/>
          <w:szCs w:val="22"/>
        </w:rPr>
        <w:t>D</w:t>
      </w:r>
      <w:r w:rsidRPr="00B00FCB">
        <w:rPr>
          <w:rFonts w:ascii="Verdana" w:hAnsi="Verdana" w:cs="Arial"/>
          <w:sz w:val="22"/>
          <w:szCs w:val="22"/>
        </w:rPr>
        <w:t>ecreto 142 de 2023, "Por el cual se modifica y adiciona el Decreto 1082 de 2015, Único Reglamentario del Sector Administrativo de Planeación Nacional para promover el acceso al sistema de Compras Públicas de las Mipymes, las Cooperativas y demás entidades de la economía solidaria, se incorporan criterios sociales y ambientales en los Procesos de Contratación de las Entidades Estatales, se incluye el Título de emprendimiento comunal y se dictan otras disposiciones", la Agencia incluye en la modificación que actualmente se realiza sobre los documentos de Infraestructura de Transporte, los factores de Calidad por Programas Ambientales y Sociales, en el marco del artículo 2.2.1.1.2.2.2 Ofrecimiento más favorable, del mencionado decreto, el cual establece:</w:t>
      </w:r>
    </w:p>
    <w:p w14:paraId="7A7EC6B2" w14:textId="77777777" w:rsidR="00656205" w:rsidRPr="00C46ACD" w:rsidRDefault="00656205" w:rsidP="00656205">
      <w:pPr>
        <w:jc w:val="both"/>
        <w:rPr>
          <w:rFonts w:ascii="Verdana" w:hAnsi="Verdana" w:cs="Arial"/>
          <w:sz w:val="22"/>
          <w:szCs w:val="22"/>
          <w:highlight w:val="yellow"/>
        </w:rPr>
      </w:pPr>
    </w:p>
    <w:p w14:paraId="6C99824A" w14:textId="1EE36A27"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El Decreto 142 de 2023 establece disposiciones para la incorporación de criterios ambientales y sociales en los procesos de contratación pública. Este decreto busca promover la sostenibilidad en las adquisiciones del Estado, considerando aspectos como la protección del medio ambiente, el desarrollo social y económico sostenible, así como la equidad y la transparencia en los </w:t>
      </w:r>
      <w:r w:rsidR="399A3130" w:rsidRPr="00B00FCB">
        <w:rPr>
          <w:rFonts w:ascii="Verdana" w:hAnsi="Verdana" w:cs="Arial"/>
          <w:sz w:val="22"/>
          <w:szCs w:val="22"/>
        </w:rPr>
        <w:t>P</w:t>
      </w:r>
      <w:r w:rsidRPr="00B00FCB">
        <w:rPr>
          <w:rFonts w:ascii="Verdana" w:hAnsi="Verdana" w:cs="Arial"/>
          <w:sz w:val="22"/>
          <w:szCs w:val="22"/>
        </w:rPr>
        <w:t xml:space="preserve">rocesos de </w:t>
      </w:r>
      <w:r w:rsidR="010BFEEF" w:rsidRPr="00B00FCB">
        <w:rPr>
          <w:rFonts w:ascii="Verdana" w:hAnsi="Verdana" w:cs="Arial"/>
          <w:sz w:val="22"/>
          <w:szCs w:val="22"/>
        </w:rPr>
        <w:t>C</w:t>
      </w:r>
      <w:r w:rsidRPr="00B00FCB">
        <w:rPr>
          <w:rFonts w:ascii="Verdana" w:hAnsi="Verdana" w:cs="Arial"/>
          <w:sz w:val="22"/>
          <w:szCs w:val="22"/>
        </w:rPr>
        <w:t>ontratación.</w:t>
      </w:r>
    </w:p>
    <w:p w14:paraId="582832D0"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 </w:t>
      </w:r>
    </w:p>
    <w:p w14:paraId="19323EFD" w14:textId="77777777"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El Decreto 142 de 2023 modificó y adicionó el Decreto 1082 de 2015, Único Reglamentario del Sector Administrativo de Planeación Nacional, con el propósito de promover el acceso al sistema de compras públicas de las Mipymes, las Cooperativas y demás entidades de la economía solidaria. También, incluyó el Título de emprendimiento comunal e incorporó criterios sociales y ambientales en la valoración de la oferta más favorable, de conformidad con el objeto del contrato.   </w:t>
      </w:r>
    </w:p>
    <w:p w14:paraId="37A73931" w14:textId="77777777" w:rsidR="00656205" w:rsidRPr="00C46ACD" w:rsidRDefault="00656205" w:rsidP="00656205">
      <w:pPr>
        <w:jc w:val="both"/>
        <w:rPr>
          <w:rFonts w:ascii="Verdana" w:hAnsi="Verdana" w:cs="Arial"/>
          <w:sz w:val="22"/>
          <w:szCs w:val="22"/>
          <w:highlight w:val="yellow"/>
        </w:rPr>
      </w:pPr>
    </w:p>
    <w:p w14:paraId="2549D901" w14:textId="535A2C60" w:rsidR="00656205" w:rsidRPr="00B00FCB" w:rsidRDefault="00656205" w:rsidP="00656205">
      <w:pPr>
        <w:jc w:val="both"/>
        <w:rPr>
          <w:rFonts w:ascii="Verdana" w:hAnsi="Verdana" w:cs="Arial"/>
          <w:sz w:val="22"/>
          <w:szCs w:val="22"/>
        </w:rPr>
      </w:pPr>
      <w:r w:rsidRPr="00B00FCB">
        <w:rPr>
          <w:rFonts w:ascii="Verdana" w:hAnsi="Verdana" w:cs="Arial"/>
          <w:sz w:val="22"/>
          <w:szCs w:val="22"/>
        </w:rPr>
        <w:t xml:space="preserve">Bajo estas consideraciones, en la modificación planteada se incorporaron los criterios </w:t>
      </w:r>
      <w:r w:rsidR="1FF66F3D" w:rsidRPr="00B00FCB">
        <w:rPr>
          <w:rFonts w:ascii="Verdana" w:hAnsi="Verdana" w:cs="Arial"/>
          <w:sz w:val="22"/>
          <w:szCs w:val="22"/>
        </w:rPr>
        <w:t>a</w:t>
      </w:r>
      <w:r w:rsidRPr="00B00FCB">
        <w:rPr>
          <w:rFonts w:ascii="Verdana" w:hAnsi="Verdana" w:cs="Arial"/>
          <w:sz w:val="22"/>
          <w:szCs w:val="22"/>
        </w:rPr>
        <w:t>mbiént</w:t>
      </w:r>
      <w:r w:rsidR="007A567C" w:rsidRPr="00B00FCB">
        <w:rPr>
          <w:rFonts w:ascii="Verdana" w:hAnsi="Verdana" w:cs="Arial"/>
          <w:sz w:val="22"/>
          <w:szCs w:val="22"/>
        </w:rPr>
        <w:t>a</w:t>
      </w:r>
      <w:r w:rsidRPr="00B00FCB">
        <w:rPr>
          <w:rFonts w:ascii="Verdana" w:hAnsi="Verdana" w:cs="Arial"/>
          <w:sz w:val="22"/>
          <w:szCs w:val="22"/>
        </w:rPr>
        <w:t>l</w:t>
      </w:r>
      <w:r w:rsidR="007A567C" w:rsidRPr="00B00FCB">
        <w:rPr>
          <w:rFonts w:ascii="Verdana" w:hAnsi="Verdana" w:cs="Arial"/>
          <w:sz w:val="22"/>
          <w:szCs w:val="22"/>
        </w:rPr>
        <w:t>e</w:t>
      </w:r>
      <w:r w:rsidRPr="00B00FCB">
        <w:rPr>
          <w:rFonts w:ascii="Verdana" w:hAnsi="Verdana" w:cs="Arial"/>
          <w:sz w:val="22"/>
          <w:szCs w:val="22"/>
        </w:rPr>
        <w:t xml:space="preserve">s y </w:t>
      </w:r>
      <w:r w:rsidR="0BC0F95E" w:rsidRPr="00B00FCB">
        <w:rPr>
          <w:rFonts w:ascii="Verdana" w:hAnsi="Verdana" w:cs="Arial"/>
          <w:sz w:val="22"/>
          <w:szCs w:val="22"/>
        </w:rPr>
        <w:t>s</w:t>
      </w:r>
      <w:r w:rsidRPr="00B00FCB">
        <w:rPr>
          <w:rFonts w:ascii="Verdana" w:hAnsi="Verdana" w:cs="Arial"/>
          <w:sz w:val="22"/>
          <w:szCs w:val="22"/>
        </w:rPr>
        <w:t xml:space="preserve">ociales como factores de calidad, en los cuales se determina otorgar un puntaje de 20 puntos al oferente que se comprometa, mediante la suscripción del </w:t>
      </w:r>
      <w:r w:rsidR="5C1418C1" w:rsidRPr="00B00FCB">
        <w:rPr>
          <w:rFonts w:ascii="Verdana" w:hAnsi="Verdana" w:cs="Arial"/>
          <w:sz w:val="22"/>
          <w:szCs w:val="22"/>
        </w:rPr>
        <w:t>F</w:t>
      </w:r>
      <w:r w:rsidRPr="00B00FCB">
        <w:rPr>
          <w:rFonts w:ascii="Verdana" w:hAnsi="Verdana" w:cs="Arial"/>
          <w:sz w:val="22"/>
          <w:szCs w:val="22"/>
        </w:rPr>
        <w:t xml:space="preserve">ormato 14 a incorporar los factores </w:t>
      </w:r>
      <w:r w:rsidR="0E8DD8EC" w:rsidRPr="00B00FCB">
        <w:rPr>
          <w:rFonts w:ascii="Verdana" w:hAnsi="Verdana" w:cs="Arial"/>
          <w:sz w:val="22"/>
          <w:szCs w:val="22"/>
        </w:rPr>
        <w:t>a</w:t>
      </w:r>
      <w:r w:rsidRPr="00B00FCB">
        <w:rPr>
          <w:rFonts w:ascii="Verdana" w:hAnsi="Verdana" w:cs="Arial"/>
          <w:sz w:val="22"/>
          <w:szCs w:val="22"/>
        </w:rPr>
        <w:t xml:space="preserve">mbientales y </w:t>
      </w:r>
      <w:r w:rsidR="405329A9" w:rsidRPr="00B00FCB">
        <w:rPr>
          <w:rFonts w:ascii="Verdana" w:hAnsi="Verdana" w:cs="Arial"/>
          <w:sz w:val="22"/>
          <w:szCs w:val="22"/>
        </w:rPr>
        <w:t>s</w:t>
      </w:r>
      <w:r w:rsidRPr="00B00FCB">
        <w:rPr>
          <w:rFonts w:ascii="Verdana" w:hAnsi="Verdana" w:cs="Arial"/>
          <w:sz w:val="22"/>
          <w:szCs w:val="22"/>
        </w:rPr>
        <w:t>ociales durante la ejecución del contrato, en el evento de resultar favorecido en el proceso de selección al cual aplica</w:t>
      </w:r>
      <w:r w:rsidR="000353C4" w:rsidRPr="00B00FCB">
        <w:rPr>
          <w:rFonts w:ascii="Verdana" w:hAnsi="Verdana" w:cs="Arial"/>
          <w:sz w:val="22"/>
          <w:szCs w:val="22"/>
        </w:rPr>
        <w:t xml:space="preserve">. </w:t>
      </w:r>
      <w:r w:rsidRPr="00B00FCB">
        <w:rPr>
          <w:rFonts w:ascii="Verdana" w:hAnsi="Verdana" w:cs="Arial"/>
          <w:sz w:val="22"/>
          <w:szCs w:val="22"/>
        </w:rPr>
        <w:t xml:space="preserve"> </w:t>
      </w:r>
      <w:r w:rsidR="10C96731" w:rsidRPr="00B00FCB">
        <w:rPr>
          <w:rFonts w:ascii="Verdana" w:hAnsi="Verdana" w:cs="Arial"/>
          <w:sz w:val="22"/>
          <w:szCs w:val="22"/>
        </w:rPr>
        <w:t>D</w:t>
      </w:r>
      <w:r w:rsidRPr="00B00FCB">
        <w:rPr>
          <w:rFonts w:ascii="Verdana" w:hAnsi="Verdana" w:cs="Arial"/>
          <w:sz w:val="22"/>
          <w:szCs w:val="22"/>
        </w:rPr>
        <w:t>e igual manera</w:t>
      </w:r>
      <w:r w:rsidR="356B1B72" w:rsidRPr="00B00FCB">
        <w:rPr>
          <w:rFonts w:ascii="Verdana" w:hAnsi="Verdana" w:cs="Arial"/>
          <w:sz w:val="22"/>
          <w:szCs w:val="22"/>
        </w:rPr>
        <w:t>,</w:t>
      </w:r>
      <w:r w:rsidRPr="00B00FCB">
        <w:rPr>
          <w:rFonts w:ascii="Verdana" w:hAnsi="Verdana" w:cs="Arial"/>
          <w:sz w:val="22"/>
          <w:szCs w:val="22"/>
        </w:rPr>
        <w:t xml:space="preserve"> se continua con la inclusión de los demás factores de calidad, otorgándoles un puntaje menor, tal como se muestra a continuación:</w:t>
      </w:r>
    </w:p>
    <w:p w14:paraId="629F2FD7" w14:textId="77777777" w:rsidR="004C33A5" w:rsidRPr="00C46ACD" w:rsidRDefault="004C33A5" w:rsidP="00656205">
      <w:pPr>
        <w:jc w:val="both"/>
        <w:rPr>
          <w:rFonts w:ascii="Verdana" w:hAnsi="Verdana" w:cs="Arial"/>
          <w:sz w:val="22"/>
          <w:szCs w:val="22"/>
          <w:highlight w:val="yellow"/>
        </w:rPr>
      </w:pPr>
    </w:p>
    <w:p w14:paraId="57258D15" w14:textId="77777777" w:rsidR="004C33A5" w:rsidRPr="00C46ACD" w:rsidRDefault="004C33A5" w:rsidP="00656205">
      <w:pPr>
        <w:jc w:val="both"/>
        <w:rPr>
          <w:rFonts w:ascii="Verdana" w:hAnsi="Verdana" w:cs="Arial"/>
          <w:sz w:val="22"/>
          <w:szCs w:val="22"/>
          <w:highlight w:val="yellow"/>
        </w:rPr>
      </w:pPr>
    </w:p>
    <w:p w14:paraId="5AD2ACBA" w14:textId="77777777" w:rsidR="004C33A5" w:rsidRPr="00C46ACD" w:rsidRDefault="004C33A5" w:rsidP="00656205">
      <w:pPr>
        <w:jc w:val="both"/>
        <w:rPr>
          <w:rFonts w:ascii="Verdana" w:hAnsi="Verdana" w:cs="Arial"/>
          <w:sz w:val="22"/>
          <w:szCs w:val="22"/>
          <w:highlight w:val="yellow"/>
        </w:rPr>
      </w:pPr>
    </w:p>
    <w:p w14:paraId="571DDF52" w14:textId="77777777" w:rsidR="004C33A5" w:rsidRPr="00C46ACD" w:rsidRDefault="004C33A5" w:rsidP="00656205">
      <w:pPr>
        <w:jc w:val="both"/>
        <w:rPr>
          <w:rFonts w:ascii="Verdana" w:hAnsi="Verdana" w:cs="Arial"/>
          <w:sz w:val="22"/>
          <w:szCs w:val="22"/>
          <w:highlight w:val="yellow"/>
        </w:rPr>
      </w:pPr>
    </w:p>
    <w:p w14:paraId="3FD05988" w14:textId="77777777" w:rsidR="004C33A5" w:rsidRPr="00C46ACD" w:rsidRDefault="004C33A5" w:rsidP="00656205">
      <w:pPr>
        <w:jc w:val="both"/>
        <w:rPr>
          <w:rFonts w:ascii="Verdana" w:hAnsi="Verdana" w:cs="Arial"/>
          <w:sz w:val="22"/>
          <w:szCs w:val="22"/>
          <w:highlight w:val="yellow"/>
        </w:rPr>
      </w:pPr>
    </w:p>
    <w:p w14:paraId="05393D89" w14:textId="77777777" w:rsidR="004C33A5" w:rsidRPr="00C46ACD" w:rsidRDefault="004C33A5" w:rsidP="00656205">
      <w:pPr>
        <w:jc w:val="both"/>
        <w:rPr>
          <w:rFonts w:ascii="Verdana" w:hAnsi="Verdana" w:cs="Arial"/>
          <w:sz w:val="22"/>
          <w:szCs w:val="22"/>
          <w:highlight w:val="yellow"/>
        </w:rPr>
      </w:pPr>
    </w:p>
    <w:p w14:paraId="7E9F936B" w14:textId="1FA1C04B" w:rsidR="004C33A5" w:rsidRPr="00B00FCB" w:rsidRDefault="004C33A5" w:rsidP="005C7E10">
      <w:pPr>
        <w:pStyle w:val="Descripcin"/>
        <w:rPr>
          <w:rFonts w:ascii="Verdana" w:hAnsi="Verdana"/>
          <w:sz w:val="22"/>
          <w:szCs w:val="22"/>
        </w:rPr>
      </w:pPr>
      <w:bookmarkStart w:id="60" w:name="_Toc180136834"/>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sz w:val="22"/>
          <w:szCs w:val="22"/>
        </w:rPr>
        <w:t>18</w:t>
      </w:r>
      <w:r w:rsidRPr="00B00FCB">
        <w:rPr>
          <w:rFonts w:ascii="Verdana" w:hAnsi="Verdana"/>
          <w:sz w:val="22"/>
          <w:szCs w:val="22"/>
        </w:rPr>
        <w:fldChar w:fldCharType="end"/>
      </w:r>
      <w:r w:rsidRPr="00B00FCB">
        <w:rPr>
          <w:rFonts w:ascii="Verdana" w:hAnsi="Verdana"/>
          <w:sz w:val="22"/>
          <w:szCs w:val="22"/>
        </w:rPr>
        <w:t>. Factores de calidad propuesta actual</w:t>
      </w:r>
      <w:bookmarkEnd w:id="60"/>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60"/>
        <w:gridCol w:w="1020"/>
      </w:tblGrid>
      <w:tr w:rsidR="0022778A" w:rsidRPr="0022778A" w14:paraId="5871738D" w14:textId="77777777" w:rsidTr="0022778A">
        <w:trPr>
          <w:trHeight w:val="300"/>
        </w:trPr>
        <w:tc>
          <w:tcPr>
            <w:tcW w:w="7860" w:type="dxa"/>
            <w:tcBorders>
              <w:top w:val="double" w:sz="6" w:space="0" w:color="auto"/>
              <w:left w:val="double" w:sz="6" w:space="0" w:color="auto"/>
              <w:bottom w:val="single" w:sz="6" w:space="0" w:color="auto"/>
              <w:right w:val="single" w:sz="6" w:space="0" w:color="auto"/>
            </w:tcBorders>
            <w:shd w:val="clear" w:color="auto" w:fill="404040"/>
            <w:vAlign w:val="center"/>
            <w:hideMark/>
          </w:tcPr>
          <w:p w14:paraId="0D7E8FA9" w14:textId="30A13A98" w:rsidR="0022778A" w:rsidRPr="00B00FCB" w:rsidRDefault="0022778A" w:rsidP="00B00FCB">
            <w:pPr>
              <w:jc w:val="center"/>
              <w:rPr>
                <w:rFonts w:ascii="Verdana" w:hAnsi="Verdana"/>
                <w:color w:val="FFFFFF" w:themeColor="background1"/>
                <w:sz w:val="20"/>
                <w:szCs w:val="20"/>
                <w:lang w:eastAsia="en-US"/>
              </w:rPr>
            </w:pPr>
            <w:r w:rsidRPr="00B00FCB">
              <w:rPr>
                <w:rFonts w:ascii="Verdana" w:hAnsi="Verdana"/>
                <w:b/>
                <w:bCs/>
                <w:color w:val="FFFFFF" w:themeColor="background1"/>
                <w:sz w:val="20"/>
                <w:szCs w:val="20"/>
                <w:lang w:eastAsia="en-US"/>
              </w:rPr>
              <w:t>Concepto</w:t>
            </w:r>
          </w:p>
        </w:tc>
        <w:tc>
          <w:tcPr>
            <w:tcW w:w="1020" w:type="dxa"/>
            <w:tcBorders>
              <w:top w:val="double" w:sz="6" w:space="0" w:color="auto"/>
              <w:left w:val="single" w:sz="6" w:space="0" w:color="auto"/>
              <w:bottom w:val="single" w:sz="6" w:space="0" w:color="auto"/>
              <w:right w:val="double" w:sz="6" w:space="0" w:color="auto"/>
            </w:tcBorders>
            <w:shd w:val="clear" w:color="auto" w:fill="404040"/>
            <w:vAlign w:val="center"/>
            <w:hideMark/>
          </w:tcPr>
          <w:p w14:paraId="4B5A0B54" w14:textId="34519E3B" w:rsidR="0022778A" w:rsidRPr="00B00FCB" w:rsidRDefault="0022778A" w:rsidP="00B00FCB">
            <w:pPr>
              <w:jc w:val="center"/>
              <w:rPr>
                <w:rFonts w:ascii="Verdana" w:hAnsi="Verdana"/>
                <w:color w:val="FFFFFF" w:themeColor="background1"/>
                <w:sz w:val="20"/>
                <w:szCs w:val="20"/>
                <w:lang w:eastAsia="en-US"/>
              </w:rPr>
            </w:pPr>
            <w:r w:rsidRPr="00B00FCB">
              <w:rPr>
                <w:rFonts w:ascii="Verdana" w:hAnsi="Verdana"/>
                <w:b/>
                <w:bCs/>
                <w:color w:val="FFFFFF" w:themeColor="background1"/>
                <w:sz w:val="20"/>
                <w:szCs w:val="20"/>
                <w:lang w:eastAsia="en-US"/>
              </w:rPr>
              <w:t>Puntaje</w:t>
            </w:r>
          </w:p>
        </w:tc>
      </w:tr>
      <w:tr w:rsidR="0022778A" w:rsidRPr="00641071" w14:paraId="0D2B559F" w14:textId="77777777" w:rsidTr="0022778A">
        <w:trPr>
          <w:trHeight w:val="300"/>
        </w:trPr>
        <w:tc>
          <w:tcPr>
            <w:tcW w:w="7860"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36AC07E" w14:textId="3A2FFC13"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[La Entidad debe elegir una o algunas de las siguientes opciones, de acuerdo con la justificación consignada en el estudio del sector, estudios y documentos previos:</w:t>
            </w:r>
          </w:p>
          <w:p w14:paraId="01675434" w14:textId="5DE6390C"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(i) implementación del programa de gerencia de proyectos;</w:t>
            </w:r>
          </w:p>
          <w:p w14:paraId="74160BBB" w14:textId="64275A86"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(ii) disponibilidad y condiciones funcionales de la maquinaria de obra;</w:t>
            </w:r>
          </w:p>
          <w:p w14:paraId="0CCCF1A9" w14:textId="54C8A65D"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(iii) presentación de un plan de calidad;</w:t>
            </w:r>
          </w:p>
          <w:p w14:paraId="2D5F8EA0" w14:textId="30A315E7" w:rsidR="0022778A" w:rsidRPr="00B00FCB" w:rsidRDefault="0022778A" w:rsidP="00B00FCB">
            <w:pPr>
              <w:jc w:val="center"/>
              <w:rPr>
                <w:rFonts w:ascii="Verdana" w:hAnsi="Verdana"/>
                <w:sz w:val="20"/>
                <w:szCs w:val="20"/>
                <w:lang w:eastAsia="en-US"/>
              </w:rPr>
            </w:pPr>
          </w:p>
        </w:tc>
        <w:tc>
          <w:tcPr>
            <w:tcW w:w="102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45EF6CBD" w14:textId="7B8C09C5"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10</w:t>
            </w:r>
          </w:p>
        </w:tc>
      </w:tr>
      <w:tr w:rsidR="0022778A" w:rsidRPr="00641071" w14:paraId="319FD715" w14:textId="77777777" w:rsidTr="0022778A">
        <w:trPr>
          <w:trHeight w:val="300"/>
        </w:trPr>
        <w:tc>
          <w:tcPr>
            <w:tcW w:w="7860"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28068C3" w14:textId="465FB603"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La Entidad incluirá siempre estos criterios, de acuerdo con el numeral 4.2.4</w:t>
            </w:r>
          </w:p>
          <w:p w14:paraId="233FDCEE" w14:textId="60D67D36"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pt-PT" w:eastAsia="en-US"/>
              </w:rPr>
              <w:t>(i) Criterio ambiental (19,5)</w:t>
            </w:r>
          </w:p>
          <w:p w14:paraId="640B5300" w14:textId="1F8E5E94"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pt-PT" w:eastAsia="en-US"/>
              </w:rPr>
              <w:t>(ii) Criterio Social (0,5)</w:t>
            </w:r>
          </w:p>
        </w:tc>
        <w:tc>
          <w:tcPr>
            <w:tcW w:w="102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217C1E37" w14:textId="33CF2510"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20</w:t>
            </w:r>
          </w:p>
        </w:tc>
      </w:tr>
      <w:tr w:rsidR="0022778A" w:rsidRPr="00641071" w14:paraId="2F9147DF" w14:textId="77777777" w:rsidTr="0022778A">
        <w:trPr>
          <w:trHeight w:val="300"/>
        </w:trPr>
        <w:tc>
          <w:tcPr>
            <w:tcW w:w="7860"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C0B15D2" w14:textId="2CCDB3BA"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ii) Criterio social</w:t>
            </w:r>
          </w:p>
        </w:tc>
        <w:tc>
          <w:tcPr>
            <w:tcW w:w="102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30510749" w14:textId="6A74A309"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0,25</w:t>
            </w:r>
          </w:p>
        </w:tc>
      </w:tr>
      <w:tr w:rsidR="0022778A" w:rsidRPr="00641071" w14:paraId="27DF61FA" w14:textId="77777777" w:rsidTr="0022778A">
        <w:trPr>
          <w:trHeight w:val="300"/>
        </w:trPr>
        <w:tc>
          <w:tcPr>
            <w:tcW w:w="7860"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737F135F" w14:textId="179F8084"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Total</w:t>
            </w:r>
          </w:p>
        </w:tc>
        <w:tc>
          <w:tcPr>
            <w:tcW w:w="1020" w:type="dxa"/>
            <w:tcBorders>
              <w:top w:val="single" w:sz="6" w:space="0" w:color="auto"/>
              <w:left w:val="single" w:sz="6" w:space="0" w:color="auto"/>
              <w:bottom w:val="double" w:sz="6" w:space="0" w:color="auto"/>
              <w:right w:val="double" w:sz="6" w:space="0" w:color="auto"/>
            </w:tcBorders>
            <w:shd w:val="clear" w:color="auto" w:fill="auto"/>
            <w:vAlign w:val="center"/>
            <w:hideMark/>
          </w:tcPr>
          <w:p w14:paraId="6D1709C9" w14:textId="5D11FF2D" w:rsidR="0022778A" w:rsidRPr="00B00FCB" w:rsidRDefault="0022778A" w:rsidP="00B00FCB">
            <w:pPr>
              <w:jc w:val="center"/>
              <w:rPr>
                <w:rFonts w:ascii="Verdana" w:hAnsi="Verdana"/>
                <w:sz w:val="20"/>
                <w:szCs w:val="20"/>
                <w:lang w:eastAsia="en-US"/>
              </w:rPr>
            </w:pPr>
            <w:r w:rsidRPr="00B00FCB">
              <w:rPr>
                <w:rFonts w:ascii="Verdana" w:hAnsi="Verdana"/>
                <w:sz w:val="20"/>
                <w:szCs w:val="20"/>
                <w:lang w:val="es-ES" w:eastAsia="en-US"/>
              </w:rPr>
              <w:t>30</w:t>
            </w:r>
          </w:p>
        </w:tc>
      </w:tr>
    </w:tbl>
    <w:p w14:paraId="16C6121F" w14:textId="04CE5B4C" w:rsidR="0022778A" w:rsidRPr="00B00FCB" w:rsidRDefault="0022778A" w:rsidP="00525BEB">
      <w:pPr>
        <w:jc w:val="center"/>
        <w:rPr>
          <w:rFonts w:ascii="Verdana" w:hAnsi="Verdana" w:cs="Arial"/>
          <w:sz w:val="22"/>
          <w:szCs w:val="22"/>
        </w:rPr>
      </w:pPr>
    </w:p>
    <w:p w14:paraId="62161D84" w14:textId="399B52D9" w:rsidR="00525BEB" w:rsidRPr="00B00FCB" w:rsidRDefault="00525BEB" w:rsidP="00525BEB">
      <w:pPr>
        <w:jc w:val="center"/>
        <w:rPr>
          <w:rFonts w:ascii="Verdana" w:hAnsi="Verdana" w:cs="Arial"/>
          <w:sz w:val="22"/>
          <w:szCs w:val="22"/>
        </w:rPr>
      </w:pPr>
      <w:r w:rsidRPr="00B00FCB">
        <w:rPr>
          <w:rFonts w:ascii="Verdana" w:hAnsi="Verdana" w:cs="Arial"/>
          <w:sz w:val="16"/>
          <w:szCs w:val="16"/>
        </w:rPr>
        <w:t>Elaboración propia</w:t>
      </w:r>
    </w:p>
    <w:p w14:paraId="3DB9D7E6" w14:textId="356D9031" w:rsidR="00656205" w:rsidRPr="00B00FCB" w:rsidRDefault="00656205" w:rsidP="00656205">
      <w:pPr>
        <w:jc w:val="both"/>
        <w:rPr>
          <w:rFonts w:ascii="Verdana" w:hAnsi="Verdana" w:cs="Arial"/>
          <w:sz w:val="22"/>
          <w:szCs w:val="22"/>
        </w:rPr>
      </w:pPr>
    </w:p>
    <w:p w14:paraId="1D9C796F" w14:textId="4741725B" w:rsidR="00656205" w:rsidRPr="00B00FCB" w:rsidRDefault="00656205" w:rsidP="00656205">
      <w:pPr>
        <w:jc w:val="both"/>
        <w:rPr>
          <w:rFonts w:ascii="Verdana" w:hAnsi="Verdana" w:cs="Arial"/>
          <w:sz w:val="22"/>
          <w:szCs w:val="22"/>
        </w:rPr>
      </w:pPr>
      <w:r w:rsidRPr="00B00FCB">
        <w:rPr>
          <w:rFonts w:ascii="Verdana" w:hAnsi="Verdana" w:cs="Arial"/>
          <w:sz w:val="22"/>
          <w:szCs w:val="22"/>
        </w:rPr>
        <w:t>En consecuencia</w:t>
      </w:r>
      <w:r w:rsidR="47CA0AE2" w:rsidRPr="00B00FCB">
        <w:rPr>
          <w:rFonts w:ascii="Verdana" w:hAnsi="Verdana" w:cs="Arial"/>
          <w:sz w:val="22"/>
          <w:szCs w:val="22"/>
        </w:rPr>
        <w:t>,</w:t>
      </w:r>
      <w:r w:rsidRPr="00B00FCB">
        <w:rPr>
          <w:rFonts w:ascii="Verdana" w:hAnsi="Verdana" w:cs="Arial"/>
          <w:sz w:val="22"/>
          <w:szCs w:val="22"/>
        </w:rPr>
        <w:t xml:space="preserve"> con las consideraciones ambientales y de sostenibilidad, vigentes y que guardan coherencia con el cambio climático, la Agencia promueve </w:t>
      </w:r>
      <w:r w:rsidR="3C4860D2" w:rsidRPr="00B00FCB">
        <w:rPr>
          <w:rFonts w:ascii="Verdana" w:hAnsi="Verdana" w:cs="Arial"/>
          <w:sz w:val="22"/>
          <w:szCs w:val="22"/>
        </w:rPr>
        <w:t xml:space="preserve">la estructuración de Procesos de Contratación </w:t>
      </w:r>
      <w:r w:rsidRPr="00B00FCB">
        <w:rPr>
          <w:rFonts w:ascii="Verdana" w:hAnsi="Verdana" w:cs="Arial"/>
          <w:sz w:val="22"/>
          <w:szCs w:val="22"/>
        </w:rPr>
        <w:t xml:space="preserve">sostenibles con el ambiente, teniendo en cuenta la importancia de minimizar el impacto ambiental y de contribuir con el uso eficiente de recursos y la adaptación al cambio climático, es por esto </w:t>
      </w:r>
      <w:proofErr w:type="gramStart"/>
      <w:r w:rsidRPr="00B00FCB">
        <w:rPr>
          <w:rFonts w:ascii="Verdana" w:hAnsi="Verdana" w:cs="Arial"/>
          <w:sz w:val="22"/>
          <w:szCs w:val="22"/>
        </w:rPr>
        <w:t>que</w:t>
      </w:r>
      <w:proofErr w:type="gramEnd"/>
      <w:r w:rsidRPr="00B00FCB">
        <w:rPr>
          <w:rFonts w:ascii="Verdana" w:hAnsi="Verdana" w:cs="Arial"/>
          <w:sz w:val="22"/>
          <w:szCs w:val="22"/>
        </w:rPr>
        <w:t xml:space="preserve"> ha creado la “Guía de compras públicas sostenibles con el ambiente”.</w:t>
      </w:r>
    </w:p>
    <w:p w14:paraId="16EB59DD" w14:textId="77777777" w:rsidR="00656205" w:rsidRPr="00B00FCB" w:rsidRDefault="00656205" w:rsidP="00656205">
      <w:pPr>
        <w:jc w:val="both"/>
        <w:rPr>
          <w:rFonts w:ascii="Verdana" w:hAnsi="Verdana" w:cs="Arial"/>
          <w:sz w:val="22"/>
          <w:szCs w:val="22"/>
        </w:rPr>
      </w:pPr>
    </w:p>
    <w:p w14:paraId="73A25C72" w14:textId="77777777" w:rsidR="00FA14A3" w:rsidRPr="00B00FCB" w:rsidRDefault="00656205" w:rsidP="00656205">
      <w:pPr>
        <w:jc w:val="both"/>
        <w:rPr>
          <w:rFonts w:ascii="Verdana" w:hAnsi="Verdana" w:cs="Arial"/>
          <w:sz w:val="22"/>
          <w:szCs w:val="22"/>
        </w:rPr>
      </w:pPr>
      <w:r w:rsidRPr="00B00FCB">
        <w:rPr>
          <w:rFonts w:ascii="Verdana" w:hAnsi="Verdana" w:cs="Arial"/>
          <w:sz w:val="22"/>
          <w:szCs w:val="22"/>
        </w:rPr>
        <w:t>Las compras públicas amigables con el medio ambiente generan beneficios económicos, ambientales, sociales y financieros, y resultan aplicables a la mayoría de los sectores económicos, incluyendo las obras civiles, en este aspecto conviene indicar que una compra es sostenible “cuando satisface la necesidad y contribuye a la protección del medio ambiente, la reducción en el consumo de recursos, o la inclusión y la justicia social durante el desarrollo de un proceso de compra pública".</w:t>
      </w:r>
    </w:p>
    <w:p w14:paraId="734B1BCF" w14:textId="77777777" w:rsidR="00FA14A3" w:rsidRPr="00B00FCB" w:rsidRDefault="00FA14A3" w:rsidP="00656205">
      <w:pPr>
        <w:jc w:val="both"/>
        <w:rPr>
          <w:rFonts w:ascii="Verdana" w:hAnsi="Verdana" w:cs="Arial"/>
          <w:sz w:val="22"/>
          <w:szCs w:val="22"/>
        </w:rPr>
      </w:pPr>
    </w:p>
    <w:p w14:paraId="7F9538C1" w14:textId="7B9114B3" w:rsidR="00656205" w:rsidRPr="00B00FCB" w:rsidRDefault="00656205" w:rsidP="00656205">
      <w:pPr>
        <w:jc w:val="both"/>
        <w:rPr>
          <w:rFonts w:ascii="Verdana" w:hAnsi="Verdana" w:cs="Arial"/>
          <w:sz w:val="22"/>
          <w:szCs w:val="22"/>
          <w:lang w:val="es"/>
        </w:rPr>
      </w:pPr>
      <w:r w:rsidRPr="00B00FCB">
        <w:rPr>
          <w:rFonts w:ascii="Verdana" w:hAnsi="Verdana" w:cs="Arial"/>
          <w:sz w:val="22"/>
          <w:szCs w:val="22"/>
        </w:rPr>
        <w:t>La incorporación del “</w:t>
      </w:r>
      <w:r w:rsidRPr="00B00FCB">
        <w:rPr>
          <w:rFonts w:ascii="Verdana" w:hAnsi="Verdana" w:cs="Arial"/>
          <w:i/>
          <w:sz w:val="22"/>
          <w:szCs w:val="22"/>
        </w:rPr>
        <w:t xml:space="preserve">FACTOR DE CALIDAD POR PROGRAMAS </w:t>
      </w:r>
      <w:r w:rsidRPr="00B00FCB">
        <w:rPr>
          <w:rFonts w:ascii="Verdana" w:hAnsi="Verdana" w:cs="Arial"/>
          <w:b/>
          <w:i/>
          <w:sz w:val="22"/>
          <w:szCs w:val="22"/>
          <w:u w:val="single"/>
        </w:rPr>
        <w:t>ADICIONALES</w:t>
      </w:r>
      <w:r w:rsidRPr="00B00FCB">
        <w:rPr>
          <w:rFonts w:ascii="Verdana" w:hAnsi="Verdana" w:cs="Arial"/>
          <w:i/>
          <w:sz w:val="22"/>
          <w:szCs w:val="22"/>
        </w:rPr>
        <w:t xml:space="preserve"> AMBIENTALES Y SOCIALES</w:t>
      </w:r>
      <w:r w:rsidRPr="00B00FCB">
        <w:rPr>
          <w:rFonts w:ascii="Verdana" w:hAnsi="Verdana" w:cs="Arial"/>
          <w:sz w:val="22"/>
          <w:szCs w:val="22"/>
        </w:rPr>
        <w:t>, para licitación de obra pública y de</w:t>
      </w:r>
      <w:r w:rsidRPr="00B00FCB">
        <w:rPr>
          <w:rFonts w:ascii="Verdana" w:hAnsi="Verdana" w:cs="Arial"/>
          <w:i/>
          <w:sz w:val="22"/>
          <w:szCs w:val="22"/>
        </w:rPr>
        <w:t xml:space="preserve"> </w:t>
      </w:r>
      <w:r w:rsidR="2739C9E6" w:rsidRPr="00B00FCB">
        <w:rPr>
          <w:rFonts w:ascii="Verdana" w:hAnsi="Verdana" w:cs="Arial"/>
          <w:i/>
          <w:sz w:val="22"/>
          <w:szCs w:val="22"/>
        </w:rPr>
        <w:t>s</w:t>
      </w:r>
      <w:r w:rsidRPr="00B00FCB">
        <w:rPr>
          <w:rFonts w:ascii="Verdana" w:hAnsi="Verdana" w:cs="Arial"/>
          <w:sz w:val="22"/>
          <w:szCs w:val="22"/>
        </w:rPr>
        <w:t>elección abreviada de menor cuantía,</w:t>
      </w:r>
      <w:r w:rsidRPr="00B00FCB">
        <w:rPr>
          <w:rFonts w:ascii="Verdana" w:hAnsi="Verdana" w:cs="Arial"/>
          <w:i/>
          <w:sz w:val="22"/>
          <w:szCs w:val="22"/>
        </w:rPr>
        <w:t xml:space="preserve"> </w:t>
      </w:r>
      <w:r w:rsidRPr="00B00FCB">
        <w:rPr>
          <w:rFonts w:ascii="Verdana" w:hAnsi="Verdana" w:cs="Arial"/>
          <w:sz w:val="22"/>
          <w:szCs w:val="22"/>
        </w:rPr>
        <w:t xml:space="preserve">involucra la </w:t>
      </w:r>
      <w:r w:rsidRPr="00B00FCB">
        <w:rPr>
          <w:rFonts w:ascii="Verdana" w:hAnsi="Verdana" w:cs="Arial"/>
          <w:sz w:val="22"/>
          <w:szCs w:val="22"/>
          <w:lang w:val="es"/>
        </w:rPr>
        <w:t xml:space="preserve">acreditación de un </w:t>
      </w:r>
      <w:r w:rsidRPr="00B00FCB">
        <w:rPr>
          <w:rFonts w:ascii="Verdana" w:hAnsi="Verdana" w:cs="Arial"/>
          <w:b/>
          <w:sz w:val="22"/>
          <w:szCs w:val="22"/>
          <w:u w:val="single"/>
          <w:lang w:val="es"/>
        </w:rPr>
        <w:t>puntaje adicional</w:t>
      </w:r>
      <w:r w:rsidRPr="00B00FCB">
        <w:rPr>
          <w:rFonts w:ascii="Verdana" w:hAnsi="Verdana" w:cs="Arial"/>
          <w:sz w:val="22"/>
          <w:szCs w:val="22"/>
          <w:lang w:val="es"/>
        </w:rPr>
        <w:t xml:space="preserve">, sobre un rango de Salarios Mínimos Mensuales Legales Vigentes, para los proponentes que acrediten el cumplimiento de este aspecto, con la suscripción del Formato </w:t>
      </w:r>
      <w:r w:rsidR="00504E8D">
        <w:rPr>
          <w:rFonts w:ascii="Verdana" w:hAnsi="Verdana" w:cs="Arial"/>
          <w:sz w:val="22"/>
          <w:szCs w:val="22"/>
          <w:lang w:val="es"/>
        </w:rPr>
        <w:t>12</w:t>
      </w:r>
      <w:r w:rsidRPr="00B00FCB">
        <w:rPr>
          <w:rFonts w:ascii="Verdana" w:hAnsi="Verdana" w:cs="Arial"/>
          <w:sz w:val="22"/>
          <w:szCs w:val="22"/>
          <w:lang w:val="es"/>
        </w:rPr>
        <w:t>.</w:t>
      </w:r>
    </w:p>
    <w:p w14:paraId="3872D3A6" w14:textId="77777777" w:rsidR="00656205" w:rsidRPr="00B00FCB" w:rsidRDefault="00656205" w:rsidP="00656205">
      <w:pPr>
        <w:jc w:val="both"/>
        <w:rPr>
          <w:rFonts w:ascii="Verdana" w:hAnsi="Verdana" w:cs="Arial"/>
          <w:sz w:val="22"/>
          <w:szCs w:val="22"/>
        </w:rPr>
      </w:pPr>
    </w:p>
    <w:p w14:paraId="6C9E9075" w14:textId="2E96115E" w:rsidR="798044E5" w:rsidRPr="00B00FCB" w:rsidRDefault="798044E5" w:rsidP="00FE2C92">
      <w:pPr>
        <w:spacing w:after="160" w:line="257" w:lineRule="auto"/>
        <w:jc w:val="both"/>
        <w:rPr>
          <w:rFonts w:ascii="Verdana" w:eastAsia="Arial" w:hAnsi="Verdana" w:cs="Arial"/>
          <w:sz w:val="22"/>
          <w:szCs w:val="22"/>
        </w:rPr>
      </w:pPr>
      <w:r w:rsidRPr="00B00FCB">
        <w:rPr>
          <w:rFonts w:ascii="Verdana" w:eastAsia="Arial" w:hAnsi="Verdana" w:cs="Arial"/>
          <w:sz w:val="22"/>
          <w:szCs w:val="22"/>
        </w:rPr>
        <w:t xml:space="preserve">[De acuerdo con las características del objeto a contratar y con el principio de proporcionalidad y razonabilidad, la Entidad debe elegir las opciones previstas para </w:t>
      </w:r>
      <w:r w:rsidRPr="00B00FCB">
        <w:rPr>
          <w:rFonts w:ascii="Verdana" w:eastAsia="Arial" w:hAnsi="Verdana" w:cs="Arial"/>
          <w:sz w:val="22"/>
          <w:szCs w:val="22"/>
        </w:rPr>
        <w:lastRenderedPageBreak/>
        <w:t xml:space="preserve">otorgar el puntaje del factor de calidad </w:t>
      </w:r>
      <w:r w:rsidRPr="00B00FCB">
        <w:rPr>
          <w:rFonts w:ascii="Verdana" w:eastAsia="Arial" w:hAnsi="Verdana" w:cs="Arial"/>
          <w:sz w:val="22"/>
          <w:szCs w:val="22"/>
          <w:lang w:val="es-MX"/>
        </w:rPr>
        <w:t>por “Criterios Ambientales y Sociales”, de acuerdo con los rangos de SMMLV en los cuales se enmarque el proceso de Selección que se adelante</w:t>
      </w:r>
      <w:r w:rsidRPr="00B00FCB">
        <w:rPr>
          <w:rFonts w:ascii="Verdana" w:eastAsia="Arial" w:hAnsi="Verdana" w:cs="Arial"/>
          <w:sz w:val="22"/>
          <w:szCs w:val="22"/>
        </w:rPr>
        <w:t xml:space="preserve">. La Entidad no podrá incluir criterios, documentos, compromisos o aspectos distintos a los señalados.] </w:t>
      </w:r>
    </w:p>
    <w:p w14:paraId="21A7396B" w14:textId="0A6998EB" w:rsidR="798044E5" w:rsidRPr="00B00FCB" w:rsidRDefault="798044E5" w:rsidP="00FE2C92">
      <w:pPr>
        <w:spacing w:after="160" w:line="257" w:lineRule="auto"/>
        <w:jc w:val="both"/>
        <w:rPr>
          <w:rFonts w:ascii="Verdana" w:eastAsia="Arial" w:hAnsi="Verdana" w:cs="Arial"/>
          <w:sz w:val="22"/>
          <w:szCs w:val="22"/>
        </w:rPr>
      </w:pPr>
      <w:r w:rsidRPr="00B00FCB">
        <w:rPr>
          <w:rFonts w:ascii="Verdana" w:eastAsia="Arial" w:hAnsi="Verdana" w:cs="Arial"/>
          <w:sz w:val="22"/>
          <w:szCs w:val="22"/>
        </w:rPr>
        <w:t xml:space="preserve">[En caso de adelantar el proceso por lotes o segmentos, el presupuesto de referencia para cada opción se entenderá como el presupuesto de cada lote o segmento] </w:t>
      </w:r>
    </w:p>
    <w:p w14:paraId="6E07769B" w14:textId="6C83BBA9" w:rsidR="798044E5" w:rsidRPr="00B00FCB" w:rsidRDefault="798044E5" w:rsidP="00FE2C92">
      <w:pPr>
        <w:spacing w:line="257" w:lineRule="auto"/>
        <w:jc w:val="both"/>
        <w:rPr>
          <w:rFonts w:ascii="Verdana" w:eastAsia="Arial" w:hAnsi="Verdana" w:cs="Arial"/>
          <w:sz w:val="22"/>
          <w:szCs w:val="22"/>
          <w:lang w:val="es-MX"/>
        </w:rPr>
      </w:pPr>
      <w:r w:rsidRPr="00B00FCB">
        <w:rPr>
          <w:rFonts w:ascii="Verdana" w:eastAsia="Arial" w:hAnsi="Verdana" w:cs="Arial"/>
          <w:sz w:val="22"/>
          <w:szCs w:val="22"/>
        </w:rPr>
        <w:t>La Entidad asignará (</w:t>
      </w:r>
      <w:r w:rsidR="00F60465" w:rsidRPr="00B00FCB">
        <w:rPr>
          <w:rFonts w:ascii="Verdana" w:eastAsia="Arial" w:hAnsi="Verdana" w:cs="Arial"/>
          <w:sz w:val="22"/>
          <w:szCs w:val="22"/>
        </w:rPr>
        <w:t>19.5</w:t>
      </w:r>
      <w:r w:rsidRPr="00B00FCB">
        <w:rPr>
          <w:rFonts w:ascii="Verdana" w:eastAsia="Arial" w:hAnsi="Verdana" w:cs="Arial"/>
          <w:sz w:val="22"/>
          <w:szCs w:val="22"/>
        </w:rPr>
        <w:t xml:space="preserve">) puntos al Proponente que durante la ejecución del contrato se comprometa </w:t>
      </w:r>
      <w:r w:rsidRPr="00B00FCB">
        <w:rPr>
          <w:rFonts w:ascii="Verdana" w:eastAsia="Arial" w:hAnsi="Verdana" w:cs="Arial"/>
          <w:sz w:val="22"/>
          <w:szCs w:val="22"/>
          <w:lang w:val="es-MX"/>
        </w:rPr>
        <w:t>a implementar los siguientes criterios ambientales y sociales.</w:t>
      </w:r>
    </w:p>
    <w:p w14:paraId="6FD4DDA3" w14:textId="454E523F" w:rsidR="798044E5" w:rsidRPr="00B00FCB" w:rsidRDefault="798044E5" w:rsidP="00FE2C92">
      <w:pPr>
        <w:spacing w:line="257" w:lineRule="auto"/>
        <w:jc w:val="both"/>
        <w:rPr>
          <w:rFonts w:ascii="Verdana" w:eastAsia="Arial" w:hAnsi="Verdana" w:cs="Arial"/>
          <w:sz w:val="22"/>
          <w:szCs w:val="22"/>
          <w:lang w:val="es-MX"/>
        </w:rPr>
      </w:pPr>
      <w:r w:rsidRPr="00B00FCB">
        <w:rPr>
          <w:rFonts w:ascii="Verdana" w:eastAsia="Arial" w:hAnsi="Verdana" w:cs="Arial"/>
          <w:sz w:val="22"/>
          <w:szCs w:val="22"/>
          <w:lang w:val="es-MX"/>
        </w:rPr>
        <w:t xml:space="preserve"> </w:t>
      </w:r>
    </w:p>
    <w:p w14:paraId="6E6547EF" w14:textId="14C33ABB" w:rsidR="798044E5" w:rsidRPr="00B00FCB" w:rsidRDefault="798044E5" w:rsidP="00FE2C92">
      <w:pPr>
        <w:spacing w:line="257" w:lineRule="auto"/>
        <w:jc w:val="both"/>
        <w:rPr>
          <w:rFonts w:ascii="Verdana" w:eastAsia="Arial" w:hAnsi="Verdana" w:cs="Arial"/>
          <w:sz w:val="22"/>
          <w:szCs w:val="22"/>
          <w:lang w:val="es-MX"/>
        </w:rPr>
      </w:pPr>
      <w:r w:rsidRPr="00B00FCB">
        <w:rPr>
          <w:rFonts w:ascii="Verdana" w:eastAsia="Arial" w:hAnsi="Verdana" w:cs="Arial"/>
          <w:sz w:val="22"/>
          <w:szCs w:val="22"/>
          <w:lang w:val="es-MX"/>
        </w:rPr>
        <w:t>Para la acreditación del compromiso y asignación de puntaje el proponente deberá presentar el Formato 1</w:t>
      </w:r>
      <w:r w:rsidR="00F60465" w:rsidRPr="00B00FCB">
        <w:rPr>
          <w:rFonts w:ascii="Verdana" w:eastAsia="Arial" w:hAnsi="Verdana" w:cs="Arial"/>
          <w:sz w:val="22"/>
          <w:szCs w:val="22"/>
          <w:lang w:val="es-MX"/>
        </w:rPr>
        <w:t>2</w:t>
      </w:r>
      <w:r w:rsidRPr="00B00FCB">
        <w:rPr>
          <w:rFonts w:ascii="Verdana" w:eastAsia="Arial" w:hAnsi="Verdana" w:cs="Arial"/>
          <w:sz w:val="22"/>
          <w:szCs w:val="22"/>
          <w:lang w:val="es-MX"/>
        </w:rPr>
        <w:t xml:space="preserve"> – Criterios Ambientales y Sociales, debidamente suscrito y bajo la gravedad de juramento conste el compromiso que en este sentido asume, de realizar las siguientes actividades:</w:t>
      </w:r>
    </w:p>
    <w:p w14:paraId="5A3AFEE0" w14:textId="7DBD91DC" w:rsidR="798044E5" w:rsidRPr="00C46ACD" w:rsidRDefault="798044E5" w:rsidP="00FE2C92">
      <w:pPr>
        <w:spacing w:line="257" w:lineRule="auto"/>
        <w:jc w:val="both"/>
        <w:rPr>
          <w:rFonts w:ascii="Verdana" w:eastAsia="Arial" w:hAnsi="Verdana" w:cs="Arial"/>
          <w:sz w:val="22"/>
          <w:szCs w:val="22"/>
          <w:highlight w:val="yellow"/>
        </w:rPr>
      </w:pPr>
      <w:r w:rsidRPr="00C46ACD">
        <w:rPr>
          <w:rFonts w:ascii="Verdana" w:eastAsia="Arial" w:hAnsi="Verdana" w:cs="Arial"/>
          <w:sz w:val="22"/>
          <w:szCs w:val="22"/>
          <w:highlight w:val="yellow"/>
        </w:rPr>
        <w:t xml:space="preserve"> </w:t>
      </w:r>
    </w:p>
    <w:p w14:paraId="0281358A" w14:textId="110291BE" w:rsidR="798044E5" w:rsidRPr="00B00FCB" w:rsidRDefault="798044E5">
      <w:pPr>
        <w:spacing w:after="160" w:line="257" w:lineRule="auto"/>
        <w:jc w:val="both"/>
        <w:rPr>
          <w:rFonts w:ascii="Verdana" w:eastAsia="Arial" w:hAnsi="Verdana" w:cs="Arial"/>
          <w:sz w:val="22"/>
          <w:szCs w:val="22"/>
        </w:rPr>
      </w:pPr>
      <w:r w:rsidRPr="00B00FCB">
        <w:rPr>
          <w:rFonts w:ascii="Verdana" w:eastAsia="Arial" w:hAnsi="Verdana" w:cs="Arial"/>
          <w:sz w:val="22"/>
          <w:szCs w:val="22"/>
        </w:rPr>
        <w:t>[La entidad en este numeral según su presupuesto deberá escoger una de las siguientes opciones, y eliminar las dos restantes]</w:t>
      </w:r>
    </w:p>
    <w:p w14:paraId="47F799DA" w14:textId="77777777" w:rsidR="0031127B" w:rsidRPr="00C46ACD" w:rsidRDefault="0031127B" w:rsidP="0031127B">
      <w:pPr>
        <w:jc w:val="both"/>
        <w:rPr>
          <w:rFonts w:ascii="Verdana" w:hAnsi="Verdana" w:cs="Arial"/>
          <w:sz w:val="22"/>
          <w:szCs w:val="22"/>
          <w:highlight w:val="yellow"/>
        </w:rPr>
      </w:pPr>
    </w:p>
    <w:p w14:paraId="596BDB9B" w14:textId="77777777" w:rsidR="007E5901" w:rsidRPr="00B00FCB" w:rsidRDefault="007E5901" w:rsidP="007E5901">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Opción 1: Para Procesos de Contratación cuyo Presupuesto Oficial se enmarque en los dos primeros rangos establecidos en las matrices de experiencia de cada Subsector, así: </w:t>
      </w:r>
    </w:p>
    <w:p w14:paraId="7208F6E8" w14:textId="77777777" w:rsidR="00BC430D" w:rsidRPr="00B00FCB" w:rsidRDefault="00BC430D" w:rsidP="007E5901">
      <w:pPr>
        <w:jc w:val="both"/>
        <w:rPr>
          <w:rFonts w:ascii="Verdana" w:eastAsia="Arial" w:hAnsi="Verdana" w:cs="Arial"/>
          <w:b/>
          <w:bCs/>
          <w:sz w:val="22"/>
          <w:szCs w:val="22"/>
          <w:lang w:eastAsia="es-CO"/>
        </w:rPr>
      </w:pPr>
    </w:p>
    <w:tbl>
      <w:tblPr>
        <w:tblW w:w="975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95"/>
        <w:gridCol w:w="5362"/>
      </w:tblGrid>
      <w:tr w:rsidR="00BC430D" w:rsidRPr="00BC430D" w14:paraId="2BF6BAEB"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19D49D15" w14:textId="01F5283B" w:rsidR="007E5901" w:rsidRPr="00B00FCB" w:rsidRDefault="007E5901" w:rsidP="00B00FCB">
            <w:pPr>
              <w:jc w:val="center"/>
              <w:rPr>
                <w:rFonts w:ascii="Verdana" w:eastAsia="Arial" w:hAnsi="Verdana" w:cs="Arial"/>
                <w:b/>
                <w:bCs/>
                <w:sz w:val="22"/>
                <w:szCs w:val="22"/>
                <w:lang w:eastAsia="es-CO"/>
              </w:rPr>
            </w:pPr>
            <w:r w:rsidRPr="00B00FCB">
              <w:rPr>
                <w:rFonts w:ascii="Verdana" w:eastAsia="Arial" w:hAnsi="Verdana" w:cs="Arial"/>
                <w:b/>
                <w:bCs/>
                <w:sz w:val="22"/>
                <w:szCs w:val="22"/>
                <w:lang w:eastAsia="es-CO"/>
              </w:rPr>
              <w:t>Subsector</w:t>
            </w:r>
          </w:p>
        </w:tc>
        <w:tc>
          <w:tcPr>
            <w:tcW w:w="5362"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2D4E3291" w14:textId="34C074DC" w:rsidR="68B51EAA" w:rsidRPr="00B00FCB" w:rsidRDefault="68B51EAA" w:rsidP="00B00FCB">
            <w:pPr>
              <w:jc w:val="center"/>
              <w:rPr>
                <w:rFonts w:ascii="Verdana" w:eastAsia="Arial" w:hAnsi="Verdana" w:cs="Arial"/>
                <w:b/>
                <w:bCs/>
                <w:sz w:val="22"/>
                <w:szCs w:val="22"/>
                <w:lang w:eastAsia="es-CO"/>
              </w:rPr>
            </w:pPr>
            <w:r w:rsidRPr="00B00FCB">
              <w:rPr>
                <w:rFonts w:ascii="Verdana" w:eastAsia="Arial" w:hAnsi="Verdana" w:cs="Arial"/>
                <w:b/>
                <w:bCs/>
                <w:sz w:val="22"/>
                <w:szCs w:val="22"/>
                <w:lang w:eastAsia="es-CO"/>
              </w:rPr>
              <w:t>Rango De Cuantía Matrices 1 - Experiencia</w:t>
            </w:r>
          </w:p>
        </w:tc>
      </w:tr>
      <w:tr w:rsidR="007E5901" w:rsidRPr="00BC430D" w14:paraId="333EB9B3"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336DA5D5" w14:textId="77777777" w:rsidR="007E5901" w:rsidRPr="00B00FCB"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Educativo</w:t>
            </w:r>
            <w:r w:rsidRPr="00B00FCB">
              <w:rPr>
                <w:rFonts w:ascii="Verdana" w:eastAsia="Arial" w:hAnsi="Verdana" w:cs="Arial"/>
                <w:b/>
                <w:bCs/>
                <w:sz w:val="22"/>
                <w:szCs w:val="22"/>
                <w:lang w:val="es-ES" w:eastAsia="es-CO"/>
              </w:rPr>
              <w:t>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7FC492C0" w14:textId="72CE9800" w:rsidR="60FC096A" w:rsidRPr="00B00FCB" w:rsidRDefault="60FC096A" w:rsidP="00B00FCB">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 xml:space="preserve">0 a </w:t>
            </w:r>
            <w:r w:rsidR="68B51EAA" w:rsidRPr="00B00FCB">
              <w:rPr>
                <w:rFonts w:ascii="Verdana" w:eastAsia="Arial" w:hAnsi="Verdana" w:cs="Arial"/>
                <w:sz w:val="22"/>
                <w:szCs w:val="22"/>
                <w:lang w:eastAsia="es-CO"/>
              </w:rPr>
              <w:t>1,500 SMMLV</w:t>
            </w:r>
          </w:p>
        </w:tc>
      </w:tr>
      <w:tr w:rsidR="007E5901" w:rsidRPr="00BC430D" w14:paraId="49B2994A"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0866DBE0" w14:textId="77777777" w:rsidR="007E5901" w:rsidRPr="00B00FCB" w:rsidRDefault="007E5901" w:rsidP="007E5901">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Salud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6AC604CA" w14:textId="7E1FDB77" w:rsidR="41C4EE12" w:rsidRPr="00B00FCB" w:rsidRDefault="41C4EE12" w:rsidP="27D648A7">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0 a 1,500 SMMLV</w:t>
            </w:r>
          </w:p>
        </w:tc>
      </w:tr>
      <w:tr w:rsidR="007E5901" w:rsidRPr="00BC430D" w14:paraId="2DE54833"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63AF98E7" w14:textId="77777777" w:rsidR="007E5901" w:rsidRPr="00B00FCB"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Cultura, recreación y deporte</w:t>
            </w:r>
            <w:r w:rsidRPr="00B00FCB">
              <w:rPr>
                <w:rFonts w:ascii="Verdana" w:eastAsia="Arial" w:hAnsi="Verdana" w:cs="Arial"/>
                <w:b/>
                <w:bCs/>
                <w:sz w:val="22"/>
                <w:szCs w:val="22"/>
                <w:lang w:val="es-ES" w:eastAsia="es-CO"/>
              </w:rPr>
              <w:t>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18DE9420" w14:textId="6F9FC7E9" w:rsidR="56D4CB78" w:rsidRPr="00B00FCB" w:rsidRDefault="56D4CB78" w:rsidP="27D648A7">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0 a 1,000 SMMLV</w:t>
            </w:r>
          </w:p>
        </w:tc>
      </w:tr>
      <w:tr w:rsidR="007E5901" w:rsidRPr="00BC430D" w14:paraId="28B7F1B7"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500F8553" w14:textId="77777777" w:rsidR="007E5901" w:rsidRPr="00B00FCB"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val="es-MX" w:eastAsia="es-CO"/>
              </w:rPr>
              <w:t>Institucional de Servicio Público</w:t>
            </w:r>
            <w:r w:rsidRPr="00B00FCB">
              <w:rPr>
                <w:rFonts w:ascii="Verdana" w:eastAsia="Arial" w:hAnsi="Verdana" w:cs="Arial"/>
                <w:b/>
                <w:bCs/>
                <w:sz w:val="22"/>
                <w:szCs w:val="22"/>
                <w:lang w:val="es-ES" w:eastAsia="es-CO"/>
              </w:rPr>
              <w:t>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7978C203" w14:textId="1CB81112" w:rsidR="628336C5" w:rsidRPr="00B00FCB" w:rsidRDefault="628336C5" w:rsidP="27D648A7">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0 a 1,000 SMMLV</w:t>
            </w:r>
          </w:p>
        </w:tc>
      </w:tr>
      <w:tr w:rsidR="007E5901" w:rsidRPr="00BC430D" w14:paraId="32B2D1A8"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33C0C070" w14:textId="77777777" w:rsidR="007E5901" w:rsidRPr="00B00FCB"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Institucional de Seguridad Pública - (Inc. Sitios de reclusión)</w:t>
            </w:r>
            <w:r w:rsidRPr="00B00FCB">
              <w:rPr>
                <w:rFonts w:ascii="Verdana" w:eastAsia="Arial" w:hAnsi="Verdana" w:cs="Arial"/>
                <w:b/>
                <w:bCs/>
                <w:sz w:val="22"/>
                <w:szCs w:val="22"/>
                <w:lang w:val="es-ES" w:eastAsia="es-CO"/>
              </w:rPr>
              <w:t>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06E3BFD1" w14:textId="26B3BDEB" w:rsidR="34AC6590" w:rsidRPr="00B00FCB" w:rsidRDefault="34AC6590" w:rsidP="27D648A7">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0 a 2,500 SMMLV</w:t>
            </w:r>
          </w:p>
          <w:p w14:paraId="4380791B" w14:textId="221E11A3" w:rsidR="27D648A7" w:rsidRPr="00B00FCB" w:rsidRDefault="27D648A7" w:rsidP="27D648A7">
            <w:pPr>
              <w:jc w:val="center"/>
              <w:rPr>
                <w:rFonts w:ascii="Verdana" w:eastAsia="Arial" w:hAnsi="Verdana" w:cs="Arial"/>
                <w:sz w:val="22"/>
                <w:szCs w:val="22"/>
                <w:lang w:eastAsia="es-CO"/>
              </w:rPr>
            </w:pPr>
          </w:p>
        </w:tc>
      </w:tr>
      <w:tr w:rsidR="007E5901" w:rsidRPr="00BC430D" w14:paraId="16ACA5F2" w14:textId="77777777" w:rsidTr="00B00FCB">
        <w:trPr>
          <w:trHeight w:val="300"/>
        </w:trPr>
        <w:tc>
          <w:tcPr>
            <w:tcW w:w="4395" w:type="dxa"/>
            <w:tcBorders>
              <w:top w:val="single" w:sz="6" w:space="0" w:color="auto"/>
              <w:left w:val="single" w:sz="6" w:space="0" w:color="auto"/>
              <w:bottom w:val="single" w:sz="6" w:space="0" w:color="auto"/>
              <w:right w:val="single" w:sz="6" w:space="0" w:color="auto"/>
            </w:tcBorders>
            <w:shd w:val="clear" w:color="auto" w:fill="auto"/>
            <w:hideMark/>
          </w:tcPr>
          <w:p w14:paraId="1121F380" w14:textId="77777777" w:rsidR="007E5901" w:rsidRPr="00B00FCB"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Vivienda</w:t>
            </w:r>
            <w:r w:rsidRPr="00B00FCB">
              <w:rPr>
                <w:rFonts w:ascii="Verdana" w:eastAsia="Arial" w:hAnsi="Verdana" w:cs="Arial"/>
                <w:b/>
                <w:bCs/>
                <w:sz w:val="22"/>
                <w:szCs w:val="22"/>
                <w:lang w:val="es-ES" w:eastAsia="es-CO"/>
              </w:rPr>
              <w:t> </w:t>
            </w:r>
          </w:p>
        </w:tc>
        <w:tc>
          <w:tcPr>
            <w:tcW w:w="5362" w:type="dxa"/>
            <w:tcBorders>
              <w:top w:val="single" w:sz="6" w:space="0" w:color="auto"/>
              <w:left w:val="single" w:sz="6" w:space="0" w:color="auto"/>
              <w:bottom w:val="single" w:sz="6" w:space="0" w:color="auto"/>
              <w:right w:val="single" w:sz="6" w:space="0" w:color="auto"/>
            </w:tcBorders>
            <w:shd w:val="clear" w:color="auto" w:fill="auto"/>
            <w:hideMark/>
          </w:tcPr>
          <w:p w14:paraId="01899884" w14:textId="7377B0A6" w:rsidR="1D9B4440" w:rsidRPr="00B00FCB" w:rsidRDefault="1D9B4440" w:rsidP="27D648A7">
            <w:pPr>
              <w:jc w:val="center"/>
              <w:rPr>
                <w:rFonts w:ascii="Verdana" w:eastAsia="Arial" w:hAnsi="Verdana" w:cs="Arial"/>
                <w:sz w:val="22"/>
                <w:szCs w:val="22"/>
                <w:lang w:val="es-ES" w:eastAsia="es-CO"/>
              </w:rPr>
            </w:pPr>
            <w:r w:rsidRPr="27D648A7">
              <w:rPr>
                <w:rFonts w:ascii="Verdana" w:eastAsia="Arial" w:hAnsi="Verdana" w:cs="Arial"/>
                <w:sz w:val="22"/>
                <w:szCs w:val="22"/>
                <w:lang w:eastAsia="es-CO"/>
              </w:rPr>
              <w:t>0 a 1,500 SMMLV</w:t>
            </w:r>
          </w:p>
        </w:tc>
      </w:tr>
    </w:tbl>
    <w:p w14:paraId="7866EBE9" w14:textId="77777777" w:rsidR="007E5901" w:rsidRPr="00B00FCB" w:rsidRDefault="007E5901" w:rsidP="007E5901">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 </w:t>
      </w:r>
    </w:p>
    <w:p w14:paraId="1F753B6D"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i) Establecer, medir y hacer seguimiento a un indicador de impacto ambiental adicional a los establecidos en el Plan de Manejo Ambiental - PMA y/o licencia ambiental y/o demás instrumentos definidos por la Normatividad y/o Autoridad Ambiental.  </w:t>
      </w:r>
    </w:p>
    <w:p w14:paraId="7C4D9DB2"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 xml:space="preserve">Nota: Es importante aclarar que esta opción es adicional a lo que pueda solicitarse en un permiso, plan de manejo o licencia ambiental. Es decir, es adicional al cumplimiento </w:t>
      </w:r>
      <w:r w:rsidRPr="00B00FCB">
        <w:rPr>
          <w:rFonts w:ascii="Verdana" w:eastAsia="Arial" w:hAnsi="Verdana" w:cs="Arial"/>
          <w:sz w:val="22"/>
          <w:szCs w:val="22"/>
          <w:lang w:eastAsia="es-CO"/>
        </w:rPr>
        <w:lastRenderedPageBreak/>
        <w:t>normativo y de obligaciones ambientales establecidos por la autoridad ambiental que corresponda. </w:t>
      </w:r>
    </w:p>
    <w:p w14:paraId="0A696D1C"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ii) Garantizar que, durante la ejecución de la obra, el personal que vincule el contratista cuente con espacios y programas adecuados para el uso de medios de transporte alternativos.  </w:t>
      </w:r>
    </w:p>
    <w:p w14:paraId="48A7A42F"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iii) Realizar mínimo dos (2) acciones efectivas que conlleven a capacitaciones y educación alternativa en temas de sostenibilidad para la comunidad y personal de la obra, adicionales a lo establecido en los planes de Gestión Social, para lo cual se podrá gestionar espacios de formación a través de Entidades como el Sena, las Aseguradoras de riesgos laborales, o algunas Entidades o a través de organizaciones no gubernamentales, entre otras. [Con temas de gran relevancia como, por ejemplo: la importancia de la sostenibilidad de los proyectos, a fin de generar un sentido de pertenencia y del cuidado y mantenimiento de los proyectos]  </w:t>
      </w:r>
    </w:p>
    <w:p w14:paraId="7398F898" w14:textId="77777777" w:rsidR="00BC430D" w:rsidRDefault="00BC430D" w:rsidP="007E5901">
      <w:pPr>
        <w:jc w:val="both"/>
        <w:rPr>
          <w:rFonts w:ascii="Verdana" w:eastAsia="Arial" w:hAnsi="Verdana" w:cs="Arial"/>
          <w:b/>
          <w:bCs/>
          <w:sz w:val="22"/>
          <w:szCs w:val="22"/>
          <w:lang w:eastAsia="es-CO"/>
        </w:rPr>
      </w:pPr>
    </w:p>
    <w:p w14:paraId="486C6DA1" w14:textId="66F5826A" w:rsidR="007E5901" w:rsidRDefault="007E5901"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Opción 2: Para Procesos de Contratación cuyo Presupuesto Oficial se enmarque en los terceros y cuartos rangos establecidos en las matrices de experiencia de cada Subsector, así:</w:t>
      </w:r>
      <w:r w:rsidRPr="00B00FCB">
        <w:rPr>
          <w:rFonts w:ascii="Verdana" w:eastAsia="Arial" w:hAnsi="Verdana" w:cs="Arial"/>
          <w:b/>
          <w:bCs/>
          <w:sz w:val="22"/>
          <w:szCs w:val="22"/>
          <w:lang w:val="es-ES" w:eastAsia="es-CO"/>
        </w:rPr>
        <w:t> </w:t>
      </w:r>
    </w:p>
    <w:p w14:paraId="6A23158C" w14:textId="77777777" w:rsidR="00BC430D" w:rsidRPr="00B00FCB" w:rsidRDefault="00BC430D" w:rsidP="007E5901">
      <w:pPr>
        <w:jc w:val="both"/>
        <w:rPr>
          <w:rFonts w:ascii="Verdana" w:eastAsia="Arial" w:hAnsi="Verdana" w:cs="Arial"/>
          <w:b/>
          <w:bCs/>
          <w:sz w:val="22"/>
          <w:szCs w:val="22"/>
          <w:lang w:val="es-ES" w:eastAsia="es-CO"/>
        </w:rPr>
      </w:pPr>
    </w:p>
    <w:p w14:paraId="18F44DCF" w14:textId="58A2ACD2" w:rsidR="27D648A7" w:rsidRDefault="27D648A7" w:rsidP="00B00FCB">
      <w:pPr>
        <w:jc w:val="both"/>
        <w:rPr>
          <w:rFonts w:ascii="Arial" w:eastAsia="Arial" w:hAnsi="Arial" w:cs="Arial"/>
          <w:color w:val="000000" w:themeColor="text1"/>
          <w:sz w:val="20"/>
          <w:szCs w:val="20"/>
          <w:lang w:val="es-ES"/>
        </w:rPr>
      </w:pPr>
    </w:p>
    <w:tbl>
      <w:tblPr>
        <w:tblStyle w:val="Tablaconcuadrcula"/>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815"/>
        <w:gridCol w:w="4815"/>
      </w:tblGrid>
      <w:tr w:rsidR="27D648A7" w14:paraId="260A86E3" w14:textId="77777777" w:rsidTr="27D648A7">
        <w:trPr>
          <w:trHeight w:val="540"/>
        </w:trPr>
        <w:tc>
          <w:tcPr>
            <w:tcW w:w="4815" w:type="dxa"/>
            <w:shd w:val="clear" w:color="auto" w:fill="000000" w:themeFill="text1"/>
            <w:tcMar>
              <w:left w:w="105" w:type="dxa"/>
              <w:right w:w="105" w:type="dxa"/>
            </w:tcMar>
          </w:tcPr>
          <w:p w14:paraId="7E03FCE1" w14:textId="47444D68" w:rsidR="27D648A7" w:rsidRPr="00B00FCB" w:rsidRDefault="27D648A7" w:rsidP="00B00FCB">
            <w:pPr>
              <w:jc w:val="center"/>
              <w:rPr>
                <w:rFonts w:ascii="Verdana" w:eastAsia="Arial" w:hAnsi="Verdana" w:cs="Arial"/>
                <w:b/>
                <w:bCs/>
                <w:sz w:val="22"/>
                <w:szCs w:val="22"/>
                <w:lang w:eastAsia="es-CO"/>
              </w:rPr>
            </w:pPr>
            <w:r w:rsidRPr="00B00FCB">
              <w:rPr>
                <w:rFonts w:ascii="Verdana" w:eastAsia="Arial" w:hAnsi="Verdana" w:cs="Arial"/>
                <w:b/>
                <w:bCs/>
                <w:sz w:val="22"/>
                <w:szCs w:val="22"/>
                <w:lang w:eastAsia="es-CO"/>
              </w:rPr>
              <w:t>Subsector</w:t>
            </w:r>
          </w:p>
        </w:tc>
        <w:tc>
          <w:tcPr>
            <w:tcW w:w="4815" w:type="dxa"/>
            <w:shd w:val="clear" w:color="auto" w:fill="000000" w:themeFill="text1"/>
            <w:tcMar>
              <w:left w:w="105" w:type="dxa"/>
              <w:right w:w="105" w:type="dxa"/>
            </w:tcMar>
          </w:tcPr>
          <w:p w14:paraId="1A24EE35" w14:textId="5C601866" w:rsidR="27D648A7" w:rsidRPr="00B00FCB" w:rsidRDefault="27D648A7" w:rsidP="00B00FCB">
            <w:pPr>
              <w:jc w:val="center"/>
              <w:rPr>
                <w:rFonts w:ascii="Verdana" w:eastAsia="Arial" w:hAnsi="Verdana" w:cs="Arial"/>
                <w:b/>
                <w:bCs/>
                <w:sz w:val="22"/>
                <w:szCs w:val="22"/>
                <w:lang w:eastAsia="es-CO"/>
              </w:rPr>
            </w:pPr>
            <w:r w:rsidRPr="00B00FCB">
              <w:rPr>
                <w:rFonts w:ascii="Verdana" w:eastAsia="Arial" w:hAnsi="Verdana" w:cs="Arial"/>
                <w:b/>
                <w:bCs/>
                <w:sz w:val="22"/>
                <w:szCs w:val="22"/>
                <w:lang w:eastAsia="es-CO"/>
              </w:rPr>
              <w:t xml:space="preserve">Rango de cuantía </w:t>
            </w:r>
          </w:p>
        </w:tc>
      </w:tr>
      <w:tr w:rsidR="27D648A7" w14:paraId="03430EFC" w14:textId="77777777" w:rsidTr="27D648A7">
        <w:trPr>
          <w:trHeight w:val="285"/>
        </w:trPr>
        <w:tc>
          <w:tcPr>
            <w:tcW w:w="4815" w:type="dxa"/>
            <w:tcMar>
              <w:left w:w="105" w:type="dxa"/>
              <w:right w:w="105" w:type="dxa"/>
            </w:tcMar>
          </w:tcPr>
          <w:p w14:paraId="417F14D6" w14:textId="321FE1AC"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Educativo</w:t>
            </w:r>
          </w:p>
        </w:tc>
        <w:tc>
          <w:tcPr>
            <w:tcW w:w="4815" w:type="dxa"/>
            <w:tcMar>
              <w:left w:w="105" w:type="dxa"/>
              <w:right w:w="105" w:type="dxa"/>
            </w:tcMar>
          </w:tcPr>
          <w:p w14:paraId="56C2431C" w14:textId="3202739B"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1.501 y 5.000 SMMLV</w:t>
            </w:r>
          </w:p>
        </w:tc>
      </w:tr>
      <w:tr w:rsidR="27D648A7" w14:paraId="4CD336D3" w14:textId="77777777" w:rsidTr="27D648A7">
        <w:trPr>
          <w:trHeight w:val="285"/>
        </w:trPr>
        <w:tc>
          <w:tcPr>
            <w:tcW w:w="4815" w:type="dxa"/>
            <w:tcMar>
              <w:left w:w="105" w:type="dxa"/>
              <w:right w:w="105" w:type="dxa"/>
            </w:tcMar>
          </w:tcPr>
          <w:p w14:paraId="0C015ED3" w14:textId="797049E9"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Salud</w:t>
            </w:r>
          </w:p>
        </w:tc>
        <w:tc>
          <w:tcPr>
            <w:tcW w:w="4815" w:type="dxa"/>
            <w:tcMar>
              <w:left w:w="105" w:type="dxa"/>
              <w:right w:w="105" w:type="dxa"/>
            </w:tcMar>
          </w:tcPr>
          <w:p w14:paraId="68854EBE" w14:textId="5EF6700E"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1.501 y 8.000 SMMLV</w:t>
            </w:r>
          </w:p>
        </w:tc>
      </w:tr>
      <w:tr w:rsidR="27D648A7" w14:paraId="5DF1B225" w14:textId="77777777" w:rsidTr="27D648A7">
        <w:trPr>
          <w:trHeight w:val="285"/>
        </w:trPr>
        <w:tc>
          <w:tcPr>
            <w:tcW w:w="4815" w:type="dxa"/>
            <w:tcMar>
              <w:left w:w="105" w:type="dxa"/>
              <w:right w:w="105" w:type="dxa"/>
            </w:tcMar>
          </w:tcPr>
          <w:p w14:paraId="7C7811EF" w14:textId="32940AAF"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Cultura, recreación y deporte</w:t>
            </w:r>
          </w:p>
        </w:tc>
        <w:tc>
          <w:tcPr>
            <w:tcW w:w="4815" w:type="dxa"/>
            <w:tcMar>
              <w:left w:w="105" w:type="dxa"/>
              <w:right w:w="105" w:type="dxa"/>
            </w:tcMar>
          </w:tcPr>
          <w:p w14:paraId="09AB8C3D" w14:textId="650AF28F"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1001 y 3.500 SMMLV</w:t>
            </w:r>
          </w:p>
        </w:tc>
      </w:tr>
      <w:tr w:rsidR="27D648A7" w14:paraId="6E8A27FF" w14:textId="77777777" w:rsidTr="27D648A7">
        <w:trPr>
          <w:trHeight w:val="285"/>
        </w:trPr>
        <w:tc>
          <w:tcPr>
            <w:tcW w:w="4815" w:type="dxa"/>
            <w:tcMar>
              <w:left w:w="105" w:type="dxa"/>
              <w:right w:w="105" w:type="dxa"/>
            </w:tcMar>
          </w:tcPr>
          <w:p w14:paraId="05D23F89" w14:textId="3D7690C4"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val="es-MX" w:eastAsia="es-CO"/>
              </w:rPr>
              <w:t>Institucional de Servicio Público</w:t>
            </w:r>
          </w:p>
        </w:tc>
        <w:tc>
          <w:tcPr>
            <w:tcW w:w="4815" w:type="dxa"/>
            <w:tcMar>
              <w:left w:w="105" w:type="dxa"/>
              <w:right w:w="105" w:type="dxa"/>
            </w:tcMar>
          </w:tcPr>
          <w:p w14:paraId="37488643" w14:textId="026E3C2A"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1,001 y 10.000 SMMLV</w:t>
            </w:r>
          </w:p>
        </w:tc>
      </w:tr>
      <w:tr w:rsidR="27D648A7" w14:paraId="6061B1A6" w14:textId="77777777" w:rsidTr="27D648A7">
        <w:trPr>
          <w:trHeight w:val="285"/>
        </w:trPr>
        <w:tc>
          <w:tcPr>
            <w:tcW w:w="4815" w:type="dxa"/>
            <w:tcMar>
              <w:left w:w="105" w:type="dxa"/>
              <w:right w:w="105" w:type="dxa"/>
            </w:tcMar>
          </w:tcPr>
          <w:p w14:paraId="2DA22C15" w14:textId="45142F43"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Institucional de Seguridad Pública - (Inc. Sitios de reclusión)</w:t>
            </w:r>
          </w:p>
        </w:tc>
        <w:tc>
          <w:tcPr>
            <w:tcW w:w="4815" w:type="dxa"/>
            <w:tcMar>
              <w:left w:w="105" w:type="dxa"/>
              <w:right w:w="105" w:type="dxa"/>
            </w:tcMar>
          </w:tcPr>
          <w:p w14:paraId="7268D589" w14:textId="775CB301"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2.501 y 20.000 SMMLV</w:t>
            </w:r>
          </w:p>
        </w:tc>
      </w:tr>
      <w:tr w:rsidR="27D648A7" w14:paraId="32C69C78" w14:textId="77777777" w:rsidTr="27D648A7">
        <w:trPr>
          <w:trHeight w:val="285"/>
        </w:trPr>
        <w:tc>
          <w:tcPr>
            <w:tcW w:w="4815" w:type="dxa"/>
            <w:tcMar>
              <w:left w:w="105" w:type="dxa"/>
              <w:right w:w="105" w:type="dxa"/>
            </w:tcMar>
          </w:tcPr>
          <w:p w14:paraId="30867648" w14:textId="41AB5628" w:rsidR="27D648A7" w:rsidRPr="00B00FCB" w:rsidRDefault="27D648A7" w:rsidP="00B00FCB">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Vivienda</w:t>
            </w:r>
          </w:p>
        </w:tc>
        <w:tc>
          <w:tcPr>
            <w:tcW w:w="4815" w:type="dxa"/>
            <w:tcMar>
              <w:left w:w="105" w:type="dxa"/>
              <w:right w:w="105" w:type="dxa"/>
            </w:tcMar>
          </w:tcPr>
          <w:p w14:paraId="77A0D96F" w14:textId="5C0511C5" w:rsidR="27D648A7" w:rsidRPr="00B00FCB" w:rsidRDefault="27D648A7"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Entre 1,501 y 5.000 SMMLV</w:t>
            </w:r>
          </w:p>
        </w:tc>
      </w:tr>
    </w:tbl>
    <w:p w14:paraId="27C0CB32" w14:textId="78FF4372" w:rsidR="27D648A7" w:rsidRDefault="27D648A7" w:rsidP="00B00FCB">
      <w:pPr>
        <w:jc w:val="both"/>
        <w:rPr>
          <w:rFonts w:ascii="Arial" w:eastAsia="Arial" w:hAnsi="Arial" w:cs="Arial"/>
          <w:color w:val="000000" w:themeColor="text1"/>
          <w:sz w:val="20"/>
          <w:szCs w:val="20"/>
          <w:lang w:val="es-ES"/>
        </w:rPr>
      </w:pPr>
    </w:p>
    <w:p w14:paraId="1640B863" w14:textId="1363D061" w:rsidR="27D648A7" w:rsidRPr="00B00FCB" w:rsidRDefault="27D648A7" w:rsidP="27D648A7">
      <w:pPr>
        <w:jc w:val="both"/>
        <w:rPr>
          <w:rFonts w:ascii="Verdana" w:eastAsia="Arial" w:hAnsi="Verdana" w:cs="Arial"/>
          <w:b/>
          <w:bCs/>
          <w:sz w:val="22"/>
          <w:szCs w:val="22"/>
          <w:lang w:val="es-ES" w:eastAsia="es-CO"/>
        </w:rPr>
      </w:pPr>
    </w:p>
    <w:p w14:paraId="3BBD5B7E"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i) Establecer, medir y hacer seguimiento a un indicador de impacto ambiental adicional a los establecidos en el Plan de Manejo Ambiental - PMA y/o licencia ambiental y/o demás instrumentos definidos por la Normatividad y/o Autoridad Ambiental.  </w:t>
      </w:r>
    </w:p>
    <w:p w14:paraId="62528CD8"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Nota: Es importante aclarar que esta opción es adicional a lo que pueda solicitarse en un permiso, plan de manejo o licencia ambiental. Es decir, es adicional al cumplimiento normativo y de obligaciones ambientales establecidos por la autoridad ambiental que corresponda. </w:t>
      </w:r>
    </w:p>
    <w:p w14:paraId="452EB05C"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lastRenderedPageBreak/>
        <w:t>ii) Garantizar que, durante la ejecución de la obra, el personal que vincule el contratista cuente con espacios y programas adecuados para el uso de medios de transporte alternativos.  </w:t>
      </w:r>
    </w:p>
    <w:p w14:paraId="13F21848"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iii) Realizar mínimo dos (2) acciones efectivas que conlleven a capacitaciones y educación alternativa en temas de sostenibilidad para la comunidad y personal de la obra, adicionales a lo establecido en los planes de Gestión Social, para lo cual se podrá gestionar espacios de formación a través de Entidades como el Sena, las Aseguradoras de riesgos laborales, o algunas Entidades o a través de organizaciones no gubernamentales, entre otras. [Con temas de gran relevancia como, por ejemplo: la importancia de la sostenibilidad de los proyectos, a fin de generar un sentido de pertenencia y del cuidado y mantenimiento de los proyectos]  </w:t>
      </w:r>
    </w:p>
    <w:p w14:paraId="03D2E8E4" w14:textId="77777777" w:rsidR="007E5901" w:rsidRPr="00B00FCB" w:rsidRDefault="007E5901" w:rsidP="007E5901">
      <w:pPr>
        <w:jc w:val="both"/>
        <w:rPr>
          <w:rFonts w:ascii="Verdana" w:eastAsia="Arial" w:hAnsi="Verdana" w:cs="Arial"/>
          <w:sz w:val="22"/>
          <w:szCs w:val="22"/>
          <w:lang w:val="es-ES" w:eastAsia="es-CO"/>
        </w:rPr>
      </w:pPr>
      <w:r w:rsidRPr="00B00FCB">
        <w:rPr>
          <w:rFonts w:ascii="Verdana" w:eastAsia="Arial" w:hAnsi="Verdana" w:cs="Arial"/>
          <w:sz w:val="22"/>
          <w:szCs w:val="22"/>
          <w:lang w:eastAsia="es-CO"/>
        </w:rPr>
        <w:t xml:space="preserve">iv) Presentar un programa de uso o ahorro eficiente de agua, en caso de que la Entidad contratante suministre el Plan de Uso Eficiente y Ahorro de Agua – PUEAA, el contratista se compromete a incluir acciones adicionales a las establecidas en dicho plan. </w:t>
      </w:r>
      <w:r w:rsidRPr="00B00FCB">
        <w:rPr>
          <w:rFonts w:ascii="Verdana" w:eastAsia="Arial" w:hAnsi="Verdana" w:cs="Arial"/>
          <w:sz w:val="22"/>
          <w:szCs w:val="22"/>
          <w:lang w:val="es-ES" w:eastAsia="es-CO"/>
        </w:rPr>
        <w:t> </w:t>
      </w:r>
    </w:p>
    <w:p w14:paraId="4D3D3165" w14:textId="77777777" w:rsidR="007E5901" w:rsidRPr="00B00FCB" w:rsidRDefault="007E5901" w:rsidP="007E5901">
      <w:pPr>
        <w:jc w:val="both"/>
        <w:rPr>
          <w:rFonts w:ascii="Verdana" w:eastAsia="Arial" w:hAnsi="Verdana" w:cs="Arial"/>
          <w:sz w:val="22"/>
          <w:szCs w:val="22"/>
          <w:lang w:eastAsia="es-CO"/>
        </w:rPr>
      </w:pPr>
      <w:r w:rsidRPr="00B00FCB">
        <w:rPr>
          <w:rFonts w:ascii="Verdana" w:eastAsia="Arial" w:hAnsi="Verdana" w:cs="Arial"/>
          <w:sz w:val="22"/>
          <w:szCs w:val="22"/>
          <w:lang w:eastAsia="es-CO"/>
        </w:rPr>
        <w:t>v) Establecer programas al interior del proyecto que busquen desincentivar el uso de plásticos de un solo uso, así como incluir actividades en donde se vincule a la comunidad en la gestión adecuada de residuos posconsumo.   </w:t>
      </w:r>
    </w:p>
    <w:p w14:paraId="0E2CA0ED" w14:textId="77777777" w:rsidR="00B1388C" w:rsidRDefault="00B1388C" w:rsidP="007E5901">
      <w:pPr>
        <w:jc w:val="both"/>
        <w:rPr>
          <w:rFonts w:ascii="Verdana" w:eastAsia="Arial" w:hAnsi="Verdana" w:cs="Arial"/>
          <w:b/>
          <w:bCs/>
          <w:sz w:val="22"/>
          <w:szCs w:val="22"/>
          <w:lang w:eastAsia="es-CO"/>
        </w:rPr>
      </w:pPr>
    </w:p>
    <w:p w14:paraId="3F9CBCDE" w14:textId="147601B8" w:rsidR="007E5901" w:rsidRDefault="68B51EAA" w:rsidP="007E5901">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Opción 3: Para Procesos de Contratación cuyo Presupuesto Oficial se enmarque en el quinto y último rango establecido en las matrices de experiencia de cada Subsector, así:</w:t>
      </w:r>
      <w:r w:rsidRPr="00B00FCB">
        <w:rPr>
          <w:rFonts w:ascii="Verdana" w:eastAsia="Arial" w:hAnsi="Verdana" w:cs="Arial"/>
          <w:b/>
          <w:bCs/>
          <w:sz w:val="22"/>
          <w:szCs w:val="22"/>
          <w:lang w:val="es-ES" w:eastAsia="es-CO"/>
        </w:rPr>
        <w:t> </w:t>
      </w:r>
    </w:p>
    <w:p w14:paraId="1FE3A336" w14:textId="42E94DDB" w:rsidR="27D648A7" w:rsidRPr="00B00FCB" w:rsidRDefault="27D648A7" w:rsidP="27D648A7">
      <w:pPr>
        <w:jc w:val="both"/>
        <w:rPr>
          <w:rFonts w:ascii="Verdana" w:eastAsia="Arial" w:hAnsi="Verdana" w:cs="Arial"/>
          <w:b/>
          <w:bCs/>
          <w:sz w:val="22"/>
          <w:szCs w:val="22"/>
          <w:lang w:val="es-ES" w:eastAsia="es-CO"/>
        </w:rPr>
      </w:pPr>
    </w:p>
    <w:tbl>
      <w:tblPr>
        <w:tblW w:w="963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55"/>
        <w:gridCol w:w="5776"/>
      </w:tblGrid>
      <w:tr w:rsidR="00B1388C" w:rsidRPr="00B1388C" w14:paraId="5F6678FD" w14:textId="77777777" w:rsidTr="27D648A7">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7B066DEE" w14:textId="5F6DC0CD" w:rsidR="007E5901" w:rsidRPr="00B00FCB" w:rsidRDefault="60B51372" w:rsidP="00B00FCB">
            <w:pPr>
              <w:jc w:val="center"/>
              <w:rPr>
                <w:rFonts w:ascii="Verdana" w:eastAsia="Arial" w:hAnsi="Verdana" w:cs="Arial"/>
                <w:b/>
                <w:bCs/>
                <w:sz w:val="22"/>
                <w:szCs w:val="22"/>
                <w:lang w:eastAsia="es-CO"/>
              </w:rPr>
            </w:pPr>
            <w:r w:rsidRPr="27D648A7">
              <w:rPr>
                <w:rFonts w:ascii="Verdana" w:eastAsia="Arial" w:hAnsi="Verdana" w:cs="Arial"/>
                <w:b/>
                <w:bCs/>
                <w:sz w:val="22"/>
                <w:szCs w:val="22"/>
                <w:lang w:eastAsia="es-CO"/>
              </w:rPr>
              <w:t>Subsector</w:t>
            </w:r>
          </w:p>
        </w:tc>
        <w:tc>
          <w:tcPr>
            <w:tcW w:w="5776"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3BA8C7CB" w14:textId="2D85CABA" w:rsidR="007E5901" w:rsidRPr="00BC430D" w:rsidRDefault="60B51372" w:rsidP="27D648A7">
            <w:pPr>
              <w:jc w:val="center"/>
              <w:rPr>
                <w:rFonts w:ascii="Verdana" w:eastAsia="Arial" w:hAnsi="Verdana" w:cs="Arial"/>
                <w:b/>
                <w:bCs/>
                <w:sz w:val="22"/>
                <w:szCs w:val="22"/>
                <w:lang w:eastAsia="es-CO"/>
              </w:rPr>
            </w:pPr>
            <w:r w:rsidRPr="27D648A7">
              <w:rPr>
                <w:rFonts w:ascii="Verdana" w:eastAsia="Arial" w:hAnsi="Verdana" w:cs="Arial"/>
                <w:b/>
                <w:bCs/>
                <w:sz w:val="22"/>
                <w:szCs w:val="22"/>
                <w:lang w:eastAsia="es-CO"/>
              </w:rPr>
              <w:t>Rango de cuantía</w:t>
            </w:r>
          </w:p>
          <w:p w14:paraId="40B44922" w14:textId="6F4413AF" w:rsidR="007E5901" w:rsidRPr="00B00FCB" w:rsidRDefault="007E5901" w:rsidP="27D648A7">
            <w:pPr>
              <w:jc w:val="center"/>
              <w:rPr>
                <w:rFonts w:ascii="Verdana" w:eastAsia="Arial" w:hAnsi="Verdana" w:cs="Arial"/>
                <w:b/>
                <w:bCs/>
                <w:sz w:val="22"/>
                <w:szCs w:val="22"/>
                <w:lang w:eastAsia="es-CO"/>
              </w:rPr>
            </w:pPr>
          </w:p>
        </w:tc>
      </w:tr>
      <w:tr w:rsidR="007E5901" w:rsidRPr="00BC430D" w14:paraId="18D65C80"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793C615E" w14:textId="77777777" w:rsidR="007E5901" w:rsidRPr="00B00FCB" w:rsidRDefault="68B51EAA">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Educativo</w:t>
            </w:r>
            <w:r w:rsidRPr="00B00FCB">
              <w:rPr>
                <w:rFonts w:ascii="Verdana" w:eastAsia="Arial" w:hAnsi="Verdana" w:cs="Arial"/>
                <w:b/>
                <w:bCs/>
                <w:sz w:val="22"/>
                <w:szCs w:val="22"/>
                <w:lang w:val="es-ES" w:eastAsia="es-CO"/>
              </w:rPr>
              <w:t>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1C703CBA"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5.001 SMMLV</w:t>
            </w:r>
            <w:r w:rsidRPr="00B00FCB">
              <w:rPr>
                <w:rFonts w:ascii="Verdana" w:eastAsia="Arial" w:hAnsi="Verdana" w:cs="Arial"/>
                <w:sz w:val="22"/>
                <w:szCs w:val="22"/>
                <w:lang w:eastAsia="es-CO"/>
              </w:rPr>
              <w:t> </w:t>
            </w:r>
          </w:p>
        </w:tc>
      </w:tr>
      <w:tr w:rsidR="007E5901" w:rsidRPr="00BC430D" w14:paraId="435FD004"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72A7656D" w14:textId="77777777" w:rsidR="007E5901" w:rsidRPr="00B00FCB" w:rsidRDefault="68B51EAA">
            <w:pPr>
              <w:jc w:val="both"/>
              <w:rPr>
                <w:rFonts w:ascii="Verdana" w:eastAsia="Arial" w:hAnsi="Verdana" w:cs="Arial"/>
                <w:b/>
                <w:bCs/>
                <w:sz w:val="22"/>
                <w:szCs w:val="22"/>
                <w:lang w:eastAsia="es-CO"/>
              </w:rPr>
            </w:pPr>
            <w:r w:rsidRPr="00B00FCB">
              <w:rPr>
                <w:rFonts w:ascii="Verdana" w:eastAsia="Arial" w:hAnsi="Verdana" w:cs="Arial"/>
                <w:b/>
                <w:bCs/>
                <w:sz w:val="22"/>
                <w:szCs w:val="22"/>
                <w:lang w:eastAsia="es-CO"/>
              </w:rPr>
              <w:t>Salud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1AEAF904"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8.001 SMMLV</w:t>
            </w:r>
            <w:r w:rsidRPr="00B00FCB">
              <w:rPr>
                <w:rFonts w:ascii="Verdana" w:eastAsia="Arial" w:hAnsi="Verdana" w:cs="Arial"/>
                <w:sz w:val="22"/>
                <w:szCs w:val="22"/>
                <w:lang w:eastAsia="es-CO"/>
              </w:rPr>
              <w:t> </w:t>
            </w:r>
          </w:p>
        </w:tc>
      </w:tr>
      <w:tr w:rsidR="007E5901" w:rsidRPr="00BC430D" w14:paraId="61C2DB5E"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4DBC00D2" w14:textId="77777777" w:rsidR="007E5901" w:rsidRPr="00B00FCB" w:rsidRDefault="68B51EAA">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Cultura, recreación y deporte</w:t>
            </w:r>
            <w:r w:rsidRPr="00B00FCB">
              <w:rPr>
                <w:rFonts w:ascii="Verdana" w:eastAsia="Arial" w:hAnsi="Verdana" w:cs="Arial"/>
                <w:b/>
                <w:bCs/>
                <w:sz w:val="22"/>
                <w:szCs w:val="22"/>
                <w:lang w:val="es-ES" w:eastAsia="es-CO"/>
              </w:rPr>
              <w:t>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40784A30"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3.501 SMMLV</w:t>
            </w:r>
            <w:r w:rsidRPr="00B00FCB">
              <w:rPr>
                <w:rFonts w:ascii="Verdana" w:eastAsia="Arial" w:hAnsi="Verdana" w:cs="Arial"/>
                <w:sz w:val="22"/>
                <w:szCs w:val="22"/>
                <w:lang w:eastAsia="es-CO"/>
              </w:rPr>
              <w:t> </w:t>
            </w:r>
          </w:p>
        </w:tc>
      </w:tr>
      <w:tr w:rsidR="007E5901" w:rsidRPr="00BC430D" w14:paraId="59A17586"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0B668D61" w14:textId="77777777" w:rsidR="007E5901" w:rsidRPr="00B00FCB" w:rsidRDefault="68B51EAA">
            <w:pPr>
              <w:jc w:val="both"/>
              <w:rPr>
                <w:rFonts w:ascii="Verdana" w:eastAsia="Arial" w:hAnsi="Verdana" w:cs="Arial"/>
                <w:b/>
                <w:bCs/>
                <w:sz w:val="22"/>
                <w:szCs w:val="22"/>
                <w:lang w:val="es-ES" w:eastAsia="es-CO"/>
              </w:rPr>
            </w:pPr>
            <w:r w:rsidRPr="00B00FCB">
              <w:rPr>
                <w:rFonts w:ascii="Verdana" w:eastAsia="Arial" w:hAnsi="Verdana" w:cs="Arial"/>
                <w:b/>
                <w:bCs/>
                <w:sz w:val="22"/>
                <w:szCs w:val="22"/>
                <w:lang w:val="es-MX" w:eastAsia="es-CO"/>
              </w:rPr>
              <w:t>Institucional de Servicio Público</w:t>
            </w:r>
            <w:r w:rsidRPr="00B00FCB">
              <w:rPr>
                <w:rFonts w:ascii="Verdana" w:eastAsia="Arial" w:hAnsi="Verdana" w:cs="Arial"/>
                <w:b/>
                <w:bCs/>
                <w:sz w:val="22"/>
                <w:szCs w:val="22"/>
                <w:lang w:val="es-ES" w:eastAsia="es-CO"/>
              </w:rPr>
              <w:t>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784A68C0"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10.001 SMMLV</w:t>
            </w:r>
            <w:r w:rsidRPr="00B00FCB">
              <w:rPr>
                <w:rFonts w:ascii="Verdana" w:eastAsia="Arial" w:hAnsi="Verdana" w:cs="Arial"/>
                <w:sz w:val="22"/>
                <w:szCs w:val="22"/>
                <w:lang w:eastAsia="es-CO"/>
              </w:rPr>
              <w:t> </w:t>
            </w:r>
          </w:p>
        </w:tc>
      </w:tr>
      <w:tr w:rsidR="007E5901" w:rsidRPr="00BC430D" w14:paraId="786FE927"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2226858D" w14:textId="77777777" w:rsidR="007E5901" w:rsidRPr="00B00FCB" w:rsidRDefault="68B51EAA">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Institucional de Seguridad Pública - (Inc. Sitios de reclusión)</w:t>
            </w:r>
            <w:r w:rsidRPr="00B00FCB">
              <w:rPr>
                <w:rFonts w:ascii="Verdana" w:eastAsia="Arial" w:hAnsi="Verdana" w:cs="Arial"/>
                <w:b/>
                <w:bCs/>
                <w:sz w:val="22"/>
                <w:szCs w:val="22"/>
                <w:lang w:val="es-ES" w:eastAsia="es-CO"/>
              </w:rPr>
              <w:t>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3ADE2CF8"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20.001 SMMLV</w:t>
            </w:r>
            <w:r w:rsidRPr="00B00FCB">
              <w:rPr>
                <w:rFonts w:ascii="Verdana" w:eastAsia="Arial" w:hAnsi="Verdana" w:cs="Arial"/>
                <w:sz w:val="22"/>
                <w:szCs w:val="22"/>
                <w:lang w:eastAsia="es-CO"/>
              </w:rPr>
              <w:t> </w:t>
            </w:r>
          </w:p>
        </w:tc>
      </w:tr>
      <w:tr w:rsidR="007E5901" w:rsidRPr="00BC430D" w14:paraId="6BB37571" w14:textId="77777777" w:rsidTr="00B00FCB">
        <w:trPr>
          <w:trHeight w:val="300"/>
        </w:trPr>
        <w:tc>
          <w:tcPr>
            <w:tcW w:w="3855" w:type="dxa"/>
            <w:tcBorders>
              <w:top w:val="single" w:sz="6" w:space="0" w:color="auto"/>
              <w:left w:val="single" w:sz="6" w:space="0" w:color="auto"/>
              <w:bottom w:val="single" w:sz="6" w:space="0" w:color="auto"/>
              <w:right w:val="single" w:sz="6" w:space="0" w:color="auto"/>
            </w:tcBorders>
            <w:shd w:val="clear" w:color="auto" w:fill="auto"/>
            <w:hideMark/>
          </w:tcPr>
          <w:p w14:paraId="78506CCF" w14:textId="77777777" w:rsidR="007E5901" w:rsidRPr="00B00FCB" w:rsidRDefault="68B51EAA">
            <w:pPr>
              <w:jc w:val="both"/>
              <w:rPr>
                <w:rFonts w:ascii="Verdana" w:eastAsia="Arial" w:hAnsi="Verdana" w:cs="Arial"/>
                <w:b/>
                <w:bCs/>
                <w:sz w:val="22"/>
                <w:szCs w:val="22"/>
                <w:lang w:val="es-ES" w:eastAsia="es-CO"/>
              </w:rPr>
            </w:pPr>
            <w:r w:rsidRPr="00B00FCB">
              <w:rPr>
                <w:rFonts w:ascii="Verdana" w:eastAsia="Arial" w:hAnsi="Verdana" w:cs="Arial"/>
                <w:b/>
                <w:bCs/>
                <w:sz w:val="22"/>
                <w:szCs w:val="22"/>
                <w:lang w:eastAsia="es-CO"/>
              </w:rPr>
              <w:t>Vivienda</w:t>
            </w:r>
            <w:r w:rsidRPr="00B00FCB">
              <w:rPr>
                <w:rFonts w:ascii="Verdana" w:eastAsia="Arial" w:hAnsi="Verdana" w:cs="Arial"/>
                <w:b/>
                <w:bCs/>
                <w:sz w:val="22"/>
                <w:szCs w:val="22"/>
                <w:lang w:val="es-ES" w:eastAsia="es-CO"/>
              </w:rPr>
              <w:t> </w:t>
            </w:r>
          </w:p>
        </w:tc>
        <w:tc>
          <w:tcPr>
            <w:tcW w:w="5776" w:type="dxa"/>
            <w:tcBorders>
              <w:top w:val="single" w:sz="6" w:space="0" w:color="auto"/>
              <w:left w:val="single" w:sz="6" w:space="0" w:color="auto"/>
              <w:bottom w:val="single" w:sz="6" w:space="0" w:color="auto"/>
              <w:right w:val="single" w:sz="6" w:space="0" w:color="auto"/>
            </w:tcBorders>
            <w:shd w:val="clear" w:color="auto" w:fill="auto"/>
            <w:hideMark/>
          </w:tcPr>
          <w:p w14:paraId="406B33EA" w14:textId="77777777" w:rsidR="007E5901" w:rsidRPr="00B00FCB" w:rsidRDefault="68B51EAA" w:rsidP="00B00FCB">
            <w:pPr>
              <w:jc w:val="center"/>
              <w:rPr>
                <w:rFonts w:ascii="Verdana" w:eastAsia="Arial" w:hAnsi="Verdana" w:cs="Arial"/>
                <w:sz w:val="22"/>
                <w:szCs w:val="22"/>
                <w:lang w:eastAsia="es-CO"/>
              </w:rPr>
            </w:pPr>
            <w:r w:rsidRPr="00B00FCB">
              <w:rPr>
                <w:rFonts w:ascii="Verdana" w:eastAsia="Arial" w:hAnsi="Verdana" w:cs="Arial"/>
                <w:sz w:val="22"/>
                <w:szCs w:val="22"/>
                <w:lang w:val="es-ES" w:eastAsia="es-CO"/>
              </w:rPr>
              <w:t>Mayor o igual a 5.001 SMMLV</w:t>
            </w:r>
            <w:r w:rsidRPr="00B00FCB">
              <w:rPr>
                <w:rFonts w:ascii="Verdana" w:eastAsia="Arial" w:hAnsi="Verdana" w:cs="Arial"/>
                <w:sz w:val="22"/>
                <w:szCs w:val="22"/>
                <w:lang w:eastAsia="es-CO"/>
              </w:rPr>
              <w:t> </w:t>
            </w:r>
          </w:p>
        </w:tc>
      </w:tr>
    </w:tbl>
    <w:p w14:paraId="5ECAE14D" w14:textId="2D6B2548" w:rsidR="27D648A7" w:rsidRPr="00B00FCB" w:rsidRDefault="27D648A7" w:rsidP="27D648A7">
      <w:pPr>
        <w:jc w:val="both"/>
        <w:rPr>
          <w:rFonts w:ascii="Verdana" w:eastAsia="Arial" w:hAnsi="Verdana" w:cs="Arial"/>
          <w:b/>
          <w:bCs/>
          <w:sz w:val="22"/>
          <w:szCs w:val="22"/>
          <w:lang w:val="es-ES" w:eastAsia="es-CO"/>
        </w:rPr>
      </w:pPr>
    </w:p>
    <w:p w14:paraId="3BE10028" w14:textId="468AB646" w:rsidR="007E5901" w:rsidRPr="00B00FCB" w:rsidRDefault="68B51EAA" w:rsidP="007E5901">
      <w:pPr>
        <w:jc w:val="both"/>
        <w:rPr>
          <w:rFonts w:ascii="Verdana" w:eastAsia="Arial" w:hAnsi="Verdana" w:cs="Arial"/>
          <w:b/>
          <w:bCs/>
          <w:sz w:val="22"/>
          <w:szCs w:val="22"/>
          <w:lang w:eastAsia="es-CO"/>
        </w:rPr>
      </w:pPr>
      <w:r w:rsidRPr="00B00FCB">
        <w:rPr>
          <w:rFonts w:ascii="Verdana" w:eastAsia="Arial" w:hAnsi="Verdana" w:cs="Arial"/>
          <w:b/>
          <w:bCs/>
          <w:sz w:val="22"/>
          <w:szCs w:val="22"/>
          <w:lang w:val="es-ES" w:eastAsia="es-CO"/>
        </w:rPr>
        <w:t>[L</w:t>
      </w:r>
      <w:r w:rsidRPr="00B00FCB">
        <w:rPr>
          <w:rFonts w:ascii="Verdana" w:eastAsia="Arial" w:hAnsi="Verdana" w:cs="Arial"/>
          <w:b/>
          <w:bCs/>
          <w:sz w:val="22"/>
          <w:szCs w:val="22"/>
          <w:lang w:eastAsia="es-CO"/>
        </w:rPr>
        <w:t>a Entidad deberá escoger entre estas tres opciones máximo una (1) para incluir dentro del proceso de contratación:</w:t>
      </w:r>
      <w:r w:rsidRPr="00B00FCB">
        <w:rPr>
          <w:rFonts w:ascii="Verdana" w:eastAsia="Arial" w:hAnsi="Verdana" w:cs="Arial"/>
          <w:b/>
          <w:bCs/>
          <w:sz w:val="22"/>
          <w:szCs w:val="22"/>
          <w:lang w:val="es-ES" w:eastAsia="es-CO"/>
        </w:rPr>
        <w:t>]</w:t>
      </w:r>
      <w:r w:rsidRPr="00B00FCB">
        <w:rPr>
          <w:rFonts w:ascii="Verdana" w:eastAsia="Arial" w:hAnsi="Verdana" w:cs="Arial"/>
          <w:b/>
          <w:bCs/>
          <w:sz w:val="22"/>
          <w:szCs w:val="22"/>
          <w:lang w:eastAsia="es-CO"/>
        </w:rPr>
        <w:t xml:space="preserve">  </w:t>
      </w:r>
    </w:p>
    <w:p w14:paraId="2ADACBEE" w14:textId="77777777" w:rsidR="004F5A24" w:rsidRPr="00B00FCB" w:rsidRDefault="004F5A24" w:rsidP="007E5901">
      <w:pPr>
        <w:jc w:val="both"/>
        <w:rPr>
          <w:rFonts w:ascii="Verdana" w:eastAsia="Arial" w:hAnsi="Verdana" w:cs="Arial"/>
          <w:b/>
          <w:bCs/>
          <w:sz w:val="22"/>
          <w:szCs w:val="22"/>
          <w:lang w:eastAsia="es-CO"/>
        </w:rPr>
      </w:pPr>
    </w:p>
    <w:p w14:paraId="6D6BE38F" w14:textId="73573635" w:rsidR="004F5A24" w:rsidRPr="00B00FCB" w:rsidRDefault="004F5A24" w:rsidP="00B00FCB">
      <w:pPr>
        <w:rPr>
          <w:rFonts w:ascii="Verdana" w:eastAsia="Arial" w:hAnsi="Verdana" w:cs="Arial"/>
        </w:rPr>
      </w:pPr>
      <w:r w:rsidRPr="00B00FCB">
        <w:rPr>
          <w:rFonts w:ascii="Verdana" w:eastAsia="Arial" w:hAnsi="Verdana" w:cs="Arial"/>
          <w:sz w:val="22"/>
          <w:szCs w:val="22"/>
          <w:lang w:eastAsia="es-CO"/>
        </w:rPr>
        <w:t>1- SIEMBRA DE ESPECÍMENES ARBÓREOS NATIVOS DE LA ZONA</w:t>
      </w:r>
    </w:p>
    <w:p w14:paraId="5B72C5DE" w14:textId="345D71A5" w:rsidR="002033F1" w:rsidRPr="00B00FCB" w:rsidRDefault="004F5A24" w:rsidP="004F5A24">
      <w:pPr>
        <w:rPr>
          <w:rFonts w:ascii="Verdana" w:eastAsia="Arial" w:hAnsi="Verdana" w:cs="Arial"/>
          <w:sz w:val="22"/>
          <w:szCs w:val="22"/>
          <w:lang w:eastAsia="es-CO"/>
        </w:rPr>
      </w:pPr>
      <w:r w:rsidRPr="00B00FCB">
        <w:rPr>
          <w:rFonts w:ascii="Verdana" w:eastAsia="Arial" w:hAnsi="Verdana" w:cs="Arial"/>
          <w:sz w:val="22"/>
          <w:szCs w:val="22"/>
          <w:lang w:eastAsia="es-CO"/>
        </w:rPr>
        <w:t>2- INSTALACIÓN DE CICLO-PARQUEADEROS </w:t>
      </w:r>
    </w:p>
    <w:p w14:paraId="25A10EF6" w14:textId="3C85CAF2" w:rsidR="00A71B19" w:rsidRPr="00B00FCB" w:rsidRDefault="00A71B19" w:rsidP="00B00FCB">
      <w:pPr>
        <w:rPr>
          <w:rFonts w:ascii="Verdana" w:eastAsia="Arial" w:hAnsi="Verdana" w:cs="Arial"/>
        </w:rPr>
      </w:pPr>
      <w:r>
        <w:rPr>
          <w:rFonts w:ascii="Verdana" w:eastAsia="Arial" w:hAnsi="Verdana" w:cs="Arial"/>
          <w:sz w:val="22"/>
          <w:szCs w:val="22"/>
          <w:lang w:eastAsia="es-CO"/>
        </w:rPr>
        <w:lastRenderedPageBreak/>
        <w:t xml:space="preserve">3- </w:t>
      </w:r>
      <w:r w:rsidRPr="00B00FCB">
        <w:rPr>
          <w:rFonts w:ascii="Verdana" w:eastAsia="Arial" w:hAnsi="Verdana" w:cs="Arial"/>
          <w:sz w:val="22"/>
          <w:szCs w:val="22"/>
          <w:lang w:eastAsia="es-CO"/>
        </w:rPr>
        <w:t>INSTALACIÓN DE JARDINES CON FINES ORNAMENTALES HORIZONTALES O VERTICALES  </w:t>
      </w:r>
    </w:p>
    <w:p w14:paraId="555B5D0F" w14:textId="77777777" w:rsidR="002033F1" w:rsidRDefault="002033F1" w:rsidP="002033F1">
      <w:pPr>
        <w:spacing w:line="257" w:lineRule="auto"/>
        <w:rPr>
          <w:rFonts w:ascii="Verdana" w:eastAsia="Arial" w:hAnsi="Verdana" w:cs="Arial"/>
          <w:sz w:val="22"/>
          <w:szCs w:val="22"/>
          <w:highlight w:val="yellow"/>
          <w:lang w:val="es-MX"/>
        </w:rPr>
      </w:pPr>
    </w:p>
    <w:p w14:paraId="7B6B7408" w14:textId="77777777" w:rsidR="005C2B22" w:rsidRDefault="005C2B22" w:rsidP="005C2B22">
      <w:pPr>
        <w:spacing w:line="257" w:lineRule="auto"/>
        <w:jc w:val="both"/>
        <w:rPr>
          <w:rFonts w:ascii="Verdana" w:eastAsia="Arial" w:hAnsi="Verdana" w:cs="Arial"/>
          <w:sz w:val="22"/>
          <w:szCs w:val="22"/>
        </w:rPr>
      </w:pPr>
      <w:r w:rsidRPr="00B00FCB">
        <w:rPr>
          <w:rFonts w:ascii="Verdana" w:eastAsia="Arial" w:hAnsi="Verdana" w:cs="Arial"/>
          <w:b/>
          <w:bCs/>
          <w:sz w:val="22"/>
          <w:szCs w:val="22"/>
          <w:lang w:val="es-ES"/>
        </w:rPr>
        <w:t>[Y l</w:t>
      </w:r>
      <w:r w:rsidRPr="00B00FCB">
        <w:rPr>
          <w:rFonts w:ascii="Verdana" w:eastAsia="Arial" w:hAnsi="Verdana" w:cs="Arial"/>
          <w:b/>
          <w:bCs/>
          <w:sz w:val="22"/>
          <w:szCs w:val="22"/>
        </w:rPr>
        <w:t>a Entidad solicitará de manera obligatoria estos factores dentro de su proceso de contratación:</w:t>
      </w:r>
      <w:r w:rsidRPr="00B00FCB">
        <w:rPr>
          <w:rFonts w:ascii="Verdana" w:eastAsia="Arial" w:hAnsi="Verdana" w:cs="Arial"/>
          <w:sz w:val="22"/>
          <w:szCs w:val="22"/>
          <w:lang w:val="es-ES"/>
        </w:rPr>
        <w:t>]</w:t>
      </w:r>
      <w:r w:rsidRPr="00B00FCB">
        <w:rPr>
          <w:rFonts w:ascii="Verdana" w:eastAsia="Arial" w:hAnsi="Verdana" w:cs="Arial"/>
          <w:sz w:val="22"/>
          <w:szCs w:val="22"/>
        </w:rPr>
        <w:t> </w:t>
      </w:r>
    </w:p>
    <w:p w14:paraId="51DCA8F9" w14:textId="77777777" w:rsidR="005C2B22" w:rsidRPr="00B00FCB" w:rsidRDefault="005C2B22" w:rsidP="00B00FCB">
      <w:pPr>
        <w:spacing w:line="257" w:lineRule="auto"/>
        <w:jc w:val="both"/>
        <w:rPr>
          <w:rFonts w:ascii="Verdana" w:eastAsia="Arial" w:hAnsi="Verdana" w:cs="Arial"/>
          <w:sz w:val="22"/>
          <w:szCs w:val="22"/>
        </w:rPr>
      </w:pPr>
    </w:p>
    <w:p w14:paraId="644F4978"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i) Establecer, medir y hacer seguimiento a un indicador de impacto ambiental adicional a los establecidos en el Plan de Manejo Ambiental - PMA y/o licencia ambiental y/o demás instrumentos definidos por la Normatividad y/o Autoridad Ambiental.  </w:t>
      </w:r>
    </w:p>
    <w:p w14:paraId="499A4584"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Nota: Es importante aclarar que esta opción es adicional a lo que pueda solicitarse en un permiso, plan de manejo o licencia ambiental. Es decir, es adicional al cumplimiento normativo y de obligaciones ambientales establecidos por la autoridad ambiental que corresponda. </w:t>
      </w:r>
    </w:p>
    <w:p w14:paraId="4F4735A1"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ii) Garantizar que, durante la ejecución de la obra, el personal que vincule el contratista cuente con espacios y programas adecuados para el uso de medios de transporte alternativos.  </w:t>
      </w:r>
    </w:p>
    <w:p w14:paraId="3E69BE1B"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iii) Realizar mínimo dos (2) acciones efectivas que conlleven a capacitaciones y educación alternativa en temas de sostenibilidad para la comunidad y personal de la obra, adicionales a lo establecido en los planes de Gestión Social, para lo cual se podrá gestionar espacios de formación a través de Entidades como el Sena, las Aseguradoras de riesgos laborales, o algunas Entidades o a través de organizaciones no gubernamentales, entre otras. [Con temas de gran relevancia como, por ejemplo: la importancia de la sostenibilidad de los proyectos, a fin de generar un sentido de pertenencia y del cuidado y mantenimiento de los proyectos]  </w:t>
      </w:r>
    </w:p>
    <w:p w14:paraId="4F99E39A" w14:textId="77777777" w:rsidR="005C2B22" w:rsidRPr="00B00FCB" w:rsidRDefault="005C2B22" w:rsidP="00B00FCB">
      <w:pPr>
        <w:spacing w:line="257" w:lineRule="auto"/>
        <w:jc w:val="both"/>
        <w:rPr>
          <w:rFonts w:ascii="Verdana" w:eastAsia="Arial" w:hAnsi="Verdana" w:cs="Arial"/>
          <w:sz w:val="22"/>
          <w:szCs w:val="22"/>
          <w:lang w:val="es-ES"/>
        </w:rPr>
      </w:pPr>
      <w:r w:rsidRPr="00B00FCB">
        <w:rPr>
          <w:rFonts w:ascii="Verdana" w:eastAsia="Arial" w:hAnsi="Verdana" w:cs="Arial"/>
          <w:sz w:val="22"/>
          <w:szCs w:val="22"/>
        </w:rPr>
        <w:t xml:space="preserve">iv) Presentar un programa de uso o ahorro eficiente de agua, en caso de que la Entidad contratante suministre el Plan de Uso Eficiente y Ahorro de Agua – PUEAA, el contratista se compromete a incluir acciones adicionales a las establecidas en dicho plan. </w:t>
      </w:r>
      <w:r w:rsidRPr="00B00FCB">
        <w:rPr>
          <w:rFonts w:ascii="Verdana" w:eastAsia="Arial" w:hAnsi="Verdana" w:cs="Arial"/>
          <w:sz w:val="22"/>
          <w:szCs w:val="22"/>
          <w:lang w:val="es-ES"/>
        </w:rPr>
        <w:t> </w:t>
      </w:r>
    </w:p>
    <w:p w14:paraId="5DBD7079" w14:textId="4CB1FC5E"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v) Establecer programas al interior del proyecto que busquen desincentivar el uso de plásticos de un solo uso, así como incluir actividades en donde se vincule a la comunidad en la gestión adecuada de residuos posconsumo. </w:t>
      </w:r>
    </w:p>
    <w:p w14:paraId="4790B084"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b/>
          <w:bCs/>
          <w:sz w:val="22"/>
          <w:szCs w:val="22"/>
        </w:rPr>
        <w:t xml:space="preserve">Nota: </w:t>
      </w:r>
      <w:r w:rsidRPr="00B00FCB">
        <w:rPr>
          <w:rFonts w:ascii="Verdana" w:eastAsia="Arial" w:hAnsi="Verdana" w:cs="Arial"/>
          <w:sz w:val="22"/>
          <w:szCs w:val="22"/>
        </w:rPr>
        <w:t>Para la implementación de este aspecto ambiental, el contratista en caso de ser necesario deberá adelantar los tramites con las entidades correspondientes, teniendo en cuenta que son obras provisionales que al final del proyecto deben ser retiradas en su gran mayoría. </w:t>
      </w:r>
    </w:p>
    <w:p w14:paraId="21C91B29" w14:textId="15A6B166" w:rsidR="005C2B22" w:rsidRPr="00B00FCB" w:rsidRDefault="005C2B22" w:rsidP="00B00FCB">
      <w:pPr>
        <w:spacing w:line="257" w:lineRule="auto"/>
        <w:jc w:val="both"/>
        <w:rPr>
          <w:rFonts w:ascii="Verdana" w:eastAsia="Arial" w:hAnsi="Verdana" w:cs="Arial"/>
          <w:sz w:val="22"/>
          <w:szCs w:val="22"/>
          <w:lang w:val="es-ES"/>
        </w:rPr>
      </w:pPr>
      <w:r w:rsidRPr="00B00FCB">
        <w:rPr>
          <w:rFonts w:ascii="Verdana" w:eastAsia="Arial" w:hAnsi="Verdana" w:cs="Arial"/>
          <w:sz w:val="22"/>
          <w:szCs w:val="22"/>
        </w:rPr>
        <w:t xml:space="preserve">vi) Usar durante la ejecución de las obras, en las zonas de campamentos y/o frentes de obra, fuentes de energía renovables, eficientes y/o energías alternativas; por ejemplo, </w:t>
      </w:r>
      <w:r w:rsidRPr="00B00FCB">
        <w:rPr>
          <w:rFonts w:ascii="Verdana" w:eastAsia="Arial" w:hAnsi="Verdana" w:cs="Arial"/>
          <w:sz w:val="22"/>
          <w:szCs w:val="22"/>
        </w:rPr>
        <w:lastRenderedPageBreak/>
        <w:t xml:space="preserve">paneles solares, iluminación LED, entre otras, garantizando la adecuada utilización y disposición de los recursos empleados. </w:t>
      </w:r>
      <w:r w:rsidRPr="00B00FCB">
        <w:rPr>
          <w:rFonts w:ascii="Verdana" w:eastAsia="Arial" w:hAnsi="Verdana" w:cs="Arial"/>
          <w:b/>
          <w:bCs/>
          <w:sz w:val="22"/>
          <w:szCs w:val="22"/>
        </w:rPr>
        <w:t> </w:t>
      </w:r>
      <w:r w:rsidRPr="00B00FCB">
        <w:rPr>
          <w:rFonts w:ascii="Verdana" w:eastAsia="Arial" w:hAnsi="Verdana" w:cs="Arial"/>
          <w:sz w:val="22"/>
          <w:szCs w:val="22"/>
          <w:lang w:val="es-ES"/>
        </w:rPr>
        <w:t> </w:t>
      </w:r>
    </w:p>
    <w:p w14:paraId="3B23B35C"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rPr>
        <w:t>vii) Incluir por lo menos cinco (5) bienes y/o servicios que cuenten con estándares ambientales y/o sellos ambientales colombianos y/o en las normas técnicas ambientales colombianas y/o con criterios de sostenibilidad en sus procesos. </w:t>
      </w:r>
    </w:p>
    <w:p w14:paraId="63A4A47D" w14:textId="77777777" w:rsidR="005C2B22" w:rsidRPr="00B00FCB" w:rsidRDefault="005C2B22" w:rsidP="00B00FCB">
      <w:pPr>
        <w:spacing w:line="257" w:lineRule="auto"/>
        <w:jc w:val="both"/>
        <w:rPr>
          <w:rFonts w:ascii="Verdana" w:eastAsia="Arial" w:hAnsi="Verdana" w:cs="Arial"/>
          <w:sz w:val="22"/>
          <w:szCs w:val="22"/>
        </w:rPr>
      </w:pPr>
      <w:r w:rsidRPr="00B00FCB">
        <w:rPr>
          <w:rFonts w:ascii="Verdana" w:eastAsia="Arial" w:hAnsi="Verdana" w:cs="Arial"/>
          <w:sz w:val="22"/>
          <w:szCs w:val="22"/>
          <w:lang w:val="es-ES"/>
        </w:rPr>
        <w:t>Nota: Frente a esa condición, esta podrá ser habilitada siempre y cuando se haya incluido en la concepción y diseño del proyecto donde deberían especificarse las condiciones de aceptación de productos de alto desempeño ambiental.</w:t>
      </w:r>
      <w:r w:rsidRPr="00B00FCB">
        <w:rPr>
          <w:rFonts w:ascii="Verdana" w:eastAsia="Arial" w:hAnsi="Verdana" w:cs="Arial"/>
          <w:sz w:val="22"/>
          <w:szCs w:val="22"/>
        </w:rPr>
        <w:t> </w:t>
      </w:r>
    </w:p>
    <w:p w14:paraId="56141BE1" w14:textId="77777777" w:rsidR="005C2B22" w:rsidRPr="00B00FCB" w:rsidRDefault="005C2B22" w:rsidP="002033F1">
      <w:pPr>
        <w:spacing w:line="257" w:lineRule="auto"/>
        <w:rPr>
          <w:rFonts w:ascii="Verdana" w:eastAsia="Arial" w:hAnsi="Verdana" w:cs="Arial"/>
          <w:sz w:val="22"/>
          <w:szCs w:val="22"/>
          <w:lang w:val="es-MX"/>
        </w:rPr>
      </w:pPr>
    </w:p>
    <w:p w14:paraId="50151775" w14:textId="77777777" w:rsidR="002033F1" w:rsidRPr="00B00FCB" w:rsidRDefault="002033F1" w:rsidP="002033F1">
      <w:pPr>
        <w:jc w:val="both"/>
        <w:rPr>
          <w:rFonts w:ascii="Verdana" w:eastAsia="Arial" w:hAnsi="Verdana" w:cs="Arial"/>
          <w:sz w:val="22"/>
          <w:szCs w:val="22"/>
          <w:lang w:val="es-MX"/>
        </w:rPr>
      </w:pPr>
      <w:r w:rsidRPr="00B00FCB">
        <w:rPr>
          <w:rFonts w:ascii="Verdana" w:eastAsia="Arial" w:hAnsi="Verdana" w:cs="Arial"/>
          <w:sz w:val="22"/>
          <w:szCs w:val="22"/>
          <w:lang w:val="es-MX"/>
        </w:rPr>
        <w:t>Para evidenciar el cumplimiento de los anteriores criterios en la ejecución de las obras, en los tres rangos descritos, será responsabilidad de la interventoría del contrato asegurar su realización y, adicionalmente, comprobará, para el inicio de la ejecución del contrato, que el futuro Contratista los incluirá como programas adicionales a los componentes de Gestión Ambiental y Gestión Social definidos en el Documento base y la legislación vigente, mediante la presentación de los siguientes documentos:</w:t>
      </w:r>
    </w:p>
    <w:p w14:paraId="5431D6D1" w14:textId="77777777" w:rsidR="002033F1" w:rsidRPr="00B00FCB" w:rsidRDefault="002033F1" w:rsidP="002033F1">
      <w:pPr>
        <w:pStyle w:val="Prrafodelista"/>
        <w:spacing w:after="0"/>
        <w:rPr>
          <w:rFonts w:ascii="Verdana" w:hAnsi="Verdana" w:cs="Arial"/>
          <w:lang w:val="es-MX"/>
        </w:rPr>
      </w:pPr>
    </w:p>
    <w:p w14:paraId="170AFEAC" w14:textId="77777777" w:rsidR="002033F1" w:rsidRPr="00B00FCB" w:rsidRDefault="002033F1" w:rsidP="00E42FDE">
      <w:pPr>
        <w:pStyle w:val="Prrafodelista"/>
        <w:numPr>
          <w:ilvl w:val="0"/>
          <w:numId w:val="55"/>
        </w:numPr>
        <w:spacing w:after="0"/>
        <w:rPr>
          <w:rFonts w:ascii="Verdana" w:hAnsi="Verdana" w:cs="Arial"/>
          <w:lang w:val="es-MX"/>
        </w:rPr>
      </w:pPr>
      <w:r w:rsidRPr="00B00FCB">
        <w:rPr>
          <w:rFonts w:ascii="Verdana" w:hAnsi="Verdana" w:cs="Arial"/>
          <w:lang w:val="es-MX"/>
        </w:rPr>
        <w:t xml:space="preserve">Informe mensual sobre cumplimiento de los criterios establecidos en los numerales anteriores, dando un porcentaje o estableciendo indicadores de gestión ambiental y social. </w:t>
      </w:r>
    </w:p>
    <w:p w14:paraId="1BD8D1CC" w14:textId="77777777" w:rsidR="002033F1" w:rsidRPr="00B00FCB" w:rsidRDefault="002033F1" w:rsidP="00E42FDE">
      <w:pPr>
        <w:pStyle w:val="Prrafodelista"/>
        <w:numPr>
          <w:ilvl w:val="0"/>
          <w:numId w:val="55"/>
        </w:numPr>
        <w:spacing w:after="0"/>
        <w:rPr>
          <w:rFonts w:ascii="Verdana" w:hAnsi="Verdana" w:cs="Arial"/>
          <w:lang w:val="es-MX"/>
        </w:rPr>
      </w:pPr>
      <w:r w:rsidRPr="00B00FCB">
        <w:rPr>
          <w:rFonts w:ascii="Verdana" w:hAnsi="Verdana" w:cs="Arial"/>
          <w:lang w:val="es-MX"/>
        </w:rPr>
        <w:t>Cronograma de Proyección Vs. Ejecución, de las actividades que se incluyen con las debidas justificaciones en los retrasos, tanto para los temas ambientales, como sociales.</w:t>
      </w:r>
    </w:p>
    <w:p w14:paraId="67F53342" w14:textId="77777777" w:rsidR="002033F1" w:rsidRPr="00B00FCB" w:rsidRDefault="002033F1" w:rsidP="00E42FDE">
      <w:pPr>
        <w:pStyle w:val="Prrafodelista"/>
        <w:numPr>
          <w:ilvl w:val="0"/>
          <w:numId w:val="55"/>
        </w:numPr>
        <w:spacing w:after="0"/>
        <w:rPr>
          <w:rFonts w:ascii="Verdana" w:hAnsi="Verdana" w:cs="Arial"/>
          <w:lang w:val="es-MX"/>
        </w:rPr>
      </w:pPr>
      <w:r w:rsidRPr="00B00FCB">
        <w:rPr>
          <w:rFonts w:ascii="Verdana" w:hAnsi="Verdana" w:cs="Arial"/>
          <w:lang w:val="es-MX"/>
        </w:rPr>
        <w:t xml:space="preserve">Constancias y/o hojas de asistencia de la comunidad, empleados y autoridades que participaron en los programas de educación y capacitación ambiental. </w:t>
      </w:r>
    </w:p>
    <w:p w14:paraId="44BC5500" w14:textId="77777777" w:rsidR="002033F1" w:rsidRPr="00B00FCB" w:rsidRDefault="002033F1" w:rsidP="00E42FDE">
      <w:pPr>
        <w:pStyle w:val="Prrafodelista"/>
        <w:numPr>
          <w:ilvl w:val="0"/>
          <w:numId w:val="55"/>
        </w:numPr>
        <w:spacing w:after="0"/>
        <w:rPr>
          <w:rFonts w:ascii="Verdana" w:hAnsi="Verdana" w:cs="Arial"/>
          <w:lang w:val="es-MX"/>
        </w:rPr>
      </w:pPr>
      <w:r w:rsidRPr="00B00FCB">
        <w:rPr>
          <w:rFonts w:ascii="Verdana" w:hAnsi="Verdana" w:cs="Arial"/>
          <w:lang w:val="es-MX"/>
        </w:rPr>
        <w:t xml:space="preserve">Constancias y/o hojas de asistencia de la comunidad, empleados y autoridades que participaron en los programas y convocatorias del área de Gestión Social. </w:t>
      </w:r>
    </w:p>
    <w:p w14:paraId="0815BBAB" w14:textId="77777777" w:rsidR="002033F1" w:rsidRPr="00B00FCB" w:rsidRDefault="002033F1" w:rsidP="00E42FDE">
      <w:pPr>
        <w:pStyle w:val="Prrafodelista"/>
        <w:numPr>
          <w:ilvl w:val="0"/>
          <w:numId w:val="55"/>
        </w:numPr>
        <w:spacing w:after="0"/>
        <w:rPr>
          <w:rFonts w:ascii="Verdana" w:hAnsi="Verdana" w:cs="Arial"/>
          <w:lang w:val="es-MX"/>
        </w:rPr>
      </w:pPr>
      <w:r w:rsidRPr="00B00FCB">
        <w:rPr>
          <w:rFonts w:ascii="Verdana" w:hAnsi="Verdana" w:cs="Arial"/>
          <w:lang w:val="es-MX"/>
        </w:rPr>
        <w:t>Constancias y/o copia de contratos que acrediten la vinculación de personal de la comunidad, descrito en estos numerales.</w:t>
      </w:r>
    </w:p>
    <w:p w14:paraId="44CD3A5B" w14:textId="77777777" w:rsidR="002033F1" w:rsidRPr="00B00FCB" w:rsidRDefault="002033F1" w:rsidP="00E42FDE">
      <w:pPr>
        <w:pStyle w:val="Prrafodelista"/>
        <w:numPr>
          <w:ilvl w:val="0"/>
          <w:numId w:val="55"/>
        </w:numPr>
        <w:spacing w:after="0"/>
        <w:rPr>
          <w:rFonts w:ascii="Verdana" w:eastAsia="Arial" w:hAnsi="Verdana" w:cs="Arial"/>
          <w:lang w:val="es-MX"/>
        </w:rPr>
      </w:pPr>
      <w:r w:rsidRPr="00B00FCB">
        <w:rPr>
          <w:rFonts w:ascii="Verdana" w:hAnsi="Verdana" w:cs="Arial"/>
          <w:lang w:val="es-MX"/>
        </w:rPr>
        <w:t>Presentación de los documentos, fichas o todos aquellos que acrediten el cumplimiento de cada uno de los componentes descritos en el presente programa</w:t>
      </w:r>
      <w:r w:rsidRPr="00B00FCB">
        <w:rPr>
          <w:rFonts w:ascii="Verdana" w:eastAsia="Arial" w:hAnsi="Verdana" w:cs="Arial"/>
          <w:lang w:val="es-MX"/>
        </w:rPr>
        <w:t>.</w:t>
      </w:r>
    </w:p>
    <w:p w14:paraId="12C646D5" w14:textId="77777777" w:rsidR="0048119F" w:rsidRDefault="0048119F" w:rsidP="00FE2C92">
      <w:pPr>
        <w:jc w:val="both"/>
        <w:rPr>
          <w:rFonts w:ascii="Verdana" w:eastAsia="Arial" w:hAnsi="Verdana" w:cs="Arial"/>
          <w:lang w:val="es-MX"/>
        </w:rPr>
      </w:pPr>
    </w:p>
    <w:p w14:paraId="1BB96805" w14:textId="3C4088A0" w:rsidR="67F30284" w:rsidRPr="00B00FCB" w:rsidRDefault="67F30284" w:rsidP="00FE2C92">
      <w:pPr>
        <w:jc w:val="both"/>
        <w:rPr>
          <w:rFonts w:ascii="Verdana" w:eastAsia="Arial" w:hAnsi="Verdana" w:cs="Arial"/>
          <w:lang w:val="es-MX"/>
        </w:rPr>
      </w:pPr>
      <w:r w:rsidRPr="00B00FCB">
        <w:rPr>
          <w:rFonts w:ascii="Verdana" w:eastAsia="Arial" w:hAnsi="Verdana" w:cs="Arial"/>
          <w:lang w:val="es-MX"/>
        </w:rPr>
        <w:t xml:space="preserve">Es menester precisar que </w:t>
      </w:r>
      <w:r w:rsidR="453D418B" w:rsidRPr="00B00FCB">
        <w:rPr>
          <w:rFonts w:ascii="Verdana" w:eastAsia="Arial" w:hAnsi="Verdana" w:cs="Arial"/>
          <w:lang w:val="es-MX"/>
        </w:rPr>
        <w:t>los rangos de cuantía según el presupuesto oficial de</w:t>
      </w:r>
      <w:r w:rsidR="49AC97F3" w:rsidRPr="00B00FCB">
        <w:rPr>
          <w:rFonts w:ascii="Verdana" w:eastAsia="Arial" w:hAnsi="Verdana" w:cs="Arial"/>
          <w:lang w:val="es-MX"/>
        </w:rPr>
        <w:t>l proceso</w:t>
      </w:r>
      <w:r w:rsidR="453D418B" w:rsidRPr="00B00FCB">
        <w:rPr>
          <w:rFonts w:ascii="Verdana" w:eastAsia="Arial" w:hAnsi="Verdana" w:cs="Arial"/>
          <w:lang w:val="es-MX"/>
        </w:rPr>
        <w:t xml:space="preserve"> </w:t>
      </w:r>
      <w:r w:rsidRPr="00B00FCB">
        <w:rPr>
          <w:rFonts w:ascii="Verdana" w:eastAsia="Arial" w:hAnsi="Verdana" w:cs="Arial"/>
          <w:lang w:val="es-MX"/>
        </w:rPr>
        <w:t>aplican según modalidad de contratación</w:t>
      </w:r>
      <w:r w:rsidR="498E19CB" w:rsidRPr="00B00FCB">
        <w:rPr>
          <w:rFonts w:ascii="Verdana" w:eastAsia="Arial" w:hAnsi="Verdana" w:cs="Arial"/>
          <w:lang w:val="es-MX"/>
        </w:rPr>
        <w:t>,</w:t>
      </w:r>
      <w:r w:rsidRPr="00B00FCB">
        <w:rPr>
          <w:rFonts w:ascii="Verdana" w:eastAsia="Arial" w:hAnsi="Verdana" w:cs="Arial"/>
          <w:lang w:val="es-MX"/>
        </w:rPr>
        <w:t xml:space="preserve"> así: </w:t>
      </w:r>
    </w:p>
    <w:p w14:paraId="7F8CE2C9" w14:textId="648F9662" w:rsidR="331720D0" w:rsidRPr="00C46ACD" w:rsidRDefault="331720D0" w:rsidP="00FE2C92">
      <w:pPr>
        <w:rPr>
          <w:rFonts w:ascii="Verdana" w:eastAsia="Arial" w:hAnsi="Verdana" w:cs="Arial"/>
          <w:highlight w:val="yellow"/>
          <w:lang w:val="es-MX"/>
        </w:rPr>
      </w:pPr>
    </w:p>
    <w:p w14:paraId="2B8F0CA9" w14:textId="446EF9D8" w:rsidR="3FF00102" w:rsidRPr="00B00FCB" w:rsidRDefault="3FF00102" w:rsidP="00E42FDE">
      <w:pPr>
        <w:pStyle w:val="Prrafodelista"/>
        <w:numPr>
          <w:ilvl w:val="0"/>
          <w:numId w:val="55"/>
        </w:numPr>
        <w:spacing w:after="0"/>
        <w:rPr>
          <w:rFonts w:ascii="Verdana" w:eastAsia="Arial" w:hAnsi="Verdana" w:cs="Arial"/>
          <w:lang w:val="es-MX"/>
        </w:rPr>
      </w:pPr>
      <w:r w:rsidRPr="00B00FCB">
        <w:rPr>
          <w:rFonts w:ascii="Verdana" w:eastAsia="Arial" w:hAnsi="Verdana" w:cs="Arial"/>
          <w:lang w:val="es-MX"/>
        </w:rPr>
        <w:t xml:space="preserve">Licitación Pública: Rango 1, 2 y 3 </w:t>
      </w:r>
    </w:p>
    <w:p w14:paraId="09EDD6AB" w14:textId="75141FF3" w:rsidR="3FF00102" w:rsidRPr="00B00FCB" w:rsidRDefault="65BF5EDE" w:rsidP="00E42FDE">
      <w:pPr>
        <w:pStyle w:val="Prrafodelista"/>
        <w:numPr>
          <w:ilvl w:val="0"/>
          <w:numId w:val="55"/>
        </w:numPr>
        <w:spacing w:after="0"/>
        <w:rPr>
          <w:rFonts w:ascii="Verdana" w:eastAsia="Arial" w:hAnsi="Verdana" w:cs="Arial"/>
          <w:lang w:val="es-MX"/>
        </w:rPr>
      </w:pPr>
      <w:r w:rsidRPr="00B00FCB">
        <w:rPr>
          <w:rFonts w:ascii="Verdana" w:eastAsia="Arial" w:hAnsi="Verdana" w:cs="Arial"/>
          <w:lang w:val="es-MX"/>
        </w:rPr>
        <w:t xml:space="preserve">Selección abreviada de menor cuantía: Rango 1 </w:t>
      </w:r>
      <w:r w:rsidR="48CD5AB6" w:rsidRPr="27D648A7">
        <w:rPr>
          <w:rFonts w:ascii="Verdana" w:eastAsia="Arial" w:hAnsi="Verdana" w:cs="Arial"/>
          <w:lang w:val="es-MX"/>
        </w:rPr>
        <w:t xml:space="preserve">y las </w:t>
      </w:r>
      <w:r w:rsidR="12DE85DF" w:rsidRPr="27D648A7">
        <w:rPr>
          <w:rFonts w:ascii="Verdana" w:eastAsia="Arial" w:hAnsi="Verdana" w:cs="Arial"/>
          <w:lang w:val="es-MX"/>
        </w:rPr>
        <w:t xml:space="preserve">3 </w:t>
      </w:r>
      <w:r w:rsidR="48CD5AB6" w:rsidRPr="27D648A7">
        <w:rPr>
          <w:rFonts w:ascii="Verdana" w:eastAsia="Arial" w:hAnsi="Verdana" w:cs="Arial"/>
          <w:lang w:val="es-MX"/>
        </w:rPr>
        <w:t>opciones de</w:t>
      </w:r>
      <w:r w:rsidR="12DE85DF" w:rsidRPr="27D648A7">
        <w:rPr>
          <w:rFonts w:ascii="Verdana" w:eastAsia="Arial" w:hAnsi="Verdana" w:cs="Arial"/>
          <w:lang w:val="es-MX"/>
        </w:rPr>
        <w:t>l rango 3 que estaban vigentes en el DT de Licitación de obra P</w:t>
      </w:r>
      <w:r w:rsidR="22E14EB8" w:rsidRPr="27D648A7">
        <w:rPr>
          <w:rFonts w:ascii="Verdana" w:eastAsia="Arial" w:hAnsi="Verdana" w:cs="Arial"/>
          <w:lang w:val="es-MX"/>
        </w:rPr>
        <w:t>ú</w:t>
      </w:r>
      <w:r w:rsidR="12DE85DF" w:rsidRPr="27D648A7">
        <w:rPr>
          <w:rFonts w:ascii="Verdana" w:eastAsia="Arial" w:hAnsi="Verdana" w:cs="Arial"/>
          <w:lang w:val="es-MX"/>
        </w:rPr>
        <w:t>blica.</w:t>
      </w:r>
    </w:p>
    <w:p w14:paraId="312DE8B4" w14:textId="03F1792A" w:rsidR="00F20A47" w:rsidRPr="00A81BAA" w:rsidRDefault="00F20A47" w:rsidP="00E42FDE">
      <w:pPr>
        <w:pStyle w:val="Ttulo1"/>
        <w:numPr>
          <w:ilvl w:val="0"/>
          <w:numId w:val="44"/>
        </w:numPr>
        <w:jc w:val="both"/>
        <w:rPr>
          <w:rFonts w:ascii="Verdana" w:hAnsi="Verdana" w:cs="Arial"/>
          <w:color w:val="auto"/>
          <w:szCs w:val="22"/>
        </w:rPr>
      </w:pPr>
      <w:bookmarkStart w:id="61" w:name="_Toc196716372"/>
      <w:r w:rsidRPr="00A81BAA">
        <w:rPr>
          <w:rFonts w:ascii="Verdana" w:hAnsi="Verdana" w:cs="Arial"/>
          <w:color w:val="auto"/>
          <w:szCs w:val="22"/>
        </w:rPr>
        <w:lastRenderedPageBreak/>
        <w:t>Análisis de la adopción de criterios diferenciales en favor de las Mipyme</w:t>
      </w:r>
      <w:r w:rsidR="00895149" w:rsidRPr="00A81BAA">
        <w:rPr>
          <w:rFonts w:ascii="Verdana" w:hAnsi="Verdana" w:cs="Arial"/>
          <w:color w:val="auto"/>
          <w:szCs w:val="22"/>
        </w:rPr>
        <w:t xml:space="preserve">, </w:t>
      </w:r>
      <w:r w:rsidRPr="00A81BAA">
        <w:rPr>
          <w:rFonts w:ascii="Verdana" w:hAnsi="Verdana" w:cs="Arial"/>
          <w:color w:val="auto"/>
          <w:szCs w:val="22"/>
        </w:rPr>
        <w:t>emprendimientos y empresas de mujeres</w:t>
      </w:r>
      <w:r w:rsidR="00A45B8E" w:rsidRPr="00A81BAA">
        <w:rPr>
          <w:rFonts w:ascii="Verdana" w:hAnsi="Verdana" w:cs="Arial"/>
          <w:color w:val="auto"/>
          <w:szCs w:val="22"/>
        </w:rPr>
        <w:t xml:space="preserve"> y población vulnerable.</w:t>
      </w:r>
      <w:bookmarkEnd w:id="61"/>
      <w:r w:rsidRPr="00A81BAA">
        <w:rPr>
          <w:rFonts w:ascii="Verdana" w:hAnsi="Verdana" w:cs="Arial"/>
          <w:color w:val="auto"/>
          <w:szCs w:val="22"/>
        </w:rPr>
        <w:t xml:space="preserve"> </w:t>
      </w:r>
    </w:p>
    <w:p w14:paraId="18BD6126" w14:textId="77777777" w:rsidR="0082737A" w:rsidRPr="00A81BAA" w:rsidRDefault="0082737A" w:rsidP="0001608E">
      <w:pPr>
        <w:rPr>
          <w:rFonts w:ascii="Verdana" w:hAnsi="Verdana" w:cs="Arial"/>
          <w:sz w:val="22"/>
          <w:szCs w:val="22"/>
        </w:rPr>
      </w:pPr>
    </w:p>
    <w:p w14:paraId="1232B00B" w14:textId="77777777" w:rsidR="00097152" w:rsidRPr="00A81BAA" w:rsidRDefault="00097152" w:rsidP="00E42FDE">
      <w:pPr>
        <w:pStyle w:val="Prrafodelista"/>
        <w:numPr>
          <w:ilvl w:val="0"/>
          <w:numId w:val="50"/>
        </w:numPr>
        <w:rPr>
          <w:rFonts w:ascii="Verdana" w:eastAsia="Times New Roman" w:hAnsi="Verdana" w:cs="Arial"/>
          <w:b/>
          <w:lang w:eastAsia="es-MX"/>
        </w:rPr>
      </w:pPr>
      <w:r w:rsidRPr="00A81BAA">
        <w:rPr>
          <w:rFonts w:ascii="Verdana" w:eastAsia="Times New Roman" w:hAnsi="Verdana" w:cs="Arial"/>
          <w:b/>
          <w:lang w:eastAsia="es-MX"/>
        </w:rPr>
        <w:t>Mipymes</w:t>
      </w:r>
    </w:p>
    <w:p w14:paraId="3D985D8E" w14:textId="77777777" w:rsidR="00097152" w:rsidRPr="00A81BAA" w:rsidRDefault="590BA805"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Según la OIT “Las microempresas y las pequeñas y medianas empresas (comúnmente conocidas como pymes) engloban más de dos tercios de la totalidad del empleo en el mundo y, además, generan la mayor parte de los nuevos puestos de trabajo”</w:t>
      </w:r>
      <w:r w:rsidR="00097152" w:rsidRPr="00A81BAA">
        <w:rPr>
          <w:rFonts w:ascii="Verdana" w:eastAsia="Times New Roman" w:hAnsi="Verdana" w:cs="Arial"/>
          <w:vertAlign w:val="superscript"/>
          <w:lang w:val="es-CO" w:eastAsia="es-MX"/>
        </w:rPr>
        <w:footnoteReference w:id="43"/>
      </w:r>
      <w:r w:rsidRPr="00A81BAA">
        <w:rPr>
          <w:rFonts w:ascii="Verdana" w:eastAsia="Times New Roman" w:hAnsi="Verdana" w:cs="Arial"/>
          <w:lang w:val="es-CO" w:eastAsia="es-MX"/>
        </w:rPr>
        <w:t>, en torno a ello en los últimos años se han adoptado medidas tendientes a fortalecer las pequeñas y medianas empresas como motor de crecimiento, desarrollo y reactivación económica.</w:t>
      </w:r>
    </w:p>
    <w:p w14:paraId="1949D5F9" w14:textId="77777777" w:rsidR="00097152" w:rsidRPr="00A81BAA" w:rsidRDefault="00097152" w:rsidP="00097152">
      <w:pPr>
        <w:pStyle w:val="Normal0"/>
        <w:spacing w:after="0"/>
        <w:rPr>
          <w:rFonts w:ascii="Verdana" w:eastAsia="Times New Roman" w:hAnsi="Verdana" w:cs="Arial"/>
          <w:lang w:val="es-CO" w:eastAsia="es-MX"/>
        </w:rPr>
      </w:pPr>
    </w:p>
    <w:p w14:paraId="40A26C93" w14:textId="77777777" w:rsidR="00097152" w:rsidRPr="00A81BAA" w:rsidRDefault="590BA805"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La OIT manifiesta que, si bien las Mipyme son un elemento fundamental en la generación de empleo en América Latina, sus niveles de productividad tienden a ser menores en relación con otras regiones del mundo</w:t>
      </w:r>
      <w:r w:rsidR="00097152" w:rsidRPr="00A81BAA">
        <w:rPr>
          <w:rFonts w:ascii="Verdana" w:eastAsia="Times New Roman" w:hAnsi="Verdana" w:cs="Arial"/>
          <w:vertAlign w:val="superscript"/>
          <w:lang w:val="es-CO" w:eastAsia="es-MX"/>
        </w:rPr>
        <w:footnoteReference w:id="44"/>
      </w:r>
      <w:r w:rsidRPr="00A81BAA">
        <w:rPr>
          <w:rFonts w:ascii="Verdana" w:eastAsia="Times New Roman" w:hAnsi="Verdana" w:cs="Arial"/>
          <w:lang w:val="es-CO" w:eastAsia="es-MX"/>
        </w:rPr>
        <w:t>. En este sentido, el ambiente de negocios en el que estas empresas operan en la región comúnmente frena su productividad e impide su desarrollo y competitividad</w:t>
      </w:r>
      <w:r w:rsidR="00097152" w:rsidRPr="00A81BAA">
        <w:rPr>
          <w:rFonts w:ascii="Verdana" w:eastAsia="Times New Roman" w:hAnsi="Verdana" w:cs="Arial"/>
          <w:vertAlign w:val="superscript"/>
          <w:lang w:val="es-CO" w:eastAsia="es-MX"/>
        </w:rPr>
        <w:footnoteReference w:id="45"/>
      </w:r>
      <w:r w:rsidRPr="00A81BAA">
        <w:rPr>
          <w:rFonts w:ascii="Verdana" w:eastAsia="Times New Roman" w:hAnsi="Verdana" w:cs="Arial"/>
          <w:lang w:val="es-CO" w:eastAsia="es-MX"/>
        </w:rPr>
        <w:t>. Al respecto, este organismo señala que, en la fase de recuperación, las políticas públicas orientadas a las Mipyme deben tener en cuenta las problemáticas en el ambiente de negocios de cada país. Algunos de los obstáculos más comunes son: la competencia desleal por parte de los competidores informales, la falta de acceso a financiamiento, la escasa participación de la mujer en el mercado laboral, la falta de innovación, entre otros</w:t>
      </w:r>
      <w:r w:rsidR="00097152" w:rsidRPr="00A81BAA">
        <w:rPr>
          <w:rFonts w:ascii="Verdana" w:eastAsia="Times New Roman" w:hAnsi="Verdana" w:cs="Arial"/>
          <w:vertAlign w:val="superscript"/>
          <w:lang w:val="es-CO" w:eastAsia="es-MX"/>
        </w:rPr>
        <w:footnoteReference w:id="46"/>
      </w:r>
      <w:r w:rsidRPr="00A81BAA">
        <w:rPr>
          <w:rFonts w:ascii="Verdana" w:eastAsia="Times New Roman" w:hAnsi="Verdana" w:cs="Arial"/>
          <w:lang w:val="es-CO" w:eastAsia="es-MX"/>
        </w:rPr>
        <w:t>. Estos factores impiden a las Mipyme alcanzar su más amplio potencial productivo, por lo que las políticas implementadas en la fase de recuperación deben considerar las características y limitantes del entorno del mercado.</w:t>
      </w:r>
    </w:p>
    <w:p w14:paraId="322C294E" w14:textId="77777777" w:rsidR="00097152" w:rsidRPr="00A81BAA" w:rsidRDefault="00097152" w:rsidP="00097152">
      <w:pPr>
        <w:pStyle w:val="Normal0"/>
        <w:spacing w:after="0"/>
        <w:rPr>
          <w:rFonts w:ascii="Verdana" w:eastAsia="Times New Roman" w:hAnsi="Verdana" w:cs="Arial"/>
          <w:lang w:val="es-CO" w:eastAsia="es-MX"/>
        </w:rPr>
      </w:pPr>
    </w:p>
    <w:p w14:paraId="6339705F" w14:textId="77777777" w:rsidR="00097152" w:rsidRPr="00A81BAA" w:rsidRDefault="590BA805"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 xml:space="preserve">Bajo esta perspectiva y en la búsqueda de fortalecer las Mipyme en Colombia, se expidió la Ley 2069 del 31 de diciembre de 2020, “Por medio de la cual se impulsa el emprendimiento en Colombia”, la cual establece un marco regulatorio que propicia el emprendimiento, crecimiento, consolidación y sostenibilidad de las empresas, con el fin de aumentar el bienestar social y generar equidad. Según la exposición de motivos del proyecto que originó la Ley de Emprendimiento, esta norma “[…] propone facilitar el acceso de las Mipyme a la modalidad de contratación de mínima cuantía, la limitación de estos procesos a Mipyme, define la posibilidad de establecer criterios diferenciales a </w:t>
      </w:r>
      <w:r w:rsidRPr="00A81BAA">
        <w:rPr>
          <w:rFonts w:ascii="Verdana" w:eastAsia="Times New Roman" w:hAnsi="Verdana" w:cs="Arial"/>
          <w:lang w:val="es-CO" w:eastAsia="es-MX"/>
        </w:rPr>
        <w:lastRenderedPageBreak/>
        <w:t>favor de las Mipyme en los procesos de contratación pública, amplía el ámbito de aplicación de las medidas de compras públicas a Entidades que hoy están excluidas, establece la creación de un sistema de información e indicadores para evaluar la efectividad de las medidas adoptadas y define la inclusión de factores de desempate en los procesos de contratación pública que priorizan este segmento"</w:t>
      </w:r>
      <w:r w:rsidR="00097152" w:rsidRPr="00A81BAA">
        <w:rPr>
          <w:rFonts w:ascii="Verdana" w:eastAsia="Times New Roman" w:hAnsi="Verdana" w:cs="Arial"/>
          <w:vertAlign w:val="superscript"/>
          <w:lang w:val="es-CO" w:eastAsia="es-MX"/>
        </w:rPr>
        <w:footnoteReference w:id="47"/>
      </w:r>
      <w:r w:rsidRPr="00A81BAA">
        <w:rPr>
          <w:rFonts w:ascii="Verdana" w:eastAsia="Times New Roman" w:hAnsi="Verdana" w:cs="Arial"/>
          <w:lang w:val="es-CO" w:eastAsia="es-MX"/>
        </w:rPr>
        <w:t>.</w:t>
      </w:r>
    </w:p>
    <w:p w14:paraId="2D98E0F4" w14:textId="77777777" w:rsidR="00097152" w:rsidRPr="00A81BAA" w:rsidRDefault="00097152" w:rsidP="00097152">
      <w:pPr>
        <w:pStyle w:val="Normal0"/>
        <w:spacing w:after="0"/>
        <w:rPr>
          <w:rFonts w:ascii="Verdana" w:eastAsia="Times New Roman" w:hAnsi="Verdana" w:cs="Arial"/>
          <w:lang w:val="es-CO" w:eastAsia="es-MX"/>
        </w:rPr>
      </w:pPr>
    </w:p>
    <w:p w14:paraId="5CFAAE74" w14:textId="77777777" w:rsidR="00097152" w:rsidRPr="00A81BAA" w:rsidRDefault="00097152"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Estos estímulos e incentivos construidos por la Ley 2069 de 2020, en especial, en su Capítulo III “Compras públicas” del Título I</w:t>
      </w:r>
      <w:r w:rsidRPr="00A81BAA" w:rsidDel="0094280A">
        <w:rPr>
          <w:rFonts w:ascii="Verdana" w:eastAsia="Times New Roman" w:hAnsi="Verdana" w:cs="Arial"/>
          <w:lang w:val="es-CO" w:eastAsia="es-MX"/>
        </w:rPr>
        <w:t xml:space="preserve"> </w:t>
      </w:r>
      <w:r w:rsidRPr="00A81BAA">
        <w:rPr>
          <w:rFonts w:ascii="Verdana" w:eastAsia="Times New Roman" w:hAnsi="Verdana" w:cs="Arial"/>
          <w:lang w:val="es-CO" w:eastAsia="es-MX"/>
        </w:rPr>
        <w:t xml:space="preserve">modifica varias disposiciones que regían el sistema de compra y contratación pública, las cuales tienen un impacto en distintas normas legales y reglamentarias. En efecto, para entender un poco de la importancia de las Mipyme es necesario acudir a diversos estudios realizados por diferentes Entidades gubernamentales y no gubernamentales sobre el desarrollo económico que generan este tipo de organizaciones en nuestro país y la necesidad de incentivarlos en el marco del desarrollo, crecimiento y reactivación económica. </w:t>
      </w:r>
    </w:p>
    <w:p w14:paraId="180392BA" w14:textId="77777777" w:rsidR="00097152" w:rsidRPr="00A81BAA" w:rsidRDefault="00097152" w:rsidP="00097152">
      <w:pPr>
        <w:pStyle w:val="Normal0"/>
        <w:spacing w:after="0"/>
        <w:rPr>
          <w:rFonts w:ascii="Verdana" w:eastAsia="Times New Roman" w:hAnsi="Verdana" w:cs="Arial"/>
          <w:lang w:val="es-CO" w:eastAsia="es-MX"/>
        </w:rPr>
      </w:pPr>
    </w:p>
    <w:p w14:paraId="5C20A357" w14:textId="77777777" w:rsidR="00097152" w:rsidRPr="00A81BAA" w:rsidRDefault="00097152" w:rsidP="00097152">
      <w:pPr>
        <w:pStyle w:val="Normal0"/>
        <w:rPr>
          <w:rFonts w:ascii="Verdana" w:eastAsia="Times New Roman" w:hAnsi="Verdana" w:cs="Arial"/>
          <w:lang w:val="es-CO" w:eastAsia="es-MX"/>
        </w:rPr>
      </w:pPr>
      <w:r w:rsidRPr="00A81BAA">
        <w:rPr>
          <w:rFonts w:ascii="Verdana" w:eastAsia="Times New Roman" w:hAnsi="Verdana" w:cs="Arial"/>
          <w:lang w:val="es-CO" w:eastAsia="es-MX"/>
        </w:rPr>
        <w:t xml:space="preserve">Al respecto, la Confederación Colombiana de Cámaras de Comercio –Confecámaras– presentó un informe de Dinámica de Creación de Empresas que analizó el comportamiento de la constitución de sociedades y matrícula de personas naturales entre enero y diciembre de 2023. La fuente de información de este informe es la reportada en el Registro Único Empresarial y Social –RUES–, que recoge información registral de las Cámaras de Comercio del país y permite seguir la demografía de las empresas por organización jurídica, sectores y tamaño. En esta línea, entre enero y diciembre del 2023 se crearon trescientos cinco mil novecientos noventa y siete (305.997) unidades productivas o empresas, uno coma cinco por ciento (1,5%) menos que en 2022, cuando nacieron trescientos diez mil setecientos treinta y un unidades productivas o empresas (310.731). Del total de unidades registradas durante el 2023, el 74,4% corresponden a personas naturales y el 25,6% a sociedades. </w:t>
      </w:r>
    </w:p>
    <w:p w14:paraId="5670761C" w14:textId="073A65D4" w:rsidR="00097152" w:rsidRPr="00A81BAA" w:rsidRDefault="004C33A5" w:rsidP="005C7E10">
      <w:pPr>
        <w:pStyle w:val="Descripcin"/>
        <w:jc w:val="center"/>
        <w:rPr>
          <w:rFonts w:ascii="Verdana" w:eastAsia="Times New Roman" w:hAnsi="Verdana" w:cs="Arial"/>
          <w:lang w:val="es-CO" w:eastAsia="es-MX"/>
        </w:rPr>
      </w:pPr>
      <w:bookmarkStart w:id="62" w:name="_Toc180136807"/>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41</w:t>
      </w:r>
      <w:r w:rsidRPr="005C7E10">
        <w:rPr>
          <w:rFonts w:ascii="Verdana" w:hAnsi="Verdana"/>
          <w:sz w:val="22"/>
          <w:szCs w:val="22"/>
        </w:rPr>
        <w:fldChar w:fldCharType="end"/>
      </w:r>
      <w:r w:rsidRPr="005C7E10">
        <w:rPr>
          <w:rFonts w:ascii="Verdana" w:hAnsi="Verdana"/>
          <w:sz w:val="22"/>
          <w:szCs w:val="22"/>
        </w:rPr>
        <w:t>. Unidades productivas creadas por tamaño</w:t>
      </w:r>
      <w:r w:rsidR="00097152" w:rsidRPr="00A81BAA">
        <w:rPr>
          <w:rFonts w:ascii="Verdana" w:eastAsia="Times New Roman" w:hAnsi="Verdana" w:cs="Arial"/>
          <w:noProof/>
          <w:lang w:val="es-CO" w:eastAsia="es-MX"/>
        </w:rPr>
        <w:drawing>
          <wp:inline distT="0" distB="0" distL="0" distR="0" wp14:anchorId="57C8DBA9" wp14:editId="5364666A">
            <wp:extent cx="3774100" cy="1200031"/>
            <wp:effectExtent l="0" t="0" r="0" b="635"/>
            <wp:docPr id="86935562" name="Imagen 1" descr="Captura de pantalla de un cel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5562" name="Imagen 1" descr="Captura de pantalla de un celular&#10;&#10;Descripción generada automáticamente"/>
                    <pic:cNvPicPr/>
                  </pic:nvPicPr>
                  <pic:blipFill rotWithShape="1">
                    <a:blip r:embed="rId90"/>
                    <a:srcRect l="18393"/>
                    <a:stretch/>
                  </pic:blipFill>
                  <pic:spPr bwMode="auto">
                    <a:xfrm>
                      <a:off x="0" y="0"/>
                      <a:ext cx="3780207" cy="1201973"/>
                    </a:xfrm>
                    <a:prstGeom prst="rect">
                      <a:avLst/>
                    </a:prstGeom>
                    <a:ln>
                      <a:noFill/>
                    </a:ln>
                    <a:extLst>
                      <a:ext uri="{53640926-AAD7-44D8-BBD7-CCE9431645EC}">
                        <a14:shadowObscured xmlns:a14="http://schemas.microsoft.com/office/drawing/2010/main"/>
                      </a:ext>
                    </a:extLst>
                  </pic:spPr>
                </pic:pic>
              </a:graphicData>
            </a:graphic>
          </wp:inline>
        </w:drawing>
      </w:r>
      <w:bookmarkEnd w:id="62"/>
    </w:p>
    <w:p w14:paraId="336FFDF1" w14:textId="77777777" w:rsidR="00097152" w:rsidRPr="00A81BAA" w:rsidRDefault="590BA805" w:rsidP="00097152">
      <w:pPr>
        <w:pBdr>
          <w:top w:val="nil"/>
          <w:left w:val="nil"/>
          <w:bottom w:val="nil"/>
          <w:right w:val="nil"/>
          <w:between w:val="nil"/>
        </w:pBdr>
        <w:jc w:val="center"/>
        <w:rPr>
          <w:rFonts w:ascii="Verdana" w:eastAsia="Arial Narrow" w:hAnsi="Verdana" w:cs="Arial"/>
          <w:b/>
          <w:sz w:val="16"/>
          <w:szCs w:val="16"/>
        </w:rPr>
      </w:pPr>
      <w:r w:rsidRPr="00A81BAA">
        <w:rPr>
          <w:rFonts w:ascii="Verdana" w:hAnsi="Verdana" w:cs="Arial"/>
          <w:sz w:val="16"/>
          <w:szCs w:val="16"/>
        </w:rPr>
        <w:lastRenderedPageBreak/>
        <w:t>Fuente: Red de Cámaras de Comercio – Confecámaras 2022 - 2023.</w:t>
      </w:r>
      <w:r w:rsidR="00097152" w:rsidRPr="00A81BAA">
        <w:rPr>
          <w:rStyle w:val="Refdenotaalpie"/>
          <w:rFonts w:ascii="Verdana" w:hAnsi="Verdana" w:cs="Arial"/>
          <w:sz w:val="16"/>
          <w:szCs w:val="16"/>
        </w:rPr>
        <w:footnoteReference w:id="48"/>
      </w:r>
    </w:p>
    <w:p w14:paraId="28237B77" w14:textId="1C86881F" w:rsidR="29E23CA7" w:rsidRPr="00A81BAA" w:rsidRDefault="29E23CA7" w:rsidP="29E23CA7">
      <w:pPr>
        <w:pStyle w:val="Normal0"/>
        <w:rPr>
          <w:rFonts w:ascii="Verdana" w:eastAsia="Times New Roman" w:hAnsi="Verdana" w:cs="Arial"/>
          <w:lang w:val="es-CO" w:eastAsia="es-MX"/>
        </w:rPr>
      </w:pPr>
    </w:p>
    <w:p w14:paraId="6A6DE45C" w14:textId="77777777" w:rsidR="00097152" w:rsidRPr="00A81BAA" w:rsidRDefault="00097152" w:rsidP="00097152">
      <w:pPr>
        <w:pStyle w:val="Normal0"/>
        <w:rPr>
          <w:rFonts w:ascii="Verdana" w:eastAsia="Times New Roman" w:hAnsi="Verdana" w:cs="Arial"/>
          <w:lang w:val="es-CO" w:eastAsia="es-MX"/>
        </w:rPr>
      </w:pPr>
      <w:r w:rsidRPr="00A81BAA">
        <w:rPr>
          <w:rFonts w:ascii="Verdana" w:eastAsia="Times New Roman" w:hAnsi="Verdana" w:cs="Arial"/>
          <w:lang w:val="es-CO" w:eastAsia="es-MX"/>
        </w:rPr>
        <w:t>Esta misma organización señaló que en 2023, se crearon 78.428 empresas como sociedades, lo que representó una disminución del 3,6% en comparación con las 81.350 empresas creadas en 2022. De las sociedades creadas en 2023, 77.505 eran microempresas, 883 pequeñas, 34 medianas y 6 grandes. De igual manera, se observó una disminución en la creación de empresas de este tipo de organización jurídica, independientemente de su tamaño.</w:t>
      </w:r>
    </w:p>
    <w:p w14:paraId="5AB61541" w14:textId="77777777" w:rsidR="004C33A5" w:rsidRPr="005C7E10" w:rsidRDefault="004C33A5" w:rsidP="004C33A5">
      <w:pPr>
        <w:pStyle w:val="Normal0"/>
        <w:spacing w:after="0"/>
        <w:jc w:val="center"/>
        <w:rPr>
          <w:rFonts w:ascii="Verdana" w:hAnsi="Verdana" w:cs="Arial"/>
          <w:b/>
          <w:bCs/>
          <w:sz w:val="24"/>
          <w:szCs w:val="24"/>
        </w:rPr>
      </w:pPr>
    </w:p>
    <w:p w14:paraId="37F37B98" w14:textId="56D69B6E" w:rsidR="00097152" w:rsidRPr="00A81BAA" w:rsidRDefault="004C33A5" w:rsidP="005C7E10">
      <w:pPr>
        <w:pStyle w:val="Descripcin"/>
        <w:jc w:val="center"/>
        <w:rPr>
          <w:rFonts w:ascii="Verdana" w:eastAsia="Times New Roman" w:hAnsi="Verdana" w:cs="Arial"/>
          <w:lang w:val="es-CO" w:eastAsia="es-MX"/>
        </w:rPr>
      </w:pPr>
      <w:bookmarkStart w:id="63" w:name="_Toc180136808"/>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42</w:t>
      </w:r>
      <w:r w:rsidRPr="005C7E10">
        <w:rPr>
          <w:rFonts w:ascii="Verdana" w:hAnsi="Verdana"/>
          <w:sz w:val="22"/>
          <w:szCs w:val="22"/>
        </w:rPr>
        <w:fldChar w:fldCharType="end"/>
      </w:r>
      <w:r w:rsidRPr="005C7E10">
        <w:rPr>
          <w:rFonts w:ascii="Verdana" w:hAnsi="Verdana"/>
          <w:sz w:val="22"/>
          <w:szCs w:val="22"/>
        </w:rPr>
        <w:t>. Nuevas sociedades por tamaño</w:t>
      </w:r>
      <w:r w:rsidR="00097152" w:rsidRPr="00A81BAA">
        <w:rPr>
          <w:rFonts w:ascii="Verdana" w:eastAsia="Times New Roman" w:hAnsi="Verdana" w:cs="Arial"/>
          <w:noProof/>
          <w:lang w:val="es-CO" w:eastAsia="es-MX"/>
        </w:rPr>
        <w:drawing>
          <wp:inline distT="0" distB="0" distL="0" distR="0" wp14:anchorId="3D24E58E" wp14:editId="4006ABBE">
            <wp:extent cx="3686689" cy="1162212"/>
            <wp:effectExtent l="0" t="0" r="9525" b="0"/>
            <wp:docPr id="23099199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91996" name="Imagen 1" descr="Tabla&#10;&#10;Descripción generada automáticamente"/>
                    <pic:cNvPicPr/>
                  </pic:nvPicPr>
                  <pic:blipFill>
                    <a:blip r:embed="rId91"/>
                    <a:stretch>
                      <a:fillRect/>
                    </a:stretch>
                  </pic:blipFill>
                  <pic:spPr>
                    <a:xfrm>
                      <a:off x="0" y="0"/>
                      <a:ext cx="3686689" cy="1162212"/>
                    </a:xfrm>
                    <a:prstGeom prst="rect">
                      <a:avLst/>
                    </a:prstGeom>
                  </pic:spPr>
                </pic:pic>
              </a:graphicData>
            </a:graphic>
          </wp:inline>
        </w:drawing>
      </w:r>
      <w:bookmarkEnd w:id="63"/>
    </w:p>
    <w:p w14:paraId="12D9584E" w14:textId="77777777" w:rsidR="00097152" w:rsidRPr="00A81BAA" w:rsidRDefault="590BA805" w:rsidP="00097152">
      <w:pPr>
        <w:pBdr>
          <w:top w:val="nil"/>
          <w:left w:val="nil"/>
          <w:bottom w:val="nil"/>
          <w:right w:val="nil"/>
          <w:between w:val="nil"/>
        </w:pBdr>
        <w:jc w:val="center"/>
        <w:rPr>
          <w:rFonts w:ascii="Verdana" w:eastAsia="Arial Narrow" w:hAnsi="Verdana" w:cs="Arial"/>
          <w:b/>
          <w:sz w:val="16"/>
          <w:szCs w:val="16"/>
        </w:rPr>
      </w:pPr>
      <w:r w:rsidRPr="00A81BAA">
        <w:rPr>
          <w:rFonts w:ascii="Verdana" w:hAnsi="Verdana" w:cs="Arial"/>
          <w:sz w:val="16"/>
          <w:szCs w:val="16"/>
        </w:rPr>
        <w:t>Fuente: Red de Cámaras de Comercio – Confecámaras 2022 - 2023.</w:t>
      </w:r>
      <w:r w:rsidR="00097152" w:rsidRPr="00A81BAA">
        <w:rPr>
          <w:rStyle w:val="Refdenotaalpie"/>
          <w:rFonts w:ascii="Verdana" w:hAnsi="Verdana" w:cs="Arial"/>
          <w:sz w:val="16"/>
          <w:szCs w:val="16"/>
        </w:rPr>
        <w:footnoteReference w:id="49"/>
      </w:r>
    </w:p>
    <w:p w14:paraId="371D52E5" w14:textId="77777777" w:rsidR="00097152" w:rsidRPr="00A81BAA" w:rsidRDefault="00097152" w:rsidP="00097152">
      <w:pPr>
        <w:pStyle w:val="Normal0"/>
        <w:rPr>
          <w:rFonts w:ascii="Verdana" w:eastAsia="Times New Roman" w:hAnsi="Verdana" w:cs="Arial"/>
          <w:lang w:val="es-CO" w:eastAsia="es-MX"/>
        </w:rPr>
      </w:pPr>
    </w:p>
    <w:p w14:paraId="7B01FB9F" w14:textId="77777777" w:rsidR="00097152" w:rsidRPr="00A81BAA" w:rsidRDefault="00097152" w:rsidP="00097152">
      <w:pPr>
        <w:pStyle w:val="Normal0"/>
        <w:rPr>
          <w:rFonts w:ascii="Verdana" w:eastAsia="Times New Roman" w:hAnsi="Verdana" w:cs="Arial"/>
          <w:lang w:val="es-CO" w:eastAsia="es-MX"/>
        </w:rPr>
      </w:pPr>
      <w:r w:rsidRPr="00A81BAA">
        <w:rPr>
          <w:rFonts w:ascii="Verdana" w:eastAsia="Times New Roman" w:hAnsi="Verdana" w:cs="Arial"/>
          <w:lang w:val="es-CO" w:eastAsia="es-MX"/>
        </w:rPr>
        <w:t>Por otro lado, en 2023 se crearon 227.569 empresas constituidas como personas naturales, lo que representó una disminución del 0,8% en comparación con las 229.381 creadas en 2022. De las empresas constituidas como personas naturales en 2023, 227.377 eran microempresas, 167 pequeñas, 20 medianas y 5 grandes, como se muestra a continuación:</w:t>
      </w:r>
    </w:p>
    <w:p w14:paraId="5407F584" w14:textId="6B292DBD" w:rsidR="004C33A5" w:rsidRPr="005C7E10" w:rsidRDefault="004C33A5" w:rsidP="005C7E10">
      <w:pPr>
        <w:pStyle w:val="Descripcin"/>
        <w:jc w:val="center"/>
        <w:rPr>
          <w:rFonts w:ascii="Verdana" w:hAnsi="Verdana"/>
        </w:rPr>
      </w:pPr>
      <w:bookmarkStart w:id="64" w:name="_Toc180136809"/>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43</w:t>
      </w:r>
      <w:r w:rsidRPr="005C7E10">
        <w:rPr>
          <w:rFonts w:ascii="Verdana" w:hAnsi="Verdana"/>
          <w:sz w:val="22"/>
          <w:szCs w:val="22"/>
        </w:rPr>
        <w:fldChar w:fldCharType="end"/>
      </w:r>
      <w:r w:rsidRPr="005C7E10">
        <w:rPr>
          <w:rFonts w:ascii="Verdana" w:hAnsi="Verdana"/>
          <w:sz w:val="22"/>
          <w:szCs w:val="22"/>
        </w:rPr>
        <w:t>. Nuevas empresas de personas naturales por tamaño</w:t>
      </w:r>
      <w:bookmarkEnd w:id="64"/>
    </w:p>
    <w:p w14:paraId="3C7E9657" w14:textId="77777777" w:rsidR="00097152" w:rsidRPr="00A81BAA" w:rsidRDefault="00097152" w:rsidP="005C7E10">
      <w:pPr>
        <w:pStyle w:val="Normal0"/>
        <w:spacing w:after="0"/>
        <w:jc w:val="center"/>
        <w:rPr>
          <w:rFonts w:ascii="Verdana" w:eastAsia="Times New Roman" w:hAnsi="Verdana" w:cs="Arial"/>
          <w:lang w:val="es-CO" w:eastAsia="es-MX"/>
        </w:rPr>
      </w:pPr>
      <w:r w:rsidRPr="00A81BAA">
        <w:rPr>
          <w:rFonts w:ascii="Verdana" w:eastAsia="Times New Roman" w:hAnsi="Verdana" w:cs="Arial"/>
          <w:noProof/>
          <w:lang w:val="es-CO" w:eastAsia="es-MX"/>
        </w:rPr>
        <w:drawing>
          <wp:inline distT="0" distB="0" distL="0" distR="0" wp14:anchorId="238E58F5" wp14:editId="26F780E7">
            <wp:extent cx="3753374" cy="1200318"/>
            <wp:effectExtent l="0" t="0" r="0" b="0"/>
            <wp:docPr id="153747547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75475" name="Imagen 1" descr="Tabla&#10;&#10;Descripción generada automáticamente"/>
                    <pic:cNvPicPr/>
                  </pic:nvPicPr>
                  <pic:blipFill>
                    <a:blip r:embed="rId92"/>
                    <a:stretch>
                      <a:fillRect/>
                    </a:stretch>
                  </pic:blipFill>
                  <pic:spPr>
                    <a:xfrm>
                      <a:off x="0" y="0"/>
                      <a:ext cx="3753374" cy="1200318"/>
                    </a:xfrm>
                    <a:prstGeom prst="rect">
                      <a:avLst/>
                    </a:prstGeom>
                  </pic:spPr>
                </pic:pic>
              </a:graphicData>
            </a:graphic>
          </wp:inline>
        </w:drawing>
      </w:r>
    </w:p>
    <w:p w14:paraId="5F5A6E7B" w14:textId="77777777" w:rsidR="00097152" w:rsidRPr="00A81BAA" w:rsidRDefault="590BA805" w:rsidP="00097152">
      <w:pPr>
        <w:pBdr>
          <w:top w:val="nil"/>
          <w:left w:val="nil"/>
          <w:bottom w:val="nil"/>
          <w:right w:val="nil"/>
          <w:between w:val="nil"/>
        </w:pBdr>
        <w:jc w:val="center"/>
        <w:rPr>
          <w:rFonts w:ascii="Verdana" w:eastAsia="Arial Narrow" w:hAnsi="Verdana" w:cs="Arial"/>
          <w:b/>
          <w:sz w:val="16"/>
          <w:szCs w:val="16"/>
        </w:rPr>
      </w:pPr>
      <w:r w:rsidRPr="00A81BAA">
        <w:rPr>
          <w:rFonts w:ascii="Verdana" w:hAnsi="Verdana" w:cs="Arial"/>
          <w:sz w:val="16"/>
          <w:szCs w:val="16"/>
        </w:rPr>
        <w:lastRenderedPageBreak/>
        <w:t>Fuente: Red de Cámaras de Comercio – Confecámaras 2022 - 2023.</w:t>
      </w:r>
      <w:r w:rsidR="00097152" w:rsidRPr="00A81BAA">
        <w:rPr>
          <w:rStyle w:val="Refdenotaalpie"/>
          <w:rFonts w:ascii="Verdana" w:hAnsi="Verdana" w:cs="Arial"/>
          <w:sz w:val="16"/>
          <w:szCs w:val="16"/>
        </w:rPr>
        <w:footnoteReference w:id="50"/>
      </w:r>
    </w:p>
    <w:p w14:paraId="2B4D4D96" w14:textId="77777777" w:rsidR="00097152" w:rsidRPr="00A81BAA" w:rsidRDefault="00097152" w:rsidP="00097152">
      <w:pPr>
        <w:pStyle w:val="Normal0"/>
        <w:rPr>
          <w:rFonts w:ascii="Verdana" w:eastAsia="Times New Roman" w:hAnsi="Verdana" w:cs="Arial"/>
          <w:lang w:val="es-CO" w:eastAsia="es-MX"/>
        </w:rPr>
      </w:pPr>
    </w:p>
    <w:p w14:paraId="4FA6325B" w14:textId="77777777" w:rsidR="00097152" w:rsidRPr="00A81BAA" w:rsidRDefault="00097152" w:rsidP="00097152">
      <w:pPr>
        <w:pStyle w:val="Normal0"/>
        <w:rPr>
          <w:rFonts w:ascii="Verdana" w:eastAsia="Times New Roman" w:hAnsi="Verdana" w:cs="Arial"/>
          <w:lang w:val="es-CO" w:eastAsia="es-MX"/>
        </w:rPr>
      </w:pPr>
      <w:r w:rsidRPr="00A81BAA">
        <w:rPr>
          <w:rFonts w:ascii="Verdana" w:eastAsia="Times New Roman" w:hAnsi="Verdana" w:cs="Arial"/>
          <w:lang w:val="es-CO" w:eastAsia="es-MX"/>
        </w:rPr>
        <w:t>En cuanto a la creación de empresas por sectores económicos a pesar de que el sector económico de la construcción fue el de mayor crecimiento en el número de empresas (2,5% respecto al año 2022), el subsector de alojamiento y servicios de comida y el subsector de actividades de servicios administrativos y de apoyo, fueron aquellos que más contribuyeron en la creación de empresas.</w:t>
      </w:r>
    </w:p>
    <w:p w14:paraId="584A1D39" w14:textId="3508D922" w:rsidR="00651B25" w:rsidRPr="0009314E" w:rsidRDefault="00651B25" w:rsidP="005C7E10">
      <w:pPr>
        <w:pStyle w:val="Descripcin"/>
        <w:jc w:val="center"/>
        <w:rPr>
          <w:rFonts w:ascii="Verdana" w:eastAsia="Times New Roman" w:hAnsi="Verdana" w:cs="Arial"/>
          <w:lang w:val="es-CO" w:eastAsia="es-MX"/>
        </w:rPr>
      </w:pPr>
      <w:bookmarkStart w:id="65" w:name="_Toc180136810"/>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44</w:t>
      </w:r>
      <w:r w:rsidRPr="005C7E10">
        <w:rPr>
          <w:rFonts w:ascii="Verdana" w:hAnsi="Verdana"/>
          <w:sz w:val="22"/>
          <w:szCs w:val="22"/>
        </w:rPr>
        <w:fldChar w:fldCharType="end"/>
      </w:r>
      <w:r w:rsidRPr="005C7E10">
        <w:rPr>
          <w:rFonts w:ascii="Verdana" w:hAnsi="Verdana"/>
          <w:sz w:val="22"/>
          <w:szCs w:val="22"/>
        </w:rPr>
        <w:t>. Unidades productivas creadas por sector económico</w:t>
      </w:r>
      <w:bookmarkEnd w:id="65"/>
    </w:p>
    <w:p w14:paraId="6EE51CF9" w14:textId="129D845B" w:rsidR="00097152" w:rsidRPr="00A81BAA" w:rsidRDefault="00097152" w:rsidP="00097152">
      <w:pPr>
        <w:pStyle w:val="Normal0"/>
        <w:jc w:val="center"/>
        <w:rPr>
          <w:rFonts w:ascii="Verdana" w:eastAsia="Times New Roman" w:hAnsi="Verdana" w:cs="Arial"/>
          <w:lang w:val="es-CO" w:eastAsia="es-MX"/>
        </w:rPr>
      </w:pPr>
      <w:r w:rsidRPr="00A81BAA">
        <w:rPr>
          <w:rFonts w:ascii="Verdana" w:eastAsia="Times New Roman" w:hAnsi="Verdana" w:cs="Arial"/>
          <w:noProof/>
          <w:lang w:val="es-CO" w:eastAsia="es-MX"/>
        </w:rPr>
        <w:drawing>
          <wp:inline distT="0" distB="0" distL="0" distR="0" wp14:anchorId="0018E5DA" wp14:editId="56369E0E">
            <wp:extent cx="4887007" cy="1971950"/>
            <wp:effectExtent l="0" t="0" r="8890" b="9525"/>
            <wp:docPr id="854562950"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62950" name="Imagen 1" descr="Tabla&#10;&#10;Descripción generada automáticamente"/>
                    <pic:cNvPicPr/>
                  </pic:nvPicPr>
                  <pic:blipFill>
                    <a:blip r:embed="rId93"/>
                    <a:stretch>
                      <a:fillRect/>
                    </a:stretch>
                  </pic:blipFill>
                  <pic:spPr>
                    <a:xfrm>
                      <a:off x="0" y="0"/>
                      <a:ext cx="4887007" cy="1971950"/>
                    </a:xfrm>
                    <a:prstGeom prst="rect">
                      <a:avLst/>
                    </a:prstGeom>
                  </pic:spPr>
                </pic:pic>
              </a:graphicData>
            </a:graphic>
          </wp:inline>
        </w:drawing>
      </w:r>
    </w:p>
    <w:p w14:paraId="66955D43" w14:textId="77777777" w:rsidR="00097152" w:rsidRPr="00A81BAA" w:rsidRDefault="590BA805" w:rsidP="00097152">
      <w:pPr>
        <w:pBdr>
          <w:top w:val="nil"/>
          <w:left w:val="nil"/>
          <w:bottom w:val="nil"/>
          <w:right w:val="nil"/>
          <w:between w:val="nil"/>
        </w:pBdr>
        <w:jc w:val="center"/>
        <w:rPr>
          <w:rFonts w:ascii="Verdana" w:eastAsia="Arial Narrow" w:hAnsi="Verdana" w:cs="Arial"/>
          <w:b/>
          <w:sz w:val="16"/>
          <w:szCs w:val="16"/>
        </w:rPr>
      </w:pPr>
      <w:r w:rsidRPr="00A81BAA">
        <w:rPr>
          <w:rFonts w:ascii="Verdana" w:hAnsi="Verdana" w:cs="Arial"/>
          <w:sz w:val="16"/>
          <w:szCs w:val="16"/>
        </w:rPr>
        <w:t>Fuente: Red de Cámaras de Comercio – Confecámaras 2022 - 2023.</w:t>
      </w:r>
      <w:r w:rsidR="00097152" w:rsidRPr="00A81BAA">
        <w:rPr>
          <w:rStyle w:val="Refdenotaalpie"/>
          <w:rFonts w:ascii="Verdana" w:hAnsi="Verdana" w:cs="Arial"/>
          <w:sz w:val="16"/>
          <w:szCs w:val="16"/>
        </w:rPr>
        <w:footnoteReference w:id="51"/>
      </w:r>
    </w:p>
    <w:p w14:paraId="0B27C742" w14:textId="77777777" w:rsidR="00097152" w:rsidRPr="00A81BAA" w:rsidRDefault="00097152" w:rsidP="00097152">
      <w:pPr>
        <w:pStyle w:val="Normal0"/>
        <w:jc w:val="center"/>
        <w:rPr>
          <w:rFonts w:ascii="Verdana" w:eastAsia="Times New Roman" w:hAnsi="Verdana" w:cs="Arial"/>
          <w:lang w:val="es-CO" w:eastAsia="es-MX"/>
        </w:rPr>
      </w:pPr>
    </w:p>
    <w:p w14:paraId="65E06DF1" w14:textId="77777777" w:rsidR="00097152" w:rsidRPr="00A81BAA" w:rsidRDefault="00097152" w:rsidP="00097152">
      <w:pPr>
        <w:jc w:val="both"/>
        <w:rPr>
          <w:rFonts w:ascii="Verdana" w:hAnsi="Verdana" w:cs="Arial"/>
          <w:sz w:val="22"/>
          <w:szCs w:val="22"/>
        </w:rPr>
      </w:pPr>
      <w:r w:rsidRPr="00A81BAA">
        <w:rPr>
          <w:rFonts w:ascii="Verdana" w:hAnsi="Verdana" w:cs="Arial"/>
          <w:sz w:val="22"/>
          <w:szCs w:val="22"/>
        </w:rPr>
        <w:t>En cuanto a la creación de empresas y generación de empleo, de acuerdo con el RUES, el 46,5% de las empresas nuevas crearon al menos un empleo; de ellas, el 39% pertenece al subsector del comercio, 17% al subsector de alojamiento y servicios de comida, 10% al subsector de industrias manufactureras, 6% al subsector de actividades profesionales, científicas y técnicas y 5% al subsector de construcción.</w:t>
      </w:r>
    </w:p>
    <w:p w14:paraId="6DE6940F" w14:textId="77777777" w:rsidR="00097152" w:rsidRPr="00A81BAA" w:rsidRDefault="00097152" w:rsidP="00097152">
      <w:pPr>
        <w:jc w:val="both"/>
        <w:rPr>
          <w:rFonts w:ascii="Verdana" w:hAnsi="Verdana" w:cs="Arial"/>
          <w:sz w:val="22"/>
          <w:szCs w:val="22"/>
        </w:rPr>
      </w:pPr>
    </w:p>
    <w:p w14:paraId="50E19FE7" w14:textId="4ADF809B" w:rsidR="00CB6B91" w:rsidRPr="00A81BAA" w:rsidRDefault="00D66AAE" w:rsidP="005C7E10">
      <w:pPr>
        <w:pStyle w:val="Descripcin"/>
        <w:jc w:val="both"/>
        <w:rPr>
          <w:rFonts w:ascii="Verdana" w:hAnsi="Verdana" w:cs="Arial"/>
          <w:sz w:val="22"/>
          <w:szCs w:val="22"/>
        </w:rPr>
      </w:pPr>
      <w:bookmarkStart w:id="66" w:name="_Toc180136811"/>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45</w:t>
      </w:r>
      <w:r w:rsidRPr="005C7E10">
        <w:rPr>
          <w:rFonts w:ascii="Verdana" w:hAnsi="Verdana"/>
          <w:sz w:val="22"/>
          <w:szCs w:val="22"/>
        </w:rPr>
        <w:fldChar w:fldCharType="end"/>
      </w:r>
      <w:r w:rsidRPr="005C7E10">
        <w:rPr>
          <w:rFonts w:ascii="Verdana" w:hAnsi="Verdana"/>
          <w:sz w:val="22"/>
          <w:szCs w:val="22"/>
        </w:rPr>
        <w:t>. Subsectores económicos con mayor creación de empresas empleadoras</w:t>
      </w:r>
      <w:bookmarkEnd w:id="66"/>
    </w:p>
    <w:p w14:paraId="228C041C" w14:textId="77777777" w:rsidR="00097152" w:rsidRPr="00A81BAA" w:rsidRDefault="00097152" w:rsidP="00097152">
      <w:pPr>
        <w:jc w:val="center"/>
        <w:rPr>
          <w:rFonts w:ascii="Verdana" w:hAnsi="Verdana" w:cs="Arial"/>
          <w:sz w:val="22"/>
          <w:szCs w:val="22"/>
        </w:rPr>
      </w:pPr>
      <w:r w:rsidRPr="00A81BAA">
        <w:rPr>
          <w:rFonts w:ascii="Verdana" w:hAnsi="Verdana" w:cs="Arial"/>
          <w:noProof/>
          <w:sz w:val="22"/>
          <w:szCs w:val="22"/>
        </w:rPr>
        <w:lastRenderedPageBreak/>
        <w:drawing>
          <wp:inline distT="0" distB="0" distL="0" distR="0" wp14:anchorId="085A7255" wp14:editId="01455BE1">
            <wp:extent cx="4380882" cy="1805049"/>
            <wp:effectExtent l="0" t="0" r="635" b="5080"/>
            <wp:docPr id="1117507314"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507314" name="Imagen 1" descr="Gráfico&#10;&#10;Descripción generada automáticamente"/>
                    <pic:cNvPicPr/>
                  </pic:nvPicPr>
                  <pic:blipFill>
                    <a:blip r:embed="rId94"/>
                    <a:stretch>
                      <a:fillRect/>
                    </a:stretch>
                  </pic:blipFill>
                  <pic:spPr>
                    <a:xfrm>
                      <a:off x="0" y="0"/>
                      <a:ext cx="4388648" cy="1808249"/>
                    </a:xfrm>
                    <a:prstGeom prst="rect">
                      <a:avLst/>
                    </a:prstGeom>
                  </pic:spPr>
                </pic:pic>
              </a:graphicData>
            </a:graphic>
          </wp:inline>
        </w:drawing>
      </w:r>
    </w:p>
    <w:p w14:paraId="7086675B" w14:textId="77777777" w:rsidR="00097152" w:rsidRPr="00A81BAA" w:rsidRDefault="590BA805" w:rsidP="29E23CA7">
      <w:pPr>
        <w:jc w:val="center"/>
        <w:rPr>
          <w:rFonts w:ascii="Verdana" w:hAnsi="Verdana" w:cs="Arial"/>
          <w:sz w:val="16"/>
          <w:szCs w:val="16"/>
        </w:rPr>
      </w:pPr>
      <w:r w:rsidRPr="00A81BAA">
        <w:rPr>
          <w:rFonts w:ascii="Verdana" w:hAnsi="Verdana" w:cs="Arial"/>
          <w:sz w:val="16"/>
          <w:szCs w:val="16"/>
        </w:rPr>
        <w:t>Fuente: Red de Cámaras de Comercio – Confecámaras 2022 - 2023.</w:t>
      </w:r>
      <w:r w:rsidR="00097152" w:rsidRPr="00A81BAA">
        <w:rPr>
          <w:rStyle w:val="Refdenotaalpie"/>
          <w:rFonts w:ascii="Verdana" w:hAnsi="Verdana" w:cs="Arial"/>
          <w:sz w:val="16"/>
          <w:szCs w:val="16"/>
        </w:rPr>
        <w:footnoteReference w:id="52"/>
      </w:r>
    </w:p>
    <w:p w14:paraId="6F380F4F" w14:textId="77777777" w:rsidR="00097152" w:rsidRPr="00A81BAA" w:rsidRDefault="00097152" w:rsidP="00097152">
      <w:pPr>
        <w:jc w:val="both"/>
        <w:rPr>
          <w:rFonts w:ascii="Verdana" w:hAnsi="Verdana" w:cs="Arial"/>
          <w:sz w:val="22"/>
          <w:szCs w:val="22"/>
        </w:rPr>
      </w:pPr>
    </w:p>
    <w:p w14:paraId="54B03046" w14:textId="77777777" w:rsidR="00097152" w:rsidRPr="00A81BAA" w:rsidRDefault="00097152" w:rsidP="00097152">
      <w:pPr>
        <w:pStyle w:val="Normal0"/>
        <w:spacing w:after="0"/>
        <w:rPr>
          <w:rFonts w:ascii="Verdana" w:eastAsia="Times New Roman" w:hAnsi="Verdana" w:cs="Arial"/>
          <w:lang w:val="es-CO" w:eastAsia="es-MX"/>
        </w:rPr>
      </w:pPr>
    </w:p>
    <w:p w14:paraId="0638E0E6" w14:textId="77777777" w:rsidR="00097152" w:rsidRPr="00A81BAA" w:rsidRDefault="590BA805"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Por su parte, es necesario destacar que las micro, pequeñas y medianas empresas, según el Centro de Estudios Económicos de la ANIF, juegan un papel esencial en la economía colombiana</w:t>
      </w:r>
      <w:r w:rsidR="00097152" w:rsidRPr="00A81BAA">
        <w:rPr>
          <w:rFonts w:ascii="Verdana" w:eastAsia="Times New Roman" w:hAnsi="Verdana" w:cs="Arial"/>
          <w:vertAlign w:val="superscript"/>
          <w:lang w:val="es-CO" w:eastAsia="es-MX"/>
        </w:rPr>
        <w:footnoteReference w:id="53"/>
      </w:r>
      <w:r w:rsidRPr="00A81BAA">
        <w:rPr>
          <w:rFonts w:ascii="Verdana" w:eastAsia="Times New Roman" w:hAnsi="Verdana" w:cs="Arial"/>
          <w:vertAlign w:val="superscript"/>
          <w:lang w:val="es-CO" w:eastAsia="es-MX"/>
        </w:rPr>
        <w:t>.</w:t>
      </w:r>
      <w:r w:rsidRPr="00A81BAA">
        <w:rPr>
          <w:rFonts w:ascii="Verdana" w:eastAsia="Times New Roman" w:hAnsi="Verdana" w:cs="Arial"/>
          <w:lang w:val="es-CO" w:eastAsia="es-MX"/>
        </w:rPr>
        <w:t xml:space="preserve"> En tal sentido, las Mipyme representan más del noventa y nueve por ciento (99%) de las empresas del país, las cuales generan aproximadamente el setenta y nueve por ciento (79%) del empleo y aportan el cuarenta por ciento (40%) del Producto Interno Bruto –PIB–. No obstante, según la ANIF, un problema para este tipo de empresas es que, si bien fomentan el empleo en Colombia, les falta crecimiento para ser más competitivas con las grandes empresas</w:t>
      </w:r>
      <w:r w:rsidR="00097152" w:rsidRPr="00A81BAA">
        <w:rPr>
          <w:rFonts w:ascii="Verdana" w:eastAsia="Times New Roman" w:hAnsi="Verdana" w:cs="Arial"/>
          <w:vertAlign w:val="superscript"/>
          <w:lang w:val="es-CO" w:eastAsia="es-MX"/>
        </w:rPr>
        <w:footnoteReference w:id="54"/>
      </w:r>
      <w:r w:rsidRPr="00A81BAA">
        <w:rPr>
          <w:rFonts w:ascii="Verdana" w:eastAsia="Times New Roman" w:hAnsi="Verdana" w:cs="Arial"/>
          <w:lang w:val="es-CO" w:eastAsia="es-MX"/>
        </w:rPr>
        <w:t xml:space="preserve">, por lo que es necesario promover su consolidación, entre otras medidas, mediante su inserción en el mercado de la compra pública, pues le facilitaría tener acceso a clientes como las Entidades Públicas, que tendría como consecuencia fortalecer su desempeño en el mercado como prestador de bienes y servicios. </w:t>
      </w:r>
    </w:p>
    <w:p w14:paraId="4F188782" w14:textId="77777777" w:rsidR="00097152" w:rsidRPr="00A81BAA" w:rsidRDefault="00097152" w:rsidP="00097152">
      <w:pPr>
        <w:pStyle w:val="Normal0"/>
        <w:spacing w:after="0"/>
        <w:rPr>
          <w:rFonts w:ascii="Verdana" w:eastAsia="Times New Roman" w:hAnsi="Verdana" w:cs="Arial"/>
          <w:lang w:val="es-CO" w:eastAsia="es-MX"/>
        </w:rPr>
      </w:pPr>
    </w:p>
    <w:p w14:paraId="7B1369A7" w14:textId="77777777" w:rsidR="00097152" w:rsidRPr="00A81BAA" w:rsidRDefault="00097152" w:rsidP="00097152">
      <w:pPr>
        <w:pStyle w:val="Normal0"/>
        <w:spacing w:after="0"/>
        <w:rPr>
          <w:rFonts w:ascii="Verdana" w:eastAsia="Times New Roman" w:hAnsi="Verdana" w:cs="Arial"/>
          <w:lang w:val="es-CO" w:eastAsia="es-MX"/>
        </w:rPr>
      </w:pPr>
      <w:r w:rsidRPr="00A81BAA">
        <w:rPr>
          <w:rFonts w:ascii="Verdana" w:eastAsia="Times New Roman" w:hAnsi="Verdana" w:cs="Arial"/>
          <w:lang w:val="es-CO" w:eastAsia="es-MX"/>
        </w:rPr>
        <w:t xml:space="preserve">Por otro lado, el Departamento Nacional de Estadística –DANE– presenta en la Encuesta de Micronegocios, la información estadística sobre la estructura y evolución de las principales variables económicas de los micronegocios con hasta nueve (9) personas ocupadas y que desarrollan actividades de agricultura, ganadería, silvicultura y pesca, minería, industria manufacturera, comercio, construcción, transporte y demás servicios.  </w:t>
      </w:r>
    </w:p>
    <w:p w14:paraId="32C92D4C" w14:textId="77777777" w:rsidR="00097152" w:rsidRPr="00A81BAA" w:rsidRDefault="00097152" w:rsidP="00097152">
      <w:pPr>
        <w:pStyle w:val="Normal0"/>
        <w:spacing w:after="0"/>
        <w:rPr>
          <w:rFonts w:ascii="Verdana" w:eastAsia="Times New Roman" w:hAnsi="Verdana" w:cs="Arial"/>
          <w:lang w:val="es-CO" w:eastAsia="es-MX"/>
        </w:rPr>
      </w:pPr>
    </w:p>
    <w:p w14:paraId="47B0249A" w14:textId="254BEA1C" w:rsidR="00D66AAE" w:rsidRDefault="00097152" w:rsidP="00097152">
      <w:pPr>
        <w:pStyle w:val="Normal0"/>
        <w:rPr>
          <w:rFonts w:ascii="Verdana" w:eastAsia="Times New Roman" w:hAnsi="Verdana" w:cs="Arial"/>
          <w:lang w:val="es-CO" w:eastAsia="es-MX"/>
        </w:rPr>
      </w:pPr>
      <w:r w:rsidRPr="177792B3">
        <w:rPr>
          <w:rFonts w:ascii="Verdana" w:eastAsia="Times New Roman" w:hAnsi="Verdana" w:cs="Arial"/>
          <w:lang w:val="es-CO" w:eastAsia="es-MX"/>
        </w:rPr>
        <w:t xml:space="preserve">Los resultados obtenidos de la Encuesta de Micronegocios (EMICRON) para el I Trimestre de 2024, indican que la cantidad de micronegocios aumentó 5,9% en </w:t>
      </w:r>
      <w:r w:rsidRPr="177792B3">
        <w:rPr>
          <w:rFonts w:ascii="Verdana" w:eastAsia="Times New Roman" w:hAnsi="Verdana" w:cs="Arial"/>
          <w:lang w:val="es-CO" w:eastAsia="es-MX"/>
        </w:rPr>
        <w:lastRenderedPageBreak/>
        <w:t>comparación con el mismo periodo de 2023. De igual manera en comparación con el mismo periodo de 2023, el personal ocupado por estas unidades económicas aumentó 6,6%, así como los ingresos de los micronegocios, los cuales crecieron 19,2% respecto a 2022.</w:t>
      </w:r>
    </w:p>
    <w:p w14:paraId="3B6E8360" w14:textId="5AB97522" w:rsidR="00D66AAE" w:rsidRPr="0009314E" w:rsidRDefault="00D66AAE" w:rsidP="005C7E10">
      <w:pPr>
        <w:pStyle w:val="Descripcin"/>
        <w:jc w:val="both"/>
        <w:rPr>
          <w:rFonts w:ascii="Verdana" w:eastAsia="Times New Roman" w:hAnsi="Verdana" w:cs="Arial"/>
          <w:lang w:val="es-CO" w:eastAsia="es-MX"/>
        </w:rPr>
      </w:pPr>
      <w:bookmarkStart w:id="67" w:name="_Toc180136812"/>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46</w:t>
      </w:r>
      <w:r w:rsidRPr="005C7E10">
        <w:rPr>
          <w:rFonts w:ascii="Verdana" w:hAnsi="Verdana"/>
          <w:sz w:val="22"/>
          <w:szCs w:val="22"/>
        </w:rPr>
        <w:fldChar w:fldCharType="end"/>
      </w:r>
      <w:r w:rsidRPr="005C7E10">
        <w:rPr>
          <w:rFonts w:ascii="Verdana" w:hAnsi="Verdana"/>
          <w:sz w:val="22"/>
          <w:szCs w:val="22"/>
        </w:rPr>
        <w:t>.Variación anual de la cantidad de micronegocios según actividad económica (Porcentaje) Total nacional. I Trimestre (2024p/2023)</w:t>
      </w:r>
      <w:bookmarkEnd w:id="67"/>
    </w:p>
    <w:p w14:paraId="366516BE" w14:textId="77777777" w:rsidR="00097152" w:rsidRPr="00A81BAA" w:rsidRDefault="00097152" w:rsidP="00097152">
      <w:pPr>
        <w:jc w:val="both"/>
        <w:rPr>
          <w:rFonts w:ascii="Verdana" w:hAnsi="Verdana" w:cs="Arial"/>
          <w:sz w:val="22"/>
          <w:szCs w:val="22"/>
        </w:rPr>
      </w:pPr>
      <w:r w:rsidRPr="00A81BAA">
        <w:rPr>
          <w:rFonts w:ascii="Verdana" w:hAnsi="Verdana"/>
          <w:noProof/>
        </w:rPr>
        <w:drawing>
          <wp:inline distT="0" distB="0" distL="0" distR="0" wp14:anchorId="1B87B95B" wp14:editId="7BEED760">
            <wp:extent cx="6057900" cy="2173184"/>
            <wp:effectExtent l="0" t="0" r="0" b="0"/>
            <wp:docPr id="170894213"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95">
                      <a:extLst>
                        <a:ext uri="{28A0092B-C50C-407E-A947-70E740481C1C}">
                          <a14:useLocalDpi xmlns:a14="http://schemas.microsoft.com/office/drawing/2010/main" val="0"/>
                        </a:ext>
                      </a:extLst>
                    </a:blip>
                    <a:stretch>
                      <a:fillRect/>
                    </a:stretch>
                  </pic:blipFill>
                  <pic:spPr>
                    <a:xfrm>
                      <a:off x="0" y="0"/>
                      <a:ext cx="6057900" cy="2173184"/>
                    </a:xfrm>
                    <a:prstGeom prst="rect">
                      <a:avLst/>
                    </a:prstGeom>
                  </pic:spPr>
                </pic:pic>
              </a:graphicData>
            </a:graphic>
          </wp:inline>
        </w:drawing>
      </w:r>
    </w:p>
    <w:p w14:paraId="5F2634EA" w14:textId="77777777" w:rsidR="00097152" w:rsidRPr="00A81BAA" w:rsidRDefault="590BA805" w:rsidP="29E23CA7">
      <w:pPr>
        <w:ind w:left="1440" w:firstLine="720"/>
        <w:rPr>
          <w:rFonts w:ascii="Verdana" w:hAnsi="Verdana" w:cs="Arial"/>
          <w:sz w:val="16"/>
          <w:szCs w:val="16"/>
        </w:rPr>
      </w:pPr>
      <w:r w:rsidRPr="00A81BAA">
        <w:rPr>
          <w:rFonts w:ascii="Verdana" w:hAnsi="Verdana" w:cs="Arial"/>
          <w:sz w:val="16"/>
          <w:szCs w:val="16"/>
        </w:rPr>
        <w:t>Fuente: DANE Encuesta de Micronegocios (EMICRON).</w:t>
      </w:r>
      <w:r w:rsidR="00097152" w:rsidRPr="00A81BAA">
        <w:rPr>
          <w:rStyle w:val="Refdenotaalpie"/>
          <w:rFonts w:ascii="Verdana" w:hAnsi="Verdana" w:cs="Arial"/>
          <w:sz w:val="16"/>
          <w:szCs w:val="16"/>
        </w:rPr>
        <w:footnoteReference w:id="55"/>
      </w:r>
    </w:p>
    <w:p w14:paraId="267D548F" w14:textId="77777777" w:rsidR="005B3F76" w:rsidRPr="00A81BAA" w:rsidRDefault="005B3F76" w:rsidP="0001608E">
      <w:pPr>
        <w:rPr>
          <w:rFonts w:ascii="Verdana" w:hAnsi="Verdana" w:cs="Arial"/>
          <w:sz w:val="22"/>
          <w:szCs w:val="22"/>
        </w:rPr>
      </w:pPr>
    </w:p>
    <w:p w14:paraId="0CE7E82F" w14:textId="77777777" w:rsidR="005B3F76" w:rsidRPr="00A81BAA" w:rsidRDefault="005B3F76" w:rsidP="0001608E">
      <w:pPr>
        <w:rPr>
          <w:rFonts w:ascii="Verdana" w:hAnsi="Verdana" w:cs="Arial"/>
          <w:sz w:val="22"/>
          <w:szCs w:val="22"/>
        </w:rPr>
      </w:pPr>
    </w:p>
    <w:p w14:paraId="45259396" w14:textId="19FC2B44" w:rsidR="005D4B55" w:rsidRPr="00A81BAA" w:rsidRDefault="00D62EB9" w:rsidP="00757A26">
      <w:pPr>
        <w:autoSpaceDE w:val="0"/>
        <w:autoSpaceDN w:val="0"/>
        <w:spacing w:line="276" w:lineRule="auto"/>
        <w:jc w:val="both"/>
        <w:rPr>
          <w:rFonts w:ascii="Verdana" w:hAnsi="Verdana" w:cs="Arial"/>
          <w:sz w:val="22"/>
          <w:szCs w:val="22"/>
        </w:rPr>
      </w:pPr>
      <w:r w:rsidRPr="00A81BAA">
        <w:rPr>
          <w:rFonts w:ascii="Verdana" w:hAnsi="Verdana" w:cs="Arial"/>
          <w:sz w:val="22"/>
          <w:szCs w:val="22"/>
        </w:rPr>
        <w:t>D</w:t>
      </w:r>
      <w:r w:rsidR="005D4B55" w:rsidRPr="00A81BAA">
        <w:rPr>
          <w:rFonts w:ascii="Verdana" w:hAnsi="Verdana" w:cs="Arial"/>
          <w:sz w:val="22"/>
          <w:szCs w:val="22"/>
        </w:rPr>
        <w:t xml:space="preserve">e acuerdo a lo descrito en la sección </w:t>
      </w:r>
      <w:r w:rsidR="005D4B55" w:rsidRPr="00A81BAA">
        <w:rPr>
          <w:rFonts w:ascii="Verdana" w:hAnsi="Verdana" w:cs="Arial"/>
          <w:b/>
          <w:sz w:val="22"/>
          <w:szCs w:val="22"/>
        </w:rPr>
        <w:t>Tamaño empresarial de la muestra analizada</w:t>
      </w:r>
      <w:r w:rsidRPr="00A81BAA">
        <w:rPr>
          <w:rFonts w:ascii="Verdana" w:hAnsi="Verdana" w:cs="Arial"/>
          <w:sz w:val="22"/>
          <w:szCs w:val="22"/>
        </w:rPr>
        <w:t xml:space="preserve">, se pudo establecer que de las </w:t>
      </w:r>
      <w:r w:rsidR="000C1184" w:rsidRPr="00A81BAA">
        <w:rPr>
          <w:rFonts w:ascii="Verdana" w:hAnsi="Verdana" w:cs="Arial"/>
          <w:sz w:val="22"/>
          <w:szCs w:val="22"/>
        </w:rPr>
        <w:t>1</w:t>
      </w:r>
      <w:r w:rsidR="003352C5">
        <w:rPr>
          <w:rFonts w:ascii="Verdana" w:hAnsi="Verdana" w:cs="Arial"/>
          <w:sz w:val="22"/>
          <w:szCs w:val="22"/>
        </w:rPr>
        <w:t>.955</w:t>
      </w:r>
      <w:r w:rsidR="000C1184" w:rsidRPr="00A81BAA">
        <w:rPr>
          <w:rFonts w:ascii="Verdana" w:hAnsi="Verdana" w:cs="Arial"/>
          <w:sz w:val="22"/>
          <w:szCs w:val="22"/>
        </w:rPr>
        <w:t xml:space="preserve"> empresas de las cuales se obtuvo información financiera, </w:t>
      </w:r>
      <w:r w:rsidR="00021E9A" w:rsidRPr="00021E9A">
        <w:rPr>
          <w:rFonts w:ascii="Verdana" w:hAnsi="Verdana" w:cs="Arial"/>
          <w:sz w:val="22"/>
          <w:szCs w:val="22"/>
        </w:rPr>
        <w:t>el 29% de las empresas de la muestra analizada son microempresas, el 23% pequeñas empresas, el 26% medianas</w:t>
      </w:r>
      <w:r w:rsidR="00D616DF" w:rsidRPr="00A81BAA">
        <w:rPr>
          <w:rFonts w:ascii="Verdana" w:hAnsi="Verdana" w:cs="Arial"/>
          <w:sz w:val="22"/>
          <w:szCs w:val="22"/>
        </w:rPr>
        <w:t>, de acuerdo con</w:t>
      </w:r>
      <w:r w:rsidR="009A7932" w:rsidRPr="00A81BAA">
        <w:rPr>
          <w:rFonts w:ascii="Verdana" w:hAnsi="Verdana" w:cs="Arial"/>
          <w:sz w:val="22"/>
          <w:szCs w:val="22"/>
        </w:rPr>
        <w:t xml:space="preserve"> la clasificación del tamaño empresarial realiz</w:t>
      </w:r>
      <w:r w:rsidR="00D616DF" w:rsidRPr="00A81BAA">
        <w:rPr>
          <w:rFonts w:ascii="Verdana" w:hAnsi="Verdana" w:cs="Arial"/>
          <w:sz w:val="22"/>
          <w:szCs w:val="22"/>
        </w:rPr>
        <w:t>ada</w:t>
      </w:r>
      <w:r w:rsidR="009A7932" w:rsidRPr="00A81BAA">
        <w:rPr>
          <w:rFonts w:ascii="Verdana" w:hAnsi="Verdana" w:cs="Arial"/>
          <w:sz w:val="22"/>
          <w:szCs w:val="22"/>
        </w:rPr>
        <w:t xml:space="preserve"> de acuerdo con la cuenta de ingresos por actividades ordinarias anuales siguiendo las disposiciones del Decreto 957 de 2019  y aplicándoles el factor clasificatorio con las Unidades de Valor Unitario (U.V.T.)</w:t>
      </w:r>
      <w:r w:rsidR="00CA2693" w:rsidRPr="00A81BAA">
        <w:rPr>
          <w:rFonts w:ascii="Verdana" w:hAnsi="Verdana" w:cs="Arial"/>
          <w:sz w:val="22"/>
          <w:szCs w:val="22"/>
        </w:rPr>
        <w:t>, tal y como se puede evidenciar en la siguiente gráfica:</w:t>
      </w:r>
    </w:p>
    <w:p w14:paraId="6A14D500" w14:textId="77777777" w:rsidR="00CB6B91" w:rsidRDefault="00CB6B91" w:rsidP="00757A26">
      <w:pPr>
        <w:autoSpaceDE w:val="0"/>
        <w:autoSpaceDN w:val="0"/>
        <w:spacing w:line="276" w:lineRule="auto"/>
        <w:jc w:val="both"/>
        <w:rPr>
          <w:rFonts w:ascii="Verdana" w:hAnsi="Verdana" w:cs="Arial"/>
          <w:sz w:val="22"/>
          <w:szCs w:val="22"/>
        </w:rPr>
      </w:pPr>
    </w:p>
    <w:p w14:paraId="512F673E" w14:textId="590E9E5C" w:rsidR="00D66AAE" w:rsidRPr="005C7E10" w:rsidRDefault="00D66AAE" w:rsidP="005C7E10">
      <w:pPr>
        <w:pStyle w:val="Descripcin"/>
        <w:jc w:val="center"/>
        <w:rPr>
          <w:rFonts w:ascii="Verdana" w:hAnsi="Verdana" w:cs="Arial"/>
          <w:sz w:val="24"/>
          <w:szCs w:val="24"/>
        </w:rPr>
      </w:pPr>
      <w:bookmarkStart w:id="68" w:name="_Toc180136813"/>
      <w:r w:rsidRPr="005C7E10">
        <w:rPr>
          <w:rFonts w:ascii="Verdana" w:hAnsi="Verdana"/>
          <w:sz w:val="22"/>
          <w:szCs w:val="22"/>
        </w:rPr>
        <w:t xml:space="preserve">Gráfica </w:t>
      </w:r>
      <w:r w:rsidRPr="005C7E10">
        <w:rPr>
          <w:rFonts w:ascii="Verdana" w:hAnsi="Verdana"/>
          <w:sz w:val="22"/>
          <w:szCs w:val="22"/>
        </w:rPr>
        <w:fldChar w:fldCharType="begin"/>
      </w:r>
      <w:r w:rsidRPr="005C7E10">
        <w:rPr>
          <w:rFonts w:ascii="Verdana" w:hAnsi="Verdana"/>
          <w:sz w:val="22"/>
          <w:szCs w:val="22"/>
        </w:rPr>
        <w:instrText xml:space="preserve"> SEQ Gráfica \* ARABIC </w:instrText>
      </w:r>
      <w:r w:rsidRPr="005C7E10">
        <w:rPr>
          <w:rFonts w:ascii="Verdana" w:hAnsi="Verdana"/>
          <w:sz w:val="22"/>
          <w:szCs w:val="22"/>
        </w:rPr>
        <w:fldChar w:fldCharType="separate"/>
      </w:r>
      <w:r w:rsidR="00BC476F">
        <w:rPr>
          <w:rFonts w:ascii="Verdana" w:hAnsi="Verdana"/>
          <w:noProof/>
          <w:sz w:val="22"/>
          <w:szCs w:val="22"/>
        </w:rPr>
        <w:t>47</w:t>
      </w:r>
      <w:r w:rsidRPr="005C7E10">
        <w:rPr>
          <w:rFonts w:ascii="Verdana" w:hAnsi="Verdana"/>
          <w:sz w:val="22"/>
          <w:szCs w:val="22"/>
        </w:rPr>
        <w:fldChar w:fldCharType="end"/>
      </w:r>
      <w:r w:rsidRPr="005C7E10">
        <w:rPr>
          <w:rFonts w:ascii="Verdana" w:hAnsi="Verdana"/>
          <w:sz w:val="22"/>
          <w:szCs w:val="22"/>
        </w:rPr>
        <w:t>. Caracterización de empresas del sector</w:t>
      </w:r>
      <w:bookmarkEnd w:id="68"/>
    </w:p>
    <w:p w14:paraId="4CB309A0" w14:textId="42EB9156" w:rsidR="00CA2693" w:rsidRPr="00A81BAA" w:rsidRDefault="00DC2701" w:rsidP="38892FF1">
      <w:pPr>
        <w:autoSpaceDE w:val="0"/>
        <w:autoSpaceDN w:val="0"/>
        <w:spacing w:line="276" w:lineRule="auto"/>
        <w:jc w:val="center"/>
        <w:rPr>
          <w:rFonts w:ascii="Verdana" w:hAnsi="Verdana" w:cs="Arial"/>
          <w:b/>
          <w:bCs/>
          <w:sz w:val="22"/>
          <w:szCs w:val="22"/>
        </w:rPr>
      </w:pPr>
      <w:r>
        <w:rPr>
          <w:noProof/>
          <w14:ligatures w14:val="standardContextual"/>
        </w:rPr>
        <w:lastRenderedPageBreak/>
        <w:drawing>
          <wp:inline distT="0" distB="0" distL="0" distR="0" wp14:anchorId="62337877" wp14:editId="6BA16078">
            <wp:extent cx="3416867" cy="2807996"/>
            <wp:effectExtent l="0" t="0" r="12700" b="11430"/>
            <wp:docPr id="137573735" name="Gráfico 1">
              <a:extLst xmlns:a="http://schemas.openxmlformats.org/drawingml/2006/main">
                <a:ext uri="{FF2B5EF4-FFF2-40B4-BE49-F238E27FC236}">
                  <a16:creationId xmlns:a16="http://schemas.microsoft.com/office/drawing/2014/main" id="{459FD9F1-1285-4BAF-8789-A16A9BB190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939535A" w14:textId="32EA036A" w:rsidR="005B3F76" w:rsidRPr="00ED7182" w:rsidRDefault="005E187C" w:rsidP="005E187C">
      <w:pPr>
        <w:jc w:val="center"/>
        <w:rPr>
          <w:rFonts w:ascii="Verdana" w:hAnsi="Verdana" w:cs="Arial"/>
          <w:sz w:val="16"/>
          <w:szCs w:val="16"/>
        </w:rPr>
      </w:pPr>
      <w:r w:rsidRPr="00ED7182">
        <w:rPr>
          <w:rFonts w:ascii="Verdana" w:hAnsi="Verdana" w:cs="Arial"/>
          <w:sz w:val="16"/>
          <w:szCs w:val="16"/>
        </w:rPr>
        <w:t>Fuente: Elaboración propia</w:t>
      </w:r>
    </w:p>
    <w:p w14:paraId="4B08C51C" w14:textId="77777777" w:rsidR="00D176B9" w:rsidRPr="00ED7182" w:rsidRDefault="00D176B9" w:rsidP="007E3DFC">
      <w:pPr>
        <w:jc w:val="both"/>
        <w:rPr>
          <w:rFonts w:ascii="Verdana" w:hAnsi="Verdana" w:cs="Arial"/>
          <w:sz w:val="22"/>
          <w:szCs w:val="22"/>
        </w:rPr>
      </w:pPr>
    </w:p>
    <w:p w14:paraId="6B844BB9" w14:textId="27AA3135" w:rsidR="007E3DFC" w:rsidRPr="00B00FCB" w:rsidRDefault="00B80547" w:rsidP="007E3DFC">
      <w:pPr>
        <w:jc w:val="both"/>
        <w:rPr>
          <w:rFonts w:ascii="Verdana" w:hAnsi="Verdana" w:cs="Arial"/>
          <w:sz w:val="22"/>
          <w:szCs w:val="22"/>
        </w:rPr>
      </w:pPr>
      <w:r w:rsidRPr="00B00FCB">
        <w:rPr>
          <w:rFonts w:ascii="Verdana" w:hAnsi="Verdana" w:cs="Arial"/>
          <w:sz w:val="22"/>
          <w:szCs w:val="22"/>
        </w:rPr>
        <w:t>Por otro lado</w:t>
      </w:r>
      <w:r w:rsidR="28EE590D" w:rsidRPr="00B00FCB">
        <w:rPr>
          <w:rFonts w:ascii="Verdana" w:hAnsi="Verdana" w:cs="Arial"/>
          <w:sz w:val="22"/>
          <w:szCs w:val="22"/>
        </w:rPr>
        <w:t>,</w:t>
      </w:r>
      <w:r w:rsidRPr="00B00FCB">
        <w:rPr>
          <w:rFonts w:ascii="Verdana" w:hAnsi="Verdana" w:cs="Arial"/>
          <w:sz w:val="22"/>
          <w:szCs w:val="22"/>
        </w:rPr>
        <w:t xml:space="preserve"> l</w:t>
      </w:r>
      <w:r w:rsidR="007E3DFC" w:rsidRPr="00B00FCB">
        <w:rPr>
          <w:rFonts w:ascii="Verdana" w:hAnsi="Verdana" w:cs="Arial"/>
          <w:sz w:val="22"/>
          <w:szCs w:val="22"/>
        </w:rPr>
        <w:t xml:space="preserve">a Subdirección de Estudios de Mercado y Abastecimiento Estratégico EMAE, en </w:t>
      </w:r>
      <w:r w:rsidR="007937AF" w:rsidRPr="00B00FCB">
        <w:rPr>
          <w:rFonts w:ascii="Verdana" w:hAnsi="Verdana" w:cs="Arial"/>
          <w:sz w:val="22"/>
          <w:szCs w:val="22"/>
        </w:rPr>
        <w:t>el</w:t>
      </w:r>
      <w:r w:rsidR="007E3DFC" w:rsidRPr="00B00FCB">
        <w:rPr>
          <w:rFonts w:ascii="Verdana" w:hAnsi="Verdana" w:cs="Arial"/>
          <w:sz w:val="22"/>
          <w:szCs w:val="22"/>
        </w:rPr>
        <w:t xml:space="preserve"> informe de “cubo del gasto para el sector transporte” establece el comportamiento de las Mipymes y participación de género en los contratos publicados en </w:t>
      </w:r>
      <w:r w:rsidR="371064AA" w:rsidRPr="00B00FCB">
        <w:rPr>
          <w:rFonts w:ascii="Verdana" w:hAnsi="Verdana" w:cs="Arial"/>
          <w:sz w:val="22"/>
          <w:szCs w:val="22"/>
        </w:rPr>
        <w:t xml:space="preserve">el </w:t>
      </w:r>
      <w:r w:rsidR="007E3DFC" w:rsidRPr="00B00FCB">
        <w:rPr>
          <w:rFonts w:ascii="Verdana" w:hAnsi="Verdana" w:cs="Arial"/>
          <w:sz w:val="22"/>
          <w:szCs w:val="22"/>
        </w:rPr>
        <w:t>S</w:t>
      </w:r>
      <w:r w:rsidR="4EC91861" w:rsidRPr="00B00FCB">
        <w:rPr>
          <w:rFonts w:ascii="Verdana" w:hAnsi="Verdana" w:cs="Arial"/>
          <w:sz w:val="22"/>
          <w:szCs w:val="22"/>
        </w:rPr>
        <w:t>ECOP</w:t>
      </w:r>
      <w:r w:rsidR="007E3DFC" w:rsidRPr="00B00FCB">
        <w:rPr>
          <w:rFonts w:ascii="Verdana" w:hAnsi="Verdana" w:cs="Arial"/>
          <w:sz w:val="22"/>
          <w:szCs w:val="22"/>
        </w:rPr>
        <w:t xml:space="preserve"> I y II para las vigencias 2021, 2022 y 2023 diferenciando la </w:t>
      </w:r>
      <w:r w:rsidR="1702A794" w:rsidRPr="00B00FCB">
        <w:rPr>
          <w:rFonts w:ascii="Verdana" w:hAnsi="Verdana" w:cs="Arial"/>
          <w:sz w:val="22"/>
          <w:szCs w:val="22"/>
        </w:rPr>
        <w:t>información,</w:t>
      </w:r>
      <w:r w:rsidR="007E3DFC" w:rsidRPr="00B00FCB">
        <w:rPr>
          <w:rFonts w:ascii="Verdana" w:hAnsi="Verdana" w:cs="Arial"/>
          <w:sz w:val="22"/>
          <w:szCs w:val="22"/>
        </w:rPr>
        <w:t xml:space="preserve"> que se muestran en la siguiente gráfica:</w:t>
      </w:r>
    </w:p>
    <w:p w14:paraId="4D59F0B1" w14:textId="77777777" w:rsidR="007E3DFC" w:rsidRPr="00B00FCB" w:rsidRDefault="007E3DFC" w:rsidP="007E3DFC">
      <w:pPr>
        <w:jc w:val="both"/>
        <w:rPr>
          <w:rFonts w:ascii="Verdana" w:hAnsi="Verdana" w:cs="Arial"/>
          <w:sz w:val="22"/>
          <w:szCs w:val="22"/>
        </w:rPr>
      </w:pPr>
    </w:p>
    <w:p w14:paraId="38600473" w14:textId="77777777" w:rsidR="00D66AAE" w:rsidRPr="00B00FCB" w:rsidRDefault="00D66AAE" w:rsidP="00D66AAE">
      <w:pPr>
        <w:pStyle w:val="Descripcin"/>
        <w:jc w:val="center"/>
        <w:rPr>
          <w:rFonts w:ascii="Verdana" w:hAnsi="Verdana"/>
          <w:sz w:val="22"/>
          <w:szCs w:val="22"/>
        </w:rPr>
      </w:pPr>
    </w:p>
    <w:p w14:paraId="58DE991D" w14:textId="77777777" w:rsidR="00D66AAE" w:rsidRPr="00B00FCB" w:rsidRDefault="00D66AAE" w:rsidP="00D66AAE">
      <w:pPr>
        <w:pStyle w:val="Descripcin"/>
        <w:jc w:val="center"/>
        <w:rPr>
          <w:rFonts w:ascii="Verdana" w:hAnsi="Verdana"/>
          <w:sz w:val="22"/>
          <w:szCs w:val="22"/>
        </w:rPr>
      </w:pPr>
    </w:p>
    <w:p w14:paraId="66BED182" w14:textId="77777777" w:rsidR="00D66AAE" w:rsidRPr="00B00FCB" w:rsidRDefault="00D66AAE" w:rsidP="00D66AAE">
      <w:pPr>
        <w:pStyle w:val="Descripcin"/>
        <w:jc w:val="center"/>
        <w:rPr>
          <w:rFonts w:ascii="Verdana" w:hAnsi="Verdana"/>
          <w:sz w:val="22"/>
          <w:szCs w:val="22"/>
        </w:rPr>
      </w:pPr>
    </w:p>
    <w:p w14:paraId="7D0B857A" w14:textId="0A339F90" w:rsidR="00D66AAE" w:rsidRPr="00B00FCB" w:rsidRDefault="00D66AAE" w:rsidP="005C7E10">
      <w:pPr>
        <w:pStyle w:val="Descripcin"/>
        <w:jc w:val="center"/>
        <w:rPr>
          <w:rFonts w:ascii="Verdana" w:hAnsi="Verdana" w:cs="Arial"/>
          <w:sz w:val="24"/>
          <w:szCs w:val="24"/>
        </w:rPr>
      </w:pPr>
      <w:bookmarkStart w:id="69" w:name="_Toc180136814"/>
      <w:r w:rsidRPr="00B00FCB">
        <w:rPr>
          <w:rFonts w:ascii="Verdana" w:hAnsi="Verdana"/>
          <w:sz w:val="22"/>
          <w:szCs w:val="22"/>
        </w:rPr>
        <w:t xml:space="preserve">Gráfica </w:t>
      </w:r>
      <w:r w:rsidRPr="00B00FCB">
        <w:rPr>
          <w:rFonts w:ascii="Verdana" w:hAnsi="Verdana"/>
          <w:sz w:val="22"/>
          <w:szCs w:val="22"/>
        </w:rPr>
        <w:fldChar w:fldCharType="begin"/>
      </w:r>
      <w:r w:rsidRPr="00B00FCB">
        <w:rPr>
          <w:rFonts w:ascii="Verdana" w:hAnsi="Verdana"/>
          <w:sz w:val="22"/>
          <w:szCs w:val="22"/>
        </w:rPr>
        <w:instrText xml:space="preserve"> SEQ Gráfica \* ARABIC </w:instrText>
      </w:r>
      <w:r w:rsidRPr="00B00FCB">
        <w:rPr>
          <w:rFonts w:ascii="Verdana" w:hAnsi="Verdana"/>
          <w:sz w:val="22"/>
          <w:szCs w:val="22"/>
        </w:rPr>
        <w:fldChar w:fldCharType="separate"/>
      </w:r>
      <w:r w:rsidR="00BC476F" w:rsidRPr="00B00FCB">
        <w:rPr>
          <w:rFonts w:ascii="Verdana" w:hAnsi="Verdana"/>
          <w:noProof/>
          <w:sz w:val="22"/>
          <w:szCs w:val="22"/>
        </w:rPr>
        <w:t>48</w:t>
      </w:r>
      <w:r w:rsidRPr="00B00FCB">
        <w:rPr>
          <w:rFonts w:ascii="Verdana" w:hAnsi="Verdana"/>
          <w:sz w:val="22"/>
          <w:szCs w:val="22"/>
        </w:rPr>
        <w:fldChar w:fldCharType="end"/>
      </w:r>
      <w:r w:rsidRPr="00B00FCB">
        <w:rPr>
          <w:rFonts w:ascii="Verdana" w:hAnsi="Verdana"/>
          <w:sz w:val="22"/>
          <w:szCs w:val="22"/>
        </w:rPr>
        <w:t>. Participación Pymes</w:t>
      </w:r>
      <w:bookmarkEnd w:id="69"/>
    </w:p>
    <w:p w14:paraId="7CE234AB" w14:textId="77777777" w:rsidR="00962E8D" w:rsidRPr="00B00FCB" w:rsidRDefault="00962E8D" w:rsidP="007E3DFC">
      <w:pPr>
        <w:jc w:val="both"/>
        <w:rPr>
          <w:rFonts w:ascii="Verdana" w:hAnsi="Verdana" w:cs="Arial"/>
          <w:sz w:val="22"/>
          <w:szCs w:val="22"/>
        </w:rPr>
      </w:pPr>
    </w:p>
    <w:p w14:paraId="0E739324" w14:textId="77777777" w:rsidR="007E3DFC" w:rsidRPr="00B00FCB" w:rsidRDefault="007E3DFC" w:rsidP="007E3DFC">
      <w:pPr>
        <w:jc w:val="center"/>
        <w:rPr>
          <w:rFonts w:ascii="Verdana" w:hAnsi="Verdana" w:cs="Arial"/>
          <w:sz w:val="22"/>
          <w:szCs w:val="22"/>
        </w:rPr>
      </w:pPr>
      <w:r w:rsidRPr="00B00FCB">
        <w:rPr>
          <w:rFonts w:ascii="Verdana" w:hAnsi="Verdana"/>
          <w:noProof/>
        </w:rPr>
        <w:lastRenderedPageBreak/>
        <w:drawing>
          <wp:inline distT="0" distB="0" distL="0" distR="0" wp14:anchorId="22474326" wp14:editId="4A1265B6">
            <wp:extent cx="4306741" cy="2391641"/>
            <wp:effectExtent l="19050" t="19050" r="17780" b="27940"/>
            <wp:docPr id="923195263" name="Imagen 8"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rotWithShape="1">
                    <a:blip r:embed="rId97">
                      <a:extLst>
                        <a:ext uri="{28A0092B-C50C-407E-A947-70E740481C1C}">
                          <a14:useLocalDpi xmlns:a14="http://schemas.microsoft.com/office/drawing/2010/main" val="0"/>
                        </a:ext>
                      </a:extLst>
                    </a:blip>
                    <a:srcRect t="7467" b="10761"/>
                    <a:stretch/>
                  </pic:blipFill>
                  <pic:spPr bwMode="auto">
                    <a:xfrm>
                      <a:off x="0" y="0"/>
                      <a:ext cx="4321757" cy="239998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A66EA5" w14:textId="77777777" w:rsidR="00B822D1" w:rsidRPr="00B00FCB" w:rsidRDefault="00B822D1" w:rsidP="00B822D1">
      <w:pPr>
        <w:jc w:val="center"/>
        <w:rPr>
          <w:rFonts w:ascii="Verdana" w:hAnsi="Verdana" w:cs="Arial"/>
          <w:sz w:val="16"/>
          <w:szCs w:val="16"/>
        </w:rPr>
      </w:pPr>
      <w:r w:rsidRPr="00B00FCB">
        <w:rPr>
          <w:rFonts w:ascii="Verdana" w:hAnsi="Verdana" w:cs="Arial"/>
          <w:sz w:val="16"/>
          <w:szCs w:val="16"/>
        </w:rPr>
        <w:t>Fuente: Sistema Electrónico para la Contratación Pública. Cálculo S. EMAE</w:t>
      </w:r>
    </w:p>
    <w:p w14:paraId="38942FA6" w14:textId="77777777" w:rsidR="00962E8D" w:rsidRPr="00B00FCB" w:rsidRDefault="00962E8D" w:rsidP="007E3DFC">
      <w:pPr>
        <w:jc w:val="center"/>
        <w:rPr>
          <w:rFonts w:ascii="Verdana" w:hAnsi="Verdana" w:cs="Arial"/>
          <w:sz w:val="22"/>
          <w:szCs w:val="22"/>
        </w:rPr>
      </w:pPr>
    </w:p>
    <w:p w14:paraId="6B4D35ED" w14:textId="6D65ED74" w:rsidR="007E3DFC" w:rsidRPr="00B00FCB" w:rsidRDefault="007E3DFC" w:rsidP="007E3DFC">
      <w:pPr>
        <w:jc w:val="both"/>
        <w:rPr>
          <w:rFonts w:ascii="Verdana" w:hAnsi="Verdana" w:cs="Arial"/>
          <w:sz w:val="22"/>
          <w:szCs w:val="22"/>
        </w:rPr>
      </w:pPr>
      <w:r w:rsidRPr="00B00FCB">
        <w:rPr>
          <w:rFonts w:ascii="Verdana" w:hAnsi="Verdana" w:cs="Arial"/>
          <w:sz w:val="22"/>
          <w:szCs w:val="22"/>
        </w:rPr>
        <w:t xml:space="preserve">El análisis sugiere para los procesos </w:t>
      </w:r>
      <w:r w:rsidR="0F8A01DC" w:rsidRPr="00B00FCB">
        <w:rPr>
          <w:rFonts w:ascii="Verdana" w:hAnsi="Verdana" w:cs="Arial"/>
          <w:sz w:val="22"/>
          <w:szCs w:val="22"/>
        </w:rPr>
        <w:t xml:space="preserve">del </w:t>
      </w:r>
      <w:r w:rsidRPr="00B00FCB">
        <w:rPr>
          <w:rFonts w:ascii="Verdana" w:hAnsi="Verdana" w:cs="Arial"/>
          <w:sz w:val="22"/>
          <w:szCs w:val="22"/>
        </w:rPr>
        <w:t>SECOP II, que para el segmento más alto de la contratación del sector transporte, existe una baja representatividad de las pymes, lo que podría atribuirse a la existencia de posibles barreras de entrada para proveedores de este tamaño, o a una tendencia de asignación de contratos a empresas de mayor envergadura, por razones de capacidad financiera o técnica. Estos hallazgos podrían motivar a los responsables de la formulación de políticas y el desarrollo de estrategias que fomenten una mayor inclusión de las pymes en la contratación pública.</w:t>
      </w:r>
    </w:p>
    <w:p w14:paraId="0C1AA2C3" w14:textId="77777777" w:rsidR="007E3DFC" w:rsidRPr="00B00FCB" w:rsidRDefault="007E3DFC" w:rsidP="007E3DFC">
      <w:pPr>
        <w:jc w:val="both"/>
        <w:rPr>
          <w:rFonts w:ascii="Verdana" w:hAnsi="Verdana" w:cs="Arial"/>
          <w:sz w:val="22"/>
          <w:szCs w:val="22"/>
        </w:rPr>
      </w:pPr>
    </w:p>
    <w:p w14:paraId="74E2C869" w14:textId="7A120CD6" w:rsidR="007E3DFC" w:rsidRPr="00B00FCB" w:rsidRDefault="007E3DFC" w:rsidP="007E3DFC">
      <w:pPr>
        <w:jc w:val="both"/>
        <w:rPr>
          <w:rFonts w:ascii="Verdana" w:hAnsi="Verdana" w:cs="Arial"/>
          <w:sz w:val="22"/>
          <w:szCs w:val="22"/>
        </w:rPr>
      </w:pPr>
      <w:r w:rsidRPr="00B00FCB">
        <w:rPr>
          <w:rFonts w:ascii="Verdana" w:hAnsi="Verdana" w:cs="Arial"/>
          <w:sz w:val="22"/>
          <w:szCs w:val="22"/>
        </w:rPr>
        <w:t>En cuanto a la participación de género, en este aspecto se muestra de acuerdo con el género del representante legal de los proveedores observados del sector transporte durante las vigencias 2021, 2022 y 2023 diferenciando la información procedente de</w:t>
      </w:r>
      <w:r w:rsidR="66440D4F" w:rsidRPr="00B00FCB">
        <w:rPr>
          <w:rFonts w:ascii="Verdana" w:hAnsi="Verdana" w:cs="Arial"/>
          <w:sz w:val="22"/>
          <w:szCs w:val="22"/>
        </w:rPr>
        <w:t>l</w:t>
      </w:r>
      <w:r w:rsidRPr="00B00FCB">
        <w:rPr>
          <w:rFonts w:ascii="Verdana" w:hAnsi="Verdana" w:cs="Arial"/>
          <w:sz w:val="22"/>
          <w:szCs w:val="22"/>
        </w:rPr>
        <w:t xml:space="preserve"> SECOP I y II. Este análisis se realiza sobre las categorías “Femenino”, “Masculino” y “No Definido” por ser las categorías incluidas en las plataformas observadas.</w:t>
      </w:r>
    </w:p>
    <w:p w14:paraId="3889AAFD" w14:textId="77777777" w:rsidR="00CB6B91" w:rsidRPr="00B00FCB" w:rsidRDefault="00CB6B91" w:rsidP="007E3DFC">
      <w:pPr>
        <w:jc w:val="both"/>
        <w:rPr>
          <w:rFonts w:ascii="Verdana" w:hAnsi="Verdana" w:cs="Arial"/>
          <w:sz w:val="22"/>
          <w:szCs w:val="22"/>
        </w:rPr>
      </w:pPr>
    </w:p>
    <w:p w14:paraId="0DA66CEC" w14:textId="77777777" w:rsidR="008E7AB1" w:rsidRPr="00B00FCB" w:rsidRDefault="008E7AB1" w:rsidP="007E3DFC">
      <w:pPr>
        <w:jc w:val="both"/>
        <w:rPr>
          <w:rFonts w:ascii="Verdana" w:hAnsi="Verdana" w:cs="Arial"/>
          <w:sz w:val="22"/>
          <w:szCs w:val="22"/>
        </w:rPr>
      </w:pPr>
    </w:p>
    <w:p w14:paraId="67004634" w14:textId="77777777" w:rsidR="008E7AB1" w:rsidRPr="00B00FCB" w:rsidRDefault="008E7AB1" w:rsidP="007E3DFC">
      <w:pPr>
        <w:jc w:val="both"/>
        <w:rPr>
          <w:rFonts w:ascii="Verdana" w:hAnsi="Verdana" w:cs="Arial"/>
          <w:sz w:val="22"/>
          <w:szCs w:val="22"/>
        </w:rPr>
      </w:pPr>
    </w:p>
    <w:p w14:paraId="7542D173" w14:textId="77777777" w:rsidR="008E7AB1" w:rsidRPr="00B00FCB" w:rsidRDefault="008E7AB1" w:rsidP="007E3DFC">
      <w:pPr>
        <w:jc w:val="both"/>
        <w:rPr>
          <w:rFonts w:ascii="Verdana" w:hAnsi="Verdana" w:cs="Arial"/>
          <w:sz w:val="22"/>
          <w:szCs w:val="22"/>
        </w:rPr>
      </w:pPr>
    </w:p>
    <w:p w14:paraId="037385CB" w14:textId="77777777" w:rsidR="008E7AB1" w:rsidRPr="00B00FCB" w:rsidRDefault="008E7AB1" w:rsidP="007E3DFC">
      <w:pPr>
        <w:jc w:val="both"/>
        <w:rPr>
          <w:rFonts w:ascii="Verdana" w:hAnsi="Verdana" w:cs="Arial"/>
          <w:sz w:val="22"/>
          <w:szCs w:val="22"/>
        </w:rPr>
      </w:pPr>
    </w:p>
    <w:p w14:paraId="6AF2BAC3" w14:textId="77777777" w:rsidR="008E7AB1" w:rsidRPr="00B00FCB" w:rsidRDefault="008E7AB1" w:rsidP="007E3DFC">
      <w:pPr>
        <w:jc w:val="both"/>
        <w:rPr>
          <w:rFonts w:ascii="Verdana" w:hAnsi="Verdana" w:cs="Arial"/>
          <w:sz w:val="22"/>
          <w:szCs w:val="22"/>
        </w:rPr>
      </w:pPr>
    </w:p>
    <w:p w14:paraId="6A0E71D2" w14:textId="77777777" w:rsidR="008E7AB1" w:rsidRPr="00B00FCB" w:rsidRDefault="008E7AB1" w:rsidP="007E3DFC">
      <w:pPr>
        <w:jc w:val="both"/>
        <w:rPr>
          <w:rFonts w:ascii="Verdana" w:hAnsi="Verdana" w:cs="Arial"/>
          <w:sz w:val="22"/>
          <w:szCs w:val="22"/>
        </w:rPr>
      </w:pPr>
    </w:p>
    <w:p w14:paraId="0D63BC44" w14:textId="77777777" w:rsidR="008E7AB1" w:rsidRPr="00B00FCB" w:rsidRDefault="008E7AB1" w:rsidP="007E3DFC">
      <w:pPr>
        <w:jc w:val="both"/>
        <w:rPr>
          <w:rFonts w:ascii="Verdana" w:hAnsi="Verdana" w:cs="Arial"/>
          <w:sz w:val="22"/>
          <w:szCs w:val="22"/>
        </w:rPr>
      </w:pPr>
    </w:p>
    <w:p w14:paraId="21A02CEE" w14:textId="425F08E2" w:rsidR="008E7AB1" w:rsidRPr="00B00FCB" w:rsidRDefault="008E7AB1" w:rsidP="005C7E10">
      <w:pPr>
        <w:pStyle w:val="Descripcin"/>
        <w:jc w:val="center"/>
        <w:rPr>
          <w:rFonts w:ascii="Verdana" w:hAnsi="Verdana" w:cs="Arial"/>
          <w:sz w:val="22"/>
          <w:szCs w:val="22"/>
        </w:rPr>
      </w:pPr>
      <w:bookmarkStart w:id="70" w:name="_Toc180136815"/>
      <w:r w:rsidRPr="00B00FCB">
        <w:rPr>
          <w:rFonts w:ascii="Verdana" w:hAnsi="Verdana"/>
          <w:sz w:val="22"/>
          <w:szCs w:val="22"/>
        </w:rPr>
        <w:t xml:space="preserve">Gráfica </w:t>
      </w:r>
      <w:r w:rsidRPr="00B00FCB">
        <w:rPr>
          <w:rFonts w:ascii="Verdana" w:hAnsi="Verdana"/>
          <w:sz w:val="22"/>
          <w:szCs w:val="22"/>
        </w:rPr>
        <w:fldChar w:fldCharType="begin"/>
      </w:r>
      <w:r w:rsidRPr="00B00FCB">
        <w:rPr>
          <w:rFonts w:ascii="Verdana" w:hAnsi="Verdana"/>
          <w:sz w:val="22"/>
          <w:szCs w:val="22"/>
        </w:rPr>
        <w:instrText xml:space="preserve"> SEQ Gráfica \* ARABIC </w:instrText>
      </w:r>
      <w:r w:rsidRPr="00B00FCB">
        <w:rPr>
          <w:rFonts w:ascii="Verdana" w:hAnsi="Verdana"/>
          <w:sz w:val="22"/>
          <w:szCs w:val="22"/>
        </w:rPr>
        <w:fldChar w:fldCharType="separate"/>
      </w:r>
      <w:r w:rsidR="00BC476F" w:rsidRPr="00B00FCB">
        <w:rPr>
          <w:rFonts w:ascii="Verdana" w:hAnsi="Verdana"/>
          <w:noProof/>
          <w:sz w:val="22"/>
          <w:szCs w:val="22"/>
        </w:rPr>
        <w:t>49</w:t>
      </w:r>
      <w:r w:rsidRPr="00B00FCB">
        <w:rPr>
          <w:rFonts w:ascii="Verdana" w:hAnsi="Verdana"/>
          <w:sz w:val="22"/>
          <w:szCs w:val="22"/>
        </w:rPr>
        <w:fldChar w:fldCharType="end"/>
      </w:r>
      <w:r w:rsidRPr="00B00FCB">
        <w:rPr>
          <w:rFonts w:ascii="Verdana" w:hAnsi="Verdana"/>
          <w:sz w:val="22"/>
          <w:szCs w:val="22"/>
        </w:rPr>
        <w:t>. Participación por género</w:t>
      </w:r>
      <w:bookmarkEnd w:id="70"/>
    </w:p>
    <w:p w14:paraId="236EA490" w14:textId="77777777" w:rsidR="007E3DFC" w:rsidRPr="00B00FCB" w:rsidRDefault="007E3DFC" w:rsidP="007E3DFC">
      <w:pPr>
        <w:jc w:val="center"/>
        <w:rPr>
          <w:rFonts w:ascii="Verdana" w:hAnsi="Verdana" w:cs="Arial"/>
          <w:sz w:val="22"/>
          <w:szCs w:val="22"/>
        </w:rPr>
      </w:pPr>
      <w:r w:rsidRPr="00B00FCB">
        <w:rPr>
          <w:rFonts w:ascii="Verdana" w:hAnsi="Verdana"/>
          <w:noProof/>
        </w:rPr>
        <w:lastRenderedPageBreak/>
        <w:drawing>
          <wp:inline distT="0" distB="0" distL="0" distR="0" wp14:anchorId="30C71577" wp14:editId="5D7BD9FA">
            <wp:extent cx="4335145" cy="2237261"/>
            <wp:effectExtent l="19050" t="19050" r="27305" b="10795"/>
            <wp:docPr id="107209383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pic:nvPicPr>
                  <pic:blipFill rotWithShape="1">
                    <a:blip r:embed="rId98">
                      <a:extLst>
                        <a:ext uri="{28A0092B-C50C-407E-A947-70E740481C1C}">
                          <a14:useLocalDpi xmlns:a14="http://schemas.microsoft.com/office/drawing/2010/main" val="0"/>
                        </a:ext>
                      </a:extLst>
                    </a:blip>
                    <a:srcRect b="9589"/>
                    <a:stretch/>
                  </pic:blipFill>
                  <pic:spPr bwMode="auto">
                    <a:xfrm>
                      <a:off x="0" y="0"/>
                      <a:ext cx="4335649" cy="223752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A12E222" w14:textId="77777777" w:rsidR="008E7AB1" w:rsidRPr="00B00FCB" w:rsidRDefault="008E7AB1" w:rsidP="008E7AB1">
      <w:pPr>
        <w:jc w:val="center"/>
        <w:rPr>
          <w:rFonts w:ascii="Verdana" w:hAnsi="Verdana" w:cs="Arial"/>
          <w:sz w:val="16"/>
          <w:szCs w:val="16"/>
        </w:rPr>
      </w:pPr>
      <w:r w:rsidRPr="00B00FCB">
        <w:rPr>
          <w:rFonts w:ascii="Verdana" w:hAnsi="Verdana" w:cs="Arial"/>
          <w:sz w:val="16"/>
          <w:szCs w:val="16"/>
        </w:rPr>
        <w:t>Fuente: Sistema Electrónico para la Contratación Pública. Cálculo S. EMAE</w:t>
      </w:r>
    </w:p>
    <w:p w14:paraId="235D60D8" w14:textId="77777777" w:rsidR="008E7AB1" w:rsidRPr="00B00FCB" w:rsidRDefault="008E7AB1" w:rsidP="007E3DFC">
      <w:pPr>
        <w:jc w:val="center"/>
        <w:rPr>
          <w:rFonts w:ascii="Verdana" w:hAnsi="Verdana" w:cs="Arial"/>
          <w:sz w:val="22"/>
          <w:szCs w:val="22"/>
        </w:rPr>
      </w:pPr>
    </w:p>
    <w:p w14:paraId="66ABE899" w14:textId="77777777" w:rsidR="007E3DFC" w:rsidRPr="00B00FCB" w:rsidRDefault="007E3DFC" w:rsidP="007E3DFC">
      <w:pPr>
        <w:jc w:val="both"/>
        <w:rPr>
          <w:rFonts w:ascii="Verdana" w:hAnsi="Verdana" w:cs="Arial"/>
          <w:sz w:val="22"/>
          <w:szCs w:val="22"/>
        </w:rPr>
      </w:pPr>
    </w:p>
    <w:p w14:paraId="6C072FF0" w14:textId="6BB94BF2" w:rsidR="007E3DFC" w:rsidRPr="00B00FCB" w:rsidRDefault="007E3DFC" w:rsidP="007E3DFC">
      <w:pPr>
        <w:jc w:val="both"/>
        <w:rPr>
          <w:rFonts w:ascii="Verdana" w:hAnsi="Verdana" w:cs="Arial"/>
          <w:sz w:val="22"/>
          <w:szCs w:val="22"/>
        </w:rPr>
      </w:pPr>
      <w:r w:rsidRPr="00B00FCB">
        <w:rPr>
          <w:rFonts w:ascii="Verdana" w:hAnsi="Verdana" w:cs="Arial"/>
          <w:sz w:val="22"/>
          <w:szCs w:val="22"/>
        </w:rPr>
        <w:t>Para los registros de</w:t>
      </w:r>
      <w:r w:rsidR="07DB423F" w:rsidRPr="00B00FCB">
        <w:rPr>
          <w:rFonts w:ascii="Verdana" w:hAnsi="Verdana" w:cs="Arial"/>
          <w:sz w:val="22"/>
          <w:szCs w:val="22"/>
        </w:rPr>
        <w:t>l</w:t>
      </w:r>
      <w:r w:rsidR="008E7AB1" w:rsidRPr="00B00FCB">
        <w:rPr>
          <w:rFonts w:ascii="Verdana" w:hAnsi="Verdana" w:cs="Arial"/>
          <w:sz w:val="22"/>
          <w:szCs w:val="22"/>
        </w:rPr>
        <w:t xml:space="preserve"> </w:t>
      </w:r>
      <w:r w:rsidRPr="00B00FCB">
        <w:rPr>
          <w:rFonts w:ascii="Verdana" w:hAnsi="Verdana" w:cs="Arial"/>
          <w:sz w:val="22"/>
          <w:szCs w:val="22"/>
        </w:rPr>
        <w:t xml:space="preserve">SECOP I, la participación por género del representante legal del proveedor adjudicado muestra una mayor participación del género “Masculino” tanto en los valores contratados por $7,3 billones de pesos, como en el número de contratos con 6.853, frente a aquellos proveedores con representante legal “Femenino” con valores contratados por $1,2 billones de pesos a través de 1.439 contratos. Esto refleja una disparidad significativa en el género relacionado con la representación legal de los proveedores en el ámbito de la contratación pública del sector transporte en </w:t>
      </w:r>
      <w:r w:rsidR="7FDD5D90" w:rsidRPr="00B00FCB">
        <w:rPr>
          <w:rFonts w:ascii="Verdana" w:hAnsi="Verdana" w:cs="Arial"/>
          <w:sz w:val="22"/>
          <w:szCs w:val="22"/>
        </w:rPr>
        <w:t>el</w:t>
      </w:r>
      <w:r w:rsidRPr="00B00FCB">
        <w:rPr>
          <w:rFonts w:ascii="Verdana" w:hAnsi="Verdana" w:cs="Arial"/>
          <w:sz w:val="22"/>
          <w:szCs w:val="22"/>
        </w:rPr>
        <w:t xml:space="preserve"> SECOP I.</w:t>
      </w:r>
    </w:p>
    <w:p w14:paraId="6AC6FBC7" w14:textId="77777777" w:rsidR="007E3DFC" w:rsidRPr="00B00FCB" w:rsidRDefault="007E3DFC" w:rsidP="007E3DFC">
      <w:pPr>
        <w:jc w:val="both"/>
        <w:rPr>
          <w:rFonts w:ascii="Verdana" w:hAnsi="Verdana" w:cs="Arial"/>
          <w:sz w:val="22"/>
          <w:szCs w:val="22"/>
        </w:rPr>
      </w:pPr>
    </w:p>
    <w:p w14:paraId="6EB5E937" w14:textId="634EFC57" w:rsidR="007E3DFC" w:rsidRPr="00B00FCB" w:rsidRDefault="007E3DFC" w:rsidP="007E3DFC">
      <w:pPr>
        <w:jc w:val="both"/>
        <w:rPr>
          <w:rFonts w:ascii="Verdana" w:hAnsi="Verdana" w:cs="Arial"/>
          <w:sz w:val="22"/>
          <w:szCs w:val="22"/>
        </w:rPr>
      </w:pPr>
      <w:r w:rsidRPr="00B00FCB">
        <w:rPr>
          <w:rFonts w:ascii="Verdana" w:hAnsi="Verdana" w:cs="Arial"/>
          <w:sz w:val="22"/>
          <w:szCs w:val="22"/>
        </w:rPr>
        <w:t xml:space="preserve">Para los procesos registrados en </w:t>
      </w:r>
      <w:r w:rsidR="28429A29" w:rsidRPr="00B00FCB">
        <w:rPr>
          <w:rFonts w:ascii="Verdana" w:hAnsi="Verdana" w:cs="Arial"/>
          <w:sz w:val="22"/>
          <w:szCs w:val="22"/>
        </w:rPr>
        <w:t xml:space="preserve">el </w:t>
      </w:r>
      <w:r w:rsidRPr="00B00FCB">
        <w:rPr>
          <w:rFonts w:ascii="Verdana" w:hAnsi="Verdana" w:cs="Arial"/>
          <w:sz w:val="22"/>
          <w:szCs w:val="22"/>
        </w:rPr>
        <w:t>SECOP II, el valor más alto no tuvo un registro válido para el análisis, toda vez que “No Definido” tuvo un valor de $15 billones de pesos, representativo del 56% de los valores para este sector, a través de 2.571 contratos. Esta información pudo no ser requerida por la plataforma al momento del registro del contrato o no diligenciada por los usuarios de la plataforma.</w:t>
      </w:r>
    </w:p>
    <w:p w14:paraId="53C0E0C9" w14:textId="77777777" w:rsidR="007E3DFC" w:rsidRPr="00B00FCB" w:rsidRDefault="007E3DFC" w:rsidP="007E3DFC">
      <w:pPr>
        <w:jc w:val="both"/>
        <w:rPr>
          <w:rFonts w:ascii="Verdana" w:hAnsi="Verdana" w:cs="Arial"/>
          <w:sz w:val="22"/>
          <w:szCs w:val="22"/>
        </w:rPr>
      </w:pPr>
    </w:p>
    <w:p w14:paraId="297C57F6" w14:textId="69EB8452" w:rsidR="007E3DFC" w:rsidRPr="00ED7182" w:rsidRDefault="007E3DFC" w:rsidP="007E3DFC">
      <w:pPr>
        <w:jc w:val="both"/>
        <w:rPr>
          <w:rFonts w:ascii="Verdana" w:hAnsi="Verdana" w:cs="Arial"/>
          <w:sz w:val="22"/>
          <w:szCs w:val="22"/>
        </w:rPr>
      </w:pPr>
      <w:r w:rsidRPr="00B00FCB">
        <w:rPr>
          <w:rFonts w:ascii="Verdana" w:hAnsi="Verdana" w:cs="Arial"/>
          <w:sz w:val="22"/>
          <w:szCs w:val="22"/>
        </w:rPr>
        <w:t xml:space="preserve">Los registros del género de los representantes legales “Femenino” y “Masculino”, agrupan el 44% de los valores en </w:t>
      </w:r>
      <w:r w:rsidR="24C14C61" w:rsidRPr="00B00FCB">
        <w:rPr>
          <w:rFonts w:ascii="Verdana" w:hAnsi="Verdana" w:cs="Arial"/>
          <w:sz w:val="22"/>
          <w:szCs w:val="22"/>
        </w:rPr>
        <w:t xml:space="preserve">el </w:t>
      </w:r>
      <w:r w:rsidRPr="00B00FCB">
        <w:rPr>
          <w:rFonts w:ascii="Verdana" w:hAnsi="Verdana" w:cs="Arial"/>
          <w:sz w:val="22"/>
          <w:szCs w:val="22"/>
        </w:rPr>
        <w:t>SECOP II y son significativamente menores en comparación con la categoría “No Definido”. A partir de esto, la representación legal marcada como “Femenino” concentró $2,4 billones de pesos equivalentes al 9% del total del sector, siendo la prevalente, frente al registro “Masculino” con valores por $490 mil millones de pesos que concentraron el 1,9% del gasto del sector.</w:t>
      </w:r>
    </w:p>
    <w:p w14:paraId="1680574D" w14:textId="77777777" w:rsidR="005B3F76" w:rsidRPr="00ED7182" w:rsidRDefault="005B3F76" w:rsidP="0001608E">
      <w:pPr>
        <w:rPr>
          <w:rFonts w:ascii="Verdana" w:hAnsi="Verdana" w:cs="Arial"/>
          <w:sz w:val="22"/>
          <w:szCs w:val="22"/>
        </w:rPr>
      </w:pPr>
    </w:p>
    <w:p w14:paraId="70CFF67E" w14:textId="77777777" w:rsidR="005B3F76" w:rsidRPr="00ED7182" w:rsidRDefault="005B3F76" w:rsidP="0001608E">
      <w:pPr>
        <w:rPr>
          <w:rFonts w:ascii="Verdana" w:hAnsi="Verdana" w:cs="Arial"/>
          <w:sz w:val="22"/>
          <w:szCs w:val="22"/>
        </w:rPr>
      </w:pPr>
    </w:p>
    <w:p w14:paraId="5C0A7E69" w14:textId="2F538C31" w:rsidR="00F70F12" w:rsidRPr="00ED7182" w:rsidRDefault="00F20A47" w:rsidP="00E42FDE">
      <w:pPr>
        <w:pStyle w:val="Ttulo1"/>
        <w:numPr>
          <w:ilvl w:val="0"/>
          <w:numId w:val="44"/>
        </w:numPr>
        <w:spacing w:before="0" w:after="0"/>
        <w:contextualSpacing/>
        <w:jc w:val="both"/>
        <w:rPr>
          <w:rFonts w:ascii="Verdana" w:hAnsi="Verdana" w:cs="Arial"/>
          <w:color w:val="auto"/>
          <w:szCs w:val="22"/>
        </w:rPr>
      </w:pPr>
      <w:bookmarkStart w:id="71" w:name="_Toc196716373"/>
      <w:r w:rsidRPr="00ED7182">
        <w:rPr>
          <w:rFonts w:ascii="Verdana" w:eastAsia="Calibri" w:hAnsi="Verdana" w:cs="Arial"/>
          <w:color w:val="auto"/>
          <w:szCs w:val="22"/>
        </w:rPr>
        <w:lastRenderedPageBreak/>
        <w:t xml:space="preserve">Justificación y análisis de la escogencia de los criterios diferenciales </w:t>
      </w:r>
      <w:r w:rsidR="00870783" w:rsidRPr="00ED7182">
        <w:rPr>
          <w:rFonts w:ascii="Verdana" w:eastAsia="Calibri" w:hAnsi="Verdana" w:cs="Arial"/>
          <w:color w:val="auto"/>
          <w:szCs w:val="22"/>
        </w:rPr>
        <w:t>incorporados</w:t>
      </w:r>
      <w:r w:rsidRPr="00ED7182">
        <w:rPr>
          <w:rFonts w:ascii="Verdana" w:eastAsia="Calibri" w:hAnsi="Verdana" w:cs="Arial"/>
          <w:color w:val="auto"/>
          <w:szCs w:val="22"/>
        </w:rPr>
        <w:t xml:space="preserve"> en los </w:t>
      </w:r>
      <w:r w:rsidR="00AF15E5" w:rsidRPr="00ED7182">
        <w:rPr>
          <w:rFonts w:ascii="Verdana" w:hAnsi="Verdana" w:cs="Arial"/>
          <w:color w:val="auto"/>
          <w:szCs w:val="22"/>
        </w:rPr>
        <w:t>documentos tipo</w:t>
      </w:r>
      <w:r w:rsidRPr="00ED7182">
        <w:rPr>
          <w:rFonts w:ascii="Verdana" w:hAnsi="Verdana" w:cs="Arial"/>
          <w:color w:val="auto"/>
          <w:szCs w:val="22"/>
        </w:rPr>
        <w:t xml:space="preserve"> </w:t>
      </w:r>
      <w:r w:rsidR="002333A7" w:rsidRPr="00ED7182">
        <w:rPr>
          <w:rFonts w:ascii="Verdana" w:hAnsi="Verdana" w:cs="Arial"/>
          <w:color w:val="auto"/>
          <w:szCs w:val="22"/>
        </w:rPr>
        <w:t xml:space="preserve">de obra pública de infraestructura </w:t>
      </w:r>
      <w:r w:rsidR="008B3766" w:rsidRPr="00ED7182">
        <w:rPr>
          <w:rFonts w:ascii="Verdana" w:hAnsi="Verdana" w:cs="Arial"/>
          <w:color w:val="auto"/>
          <w:szCs w:val="22"/>
        </w:rPr>
        <w:t xml:space="preserve">social </w:t>
      </w:r>
      <w:r w:rsidRPr="00ED7182">
        <w:rPr>
          <w:rFonts w:ascii="Verdana" w:hAnsi="Verdana" w:cs="Arial"/>
          <w:color w:val="auto"/>
          <w:szCs w:val="22"/>
        </w:rPr>
        <w:t>en favor de las Mipyme</w:t>
      </w:r>
      <w:r w:rsidR="00847CFC" w:rsidRPr="00ED7182">
        <w:rPr>
          <w:rFonts w:ascii="Verdana" w:hAnsi="Verdana" w:cs="Arial"/>
          <w:color w:val="auto"/>
          <w:szCs w:val="22"/>
        </w:rPr>
        <w:t>,</w:t>
      </w:r>
      <w:r w:rsidRPr="00ED7182">
        <w:rPr>
          <w:rFonts w:ascii="Verdana" w:hAnsi="Verdana" w:cs="Arial"/>
          <w:color w:val="auto"/>
          <w:szCs w:val="22"/>
        </w:rPr>
        <w:t xml:space="preserve"> emprendimiento</w:t>
      </w:r>
      <w:r w:rsidR="004F318F" w:rsidRPr="00ED7182">
        <w:rPr>
          <w:rFonts w:ascii="Verdana" w:hAnsi="Verdana" w:cs="Arial"/>
          <w:color w:val="auto"/>
          <w:szCs w:val="22"/>
        </w:rPr>
        <w:t>s</w:t>
      </w:r>
      <w:r w:rsidRPr="00ED7182">
        <w:rPr>
          <w:rFonts w:ascii="Verdana" w:hAnsi="Verdana" w:cs="Arial"/>
          <w:color w:val="auto"/>
          <w:szCs w:val="22"/>
        </w:rPr>
        <w:t xml:space="preserve"> y empresas de mujeres</w:t>
      </w:r>
      <w:r w:rsidR="00B4257B" w:rsidRPr="00ED7182">
        <w:rPr>
          <w:rFonts w:ascii="Verdana" w:hAnsi="Verdana" w:cs="Arial"/>
          <w:color w:val="auto"/>
          <w:szCs w:val="22"/>
        </w:rPr>
        <w:t xml:space="preserve"> y población vulnerable.</w:t>
      </w:r>
      <w:bookmarkEnd w:id="71"/>
    </w:p>
    <w:p w14:paraId="27A5A7D0" w14:textId="77777777" w:rsidR="00172B4F" w:rsidRPr="00ED7182" w:rsidRDefault="00172B4F" w:rsidP="00172B4F">
      <w:pPr>
        <w:rPr>
          <w:rFonts w:ascii="Verdana" w:hAnsi="Verdana" w:cs="Arial"/>
          <w:sz w:val="22"/>
          <w:szCs w:val="22"/>
        </w:rPr>
      </w:pPr>
    </w:p>
    <w:p w14:paraId="6EA28506" w14:textId="19FD919B" w:rsidR="004B6604" w:rsidRPr="00ED7182" w:rsidRDefault="004E2BB6" w:rsidP="00E42FDE">
      <w:pPr>
        <w:pStyle w:val="Ttulo2"/>
        <w:numPr>
          <w:ilvl w:val="0"/>
          <w:numId w:val="47"/>
        </w:numPr>
        <w:jc w:val="both"/>
        <w:rPr>
          <w:rFonts w:ascii="Verdana" w:hAnsi="Verdana" w:cs="Arial"/>
          <w:color w:val="auto"/>
          <w:szCs w:val="22"/>
        </w:rPr>
      </w:pPr>
      <w:bookmarkStart w:id="72" w:name="_Toc196716374"/>
      <w:r w:rsidRPr="00ED7182">
        <w:rPr>
          <w:rFonts w:ascii="Verdana" w:hAnsi="Verdana" w:cs="Arial"/>
          <w:color w:val="auto"/>
          <w:szCs w:val="22"/>
        </w:rPr>
        <w:t xml:space="preserve">Criterios </w:t>
      </w:r>
      <w:r w:rsidR="006573FA" w:rsidRPr="00ED7182">
        <w:rPr>
          <w:rFonts w:ascii="Verdana" w:hAnsi="Verdana" w:cs="Arial"/>
          <w:color w:val="auto"/>
          <w:szCs w:val="22"/>
        </w:rPr>
        <w:t xml:space="preserve">escogidos como </w:t>
      </w:r>
      <w:r w:rsidR="000F2D0B" w:rsidRPr="00ED7182">
        <w:rPr>
          <w:rFonts w:ascii="Verdana" w:hAnsi="Verdana" w:cs="Arial"/>
          <w:color w:val="auto"/>
          <w:szCs w:val="22"/>
        </w:rPr>
        <w:t xml:space="preserve">requisitos </w:t>
      </w:r>
      <w:r w:rsidR="00C84E2C" w:rsidRPr="00ED7182">
        <w:rPr>
          <w:rFonts w:ascii="Verdana" w:hAnsi="Verdana" w:cs="Arial"/>
          <w:color w:val="auto"/>
          <w:szCs w:val="22"/>
        </w:rPr>
        <w:t xml:space="preserve">habilitantes diferenciales </w:t>
      </w:r>
      <w:r w:rsidR="004B6604" w:rsidRPr="00ED7182">
        <w:rPr>
          <w:rFonts w:ascii="Verdana" w:hAnsi="Verdana" w:cs="Arial"/>
          <w:color w:val="auto"/>
          <w:szCs w:val="22"/>
        </w:rPr>
        <w:t xml:space="preserve">en favor de las </w:t>
      </w:r>
      <w:r w:rsidR="00B4257B" w:rsidRPr="00ED7182">
        <w:rPr>
          <w:rFonts w:ascii="Verdana" w:hAnsi="Verdana" w:cs="Arial"/>
          <w:color w:val="auto"/>
          <w:szCs w:val="22"/>
        </w:rPr>
        <w:t>MiPymes</w:t>
      </w:r>
      <w:r w:rsidR="00147814" w:rsidRPr="00ED7182">
        <w:rPr>
          <w:rFonts w:ascii="Verdana" w:hAnsi="Verdana" w:cs="Arial"/>
          <w:color w:val="auto"/>
          <w:szCs w:val="22"/>
        </w:rPr>
        <w:t xml:space="preserve"> (Experiencia / Financieros</w:t>
      </w:r>
      <w:r w:rsidR="00B4257B" w:rsidRPr="00ED7182">
        <w:rPr>
          <w:rFonts w:ascii="Verdana" w:hAnsi="Verdana" w:cs="Arial"/>
          <w:color w:val="auto"/>
          <w:szCs w:val="22"/>
        </w:rPr>
        <w:t xml:space="preserve"> / jurídicos)</w:t>
      </w:r>
      <w:bookmarkEnd w:id="72"/>
    </w:p>
    <w:p w14:paraId="7D294C88" w14:textId="77777777" w:rsidR="00D271A0" w:rsidRPr="00ED7182" w:rsidRDefault="00D271A0" w:rsidP="00D271A0">
      <w:pPr>
        <w:rPr>
          <w:rFonts w:ascii="Verdana" w:hAnsi="Verdana" w:cs="Arial"/>
          <w:sz w:val="22"/>
          <w:szCs w:val="22"/>
        </w:rPr>
      </w:pPr>
    </w:p>
    <w:p w14:paraId="677B148E" w14:textId="0182685B" w:rsidR="006B7CFB" w:rsidRPr="00B00FCB" w:rsidRDefault="006B7CFB" w:rsidP="006B7CFB">
      <w:pPr>
        <w:jc w:val="both"/>
        <w:rPr>
          <w:rFonts w:ascii="Verdana" w:hAnsi="Verdana" w:cs="Arial"/>
          <w:b/>
          <w:sz w:val="22"/>
          <w:szCs w:val="22"/>
        </w:rPr>
      </w:pPr>
      <w:r w:rsidRPr="00B00FCB">
        <w:rPr>
          <w:rFonts w:ascii="Verdana" w:hAnsi="Verdana" w:cs="Arial"/>
          <w:b/>
          <w:sz w:val="22"/>
          <w:szCs w:val="22"/>
        </w:rPr>
        <w:t xml:space="preserve">Experiencia </w:t>
      </w:r>
    </w:p>
    <w:p w14:paraId="77D069C5" w14:textId="77777777" w:rsidR="006B7CFB" w:rsidRPr="00B00FCB" w:rsidRDefault="006B7CFB" w:rsidP="006B7CFB">
      <w:pPr>
        <w:jc w:val="both"/>
        <w:rPr>
          <w:rFonts w:ascii="Verdana" w:hAnsi="Verdana" w:cs="Arial"/>
          <w:sz w:val="22"/>
          <w:szCs w:val="22"/>
          <w:lang w:val="es-ES"/>
        </w:rPr>
      </w:pPr>
    </w:p>
    <w:p w14:paraId="117690C6" w14:textId="09FF258D" w:rsidR="006B7CFB" w:rsidRPr="00B00FCB" w:rsidRDefault="006B7CFB" w:rsidP="006B7CFB">
      <w:pPr>
        <w:jc w:val="both"/>
        <w:rPr>
          <w:rFonts w:ascii="Verdana" w:hAnsi="Verdana" w:cs="Arial"/>
          <w:sz w:val="22"/>
          <w:szCs w:val="22"/>
          <w:lang w:val="es-ES"/>
        </w:rPr>
      </w:pPr>
      <w:r w:rsidRPr="00B00FCB">
        <w:rPr>
          <w:rFonts w:ascii="Verdana" w:hAnsi="Verdana" w:cs="Arial"/>
          <w:sz w:val="22"/>
          <w:szCs w:val="22"/>
          <w:lang w:val="es-ES"/>
        </w:rPr>
        <w:t xml:space="preserve">La Agencia Nacional de Contratación Pública – Colombia Compra Eficiente, como ente rector de la contratación pública, ha determinado mantener los requisitos habilitantes diferenciales en favor de las Mipymes, en lo relacionado con los criterios de Experiencia, para los pliegos tipo que se modifican actualmente del Sector Transporte, para las modalidades de Licitación Pública, </w:t>
      </w:r>
      <w:r w:rsidR="742B7C34" w:rsidRPr="00B00FCB">
        <w:rPr>
          <w:rFonts w:ascii="Verdana" w:hAnsi="Verdana" w:cs="Arial"/>
          <w:sz w:val="22"/>
          <w:szCs w:val="22"/>
          <w:lang w:val="es-ES"/>
        </w:rPr>
        <w:t>s</w:t>
      </w:r>
      <w:r w:rsidRPr="00B00FCB">
        <w:rPr>
          <w:rFonts w:ascii="Verdana" w:hAnsi="Verdana" w:cs="Arial"/>
          <w:sz w:val="22"/>
          <w:szCs w:val="22"/>
          <w:lang w:val="es-ES"/>
        </w:rPr>
        <w:t xml:space="preserve">elección abreviada </w:t>
      </w:r>
      <w:r w:rsidR="60B460C5" w:rsidRPr="00B00FCB">
        <w:rPr>
          <w:rFonts w:ascii="Verdana" w:hAnsi="Verdana" w:cs="Arial"/>
          <w:sz w:val="22"/>
          <w:szCs w:val="22"/>
          <w:lang w:val="es-ES"/>
        </w:rPr>
        <w:t>de menor</w:t>
      </w:r>
      <w:r w:rsidRPr="00B00FCB">
        <w:rPr>
          <w:rFonts w:ascii="Verdana" w:hAnsi="Verdana" w:cs="Arial"/>
          <w:sz w:val="22"/>
          <w:szCs w:val="22"/>
          <w:lang w:val="es-ES"/>
        </w:rPr>
        <w:t xml:space="preserve"> cuantía</w:t>
      </w:r>
      <w:r w:rsidR="60B460C5" w:rsidRPr="00B00FCB">
        <w:rPr>
          <w:rFonts w:ascii="Verdana" w:hAnsi="Verdana" w:cs="Arial"/>
          <w:sz w:val="22"/>
          <w:szCs w:val="22"/>
          <w:lang w:val="es-ES"/>
        </w:rPr>
        <w:t xml:space="preserve"> </w:t>
      </w:r>
      <w:r w:rsidRPr="00B00FCB">
        <w:rPr>
          <w:rFonts w:ascii="Verdana" w:hAnsi="Verdana" w:cs="Arial"/>
          <w:sz w:val="22"/>
          <w:szCs w:val="22"/>
          <w:lang w:val="es-ES"/>
        </w:rPr>
        <w:t xml:space="preserve">y mínima cuantía. </w:t>
      </w:r>
      <w:r w:rsidR="59EB69D4" w:rsidRPr="00B00FCB">
        <w:rPr>
          <w:rFonts w:ascii="Verdana" w:hAnsi="Verdana" w:cs="Arial"/>
          <w:sz w:val="22"/>
          <w:szCs w:val="22"/>
          <w:lang w:val="es-ES"/>
        </w:rPr>
        <w:t>En este sentido, considera necesario mantener reglas objetivas que garanticen una aplicación uniforme de estos criterios, para precaver interpretaciones o la inclusión de requisitos incongruentes con los propósitos perseguidos por estos incentivos contractuales y las normas sustentan.</w:t>
      </w:r>
      <w:r w:rsidRPr="00B00FCB">
        <w:rPr>
          <w:rFonts w:ascii="Verdana" w:hAnsi="Verdana" w:cs="Arial"/>
          <w:sz w:val="22"/>
          <w:szCs w:val="22"/>
          <w:lang w:val="es-ES"/>
        </w:rPr>
        <w:t xml:space="preserve"> </w:t>
      </w:r>
    </w:p>
    <w:p w14:paraId="0C9CA61E" w14:textId="77777777" w:rsidR="006B7CFB" w:rsidRPr="00B00FCB" w:rsidRDefault="006B7CFB" w:rsidP="006B7CFB">
      <w:pPr>
        <w:jc w:val="both"/>
        <w:rPr>
          <w:rFonts w:ascii="Verdana" w:hAnsi="Verdana" w:cs="Arial"/>
          <w:sz w:val="22"/>
          <w:szCs w:val="22"/>
          <w:lang w:val="es-ES"/>
        </w:rPr>
      </w:pPr>
    </w:p>
    <w:p w14:paraId="709D8A7D" w14:textId="77777777" w:rsidR="006B7CFB" w:rsidRPr="00B00FCB" w:rsidRDefault="006B7CFB" w:rsidP="006B7CFB">
      <w:pPr>
        <w:jc w:val="both"/>
        <w:rPr>
          <w:rFonts w:ascii="Verdana" w:hAnsi="Verdana" w:cs="Arial"/>
          <w:sz w:val="22"/>
          <w:szCs w:val="22"/>
          <w:lang w:val="es-ES"/>
        </w:rPr>
      </w:pPr>
      <w:r w:rsidRPr="00B00FCB">
        <w:rPr>
          <w:rFonts w:ascii="Verdana" w:hAnsi="Verdana" w:cs="Arial"/>
          <w:sz w:val="22"/>
          <w:szCs w:val="22"/>
          <w:lang w:val="es-ES"/>
        </w:rPr>
        <w:t>El documento base actual establece en el numeral 3.5.8. la siguiente relación de contratos, frente al presupuesto oficial, consideración que a juicio de la agencia se debe mantener en la modificación que actualmente se plantea, por cuanto, se considera que los proponentes han venido cumpliendo con esta consideración en los procesos que se han adelantado y se ha confirmado por las entidades técnicas especializadas en las mesas de trabajo.</w:t>
      </w:r>
    </w:p>
    <w:p w14:paraId="6F64AF0B" w14:textId="77777777" w:rsidR="000030AD" w:rsidRPr="00B00FCB" w:rsidRDefault="000030AD" w:rsidP="006B7CFB">
      <w:pPr>
        <w:jc w:val="both"/>
        <w:rPr>
          <w:rFonts w:ascii="Verdana" w:hAnsi="Verdana" w:cs="Arial"/>
          <w:sz w:val="22"/>
          <w:szCs w:val="22"/>
          <w:lang w:val="es-ES"/>
        </w:rPr>
      </w:pPr>
    </w:p>
    <w:p w14:paraId="72821637" w14:textId="191896E3" w:rsidR="00500BEB" w:rsidRPr="00B00FCB" w:rsidRDefault="00500BEB" w:rsidP="005C7E10">
      <w:pPr>
        <w:pStyle w:val="Descripcin"/>
        <w:spacing w:after="0"/>
        <w:jc w:val="center"/>
        <w:rPr>
          <w:rFonts w:ascii="Verdana" w:hAnsi="Verdana" w:cs="Arial"/>
          <w:sz w:val="24"/>
          <w:szCs w:val="24"/>
        </w:rPr>
      </w:pPr>
      <w:bookmarkStart w:id="73" w:name="_Toc180136835"/>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19</w:t>
      </w:r>
      <w:r w:rsidRPr="00B00FCB">
        <w:rPr>
          <w:rFonts w:ascii="Verdana" w:hAnsi="Verdana"/>
          <w:sz w:val="22"/>
          <w:szCs w:val="22"/>
        </w:rPr>
        <w:fldChar w:fldCharType="end"/>
      </w:r>
      <w:r w:rsidRPr="00B00FCB">
        <w:rPr>
          <w:rFonts w:ascii="Verdana" w:hAnsi="Verdana"/>
          <w:sz w:val="22"/>
          <w:szCs w:val="22"/>
        </w:rPr>
        <w:t>. Número de contratos para acreditación de experiencia</w:t>
      </w:r>
      <w:bookmarkEnd w:id="73"/>
    </w:p>
    <w:p w14:paraId="58070F90" w14:textId="77777777" w:rsidR="006B7CFB" w:rsidRPr="00B00FCB" w:rsidRDefault="006B7CFB" w:rsidP="006B7CFB">
      <w:pPr>
        <w:jc w:val="center"/>
        <w:rPr>
          <w:rFonts w:ascii="Verdana" w:hAnsi="Verdana" w:cs="Arial"/>
          <w:sz w:val="22"/>
          <w:szCs w:val="22"/>
          <w:lang w:val="es-ES"/>
        </w:rPr>
      </w:pPr>
      <w:r w:rsidRPr="00B00FCB">
        <w:rPr>
          <w:rFonts w:ascii="Verdana" w:hAnsi="Verdana" w:cs="Arial"/>
          <w:noProof/>
          <w:sz w:val="22"/>
          <w:szCs w:val="22"/>
          <w:lang w:val="es-ES"/>
        </w:rPr>
        <w:drawing>
          <wp:inline distT="0" distB="0" distL="0" distR="0" wp14:anchorId="6F37B205" wp14:editId="2D51A8E7">
            <wp:extent cx="4139430" cy="1128155"/>
            <wp:effectExtent l="0" t="0" r="0" b="0"/>
            <wp:docPr id="1999490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90285" name="Imagen 1999490285"/>
                    <pic:cNvPicPr/>
                  </pic:nvPicPr>
                  <pic:blipFill>
                    <a:blip r:embed="rId99"/>
                    <a:stretch>
                      <a:fillRect/>
                    </a:stretch>
                  </pic:blipFill>
                  <pic:spPr>
                    <a:xfrm>
                      <a:off x="0" y="0"/>
                      <a:ext cx="4155231" cy="1132462"/>
                    </a:xfrm>
                    <a:prstGeom prst="rect">
                      <a:avLst/>
                    </a:prstGeom>
                  </pic:spPr>
                </pic:pic>
              </a:graphicData>
            </a:graphic>
          </wp:inline>
        </w:drawing>
      </w:r>
    </w:p>
    <w:p w14:paraId="21ECE8B9" w14:textId="7AECF8AF" w:rsidR="006B7CFB" w:rsidRPr="00B00FCB" w:rsidRDefault="00500BEB" w:rsidP="006B7CFB">
      <w:pPr>
        <w:jc w:val="center"/>
        <w:rPr>
          <w:rFonts w:ascii="Verdana" w:hAnsi="Verdana" w:cs="Arial"/>
          <w:sz w:val="16"/>
          <w:szCs w:val="16"/>
          <w:lang w:val="es-ES"/>
        </w:rPr>
      </w:pPr>
      <w:r w:rsidRPr="00B00FCB">
        <w:rPr>
          <w:rFonts w:ascii="Verdana" w:hAnsi="Verdana" w:cs="Arial"/>
          <w:sz w:val="16"/>
          <w:szCs w:val="16"/>
          <w:lang w:val="es-ES"/>
        </w:rPr>
        <w:t>Fuente: Documento base Documento tipo infraestructura de transporte.</w:t>
      </w:r>
    </w:p>
    <w:p w14:paraId="1DD62140" w14:textId="77777777" w:rsidR="00500BEB" w:rsidRPr="00B00FCB" w:rsidRDefault="00500BEB" w:rsidP="006B7CFB">
      <w:pPr>
        <w:jc w:val="both"/>
        <w:rPr>
          <w:rFonts w:ascii="Verdana" w:hAnsi="Verdana" w:cs="Arial"/>
          <w:iCs/>
          <w:sz w:val="22"/>
          <w:szCs w:val="22"/>
          <w:lang w:eastAsia="es-ES"/>
        </w:rPr>
      </w:pPr>
    </w:p>
    <w:p w14:paraId="18A8B9C8" w14:textId="2C60EFA4" w:rsidR="006B7CFB" w:rsidRPr="00B00FCB" w:rsidRDefault="006B7CFB" w:rsidP="006B7CFB">
      <w:pPr>
        <w:jc w:val="both"/>
        <w:rPr>
          <w:rFonts w:ascii="Verdana" w:hAnsi="Verdana" w:cs="Arial"/>
          <w:iCs/>
          <w:sz w:val="22"/>
          <w:szCs w:val="22"/>
          <w:lang w:eastAsia="es-ES"/>
        </w:rPr>
      </w:pPr>
      <w:r w:rsidRPr="00B00FCB">
        <w:rPr>
          <w:rFonts w:ascii="Verdana" w:hAnsi="Verdana" w:cs="Arial"/>
          <w:iCs/>
          <w:sz w:val="22"/>
          <w:szCs w:val="22"/>
          <w:lang w:eastAsia="es-ES"/>
        </w:rPr>
        <w:lastRenderedPageBreak/>
        <w:t>“Si el número de contratos aportados supera los cinco (5) inicialmente previstos en este numeral, debido a la posibilidad de allegar contratos adicionales por tratarse de una Mipyme y/o emprendimiento y empresa de mujer, estos contratos adicionales, ya sean seis (6) o siete (7) -dependiendo si acredita una o ambas condiciones-, se tendrán en cuenta para demostrar el valor del ciento cincuenta por ciento (150 %) del valor del Presupuesto Oficial.”</w:t>
      </w:r>
    </w:p>
    <w:p w14:paraId="1BEBE674" w14:textId="77777777" w:rsidR="006B7CFB" w:rsidRPr="00B00FCB" w:rsidRDefault="006B7CFB" w:rsidP="006B7CFB">
      <w:pPr>
        <w:jc w:val="center"/>
        <w:rPr>
          <w:rFonts w:ascii="Verdana" w:hAnsi="Verdana" w:cs="Arial"/>
          <w:sz w:val="22"/>
          <w:szCs w:val="22"/>
        </w:rPr>
      </w:pPr>
    </w:p>
    <w:p w14:paraId="43F4BDD7" w14:textId="1DA7631F" w:rsidR="006B7CFB" w:rsidRPr="00B00FCB" w:rsidRDefault="006B7CFB" w:rsidP="006B7CFB">
      <w:pPr>
        <w:jc w:val="both"/>
        <w:rPr>
          <w:rFonts w:ascii="Verdana" w:hAnsi="Verdana" w:cs="Arial"/>
          <w:sz w:val="22"/>
          <w:szCs w:val="22"/>
          <w:lang w:val="es-MX"/>
        </w:rPr>
      </w:pPr>
      <w:r w:rsidRPr="00B00FCB">
        <w:rPr>
          <w:rFonts w:ascii="Verdana" w:hAnsi="Verdana" w:cs="Arial"/>
          <w:sz w:val="22"/>
          <w:szCs w:val="22"/>
          <w:lang w:val="es-ES"/>
        </w:rPr>
        <w:t xml:space="preserve">Sin embargo, </w:t>
      </w:r>
      <w:r w:rsidRPr="00B00FCB">
        <w:rPr>
          <w:rFonts w:ascii="Verdana" w:hAnsi="Verdana" w:cs="Arial"/>
          <w:sz w:val="22"/>
          <w:szCs w:val="22"/>
          <w:lang w:val="es-MX"/>
        </w:rPr>
        <w:t xml:space="preserve">conviene señalar que pueden presentarse eventos en los cuales proponente (Mipyme), desde su creación, haya ejecutado un amplio número de contratos que permitan comprobar su experticia en la ejecución de una determinada actividad o en la prestación de un servicio. No obstante, los valores de dichos contratos, expresados en SMMLV pueden ser bajos, por lo cual con la presentación de los cinco (5) contratos que se establecen como regla general en el documento tipo no </w:t>
      </w:r>
      <w:r w:rsidR="5EA986EA" w:rsidRPr="00B00FCB">
        <w:rPr>
          <w:rFonts w:ascii="Verdana" w:hAnsi="Verdana" w:cs="Arial"/>
          <w:sz w:val="22"/>
          <w:szCs w:val="22"/>
          <w:lang w:val="es-MX"/>
        </w:rPr>
        <w:t>alcanzarían</w:t>
      </w:r>
      <w:r w:rsidRPr="00B00FCB">
        <w:rPr>
          <w:rFonts w:ascii="Verdana" w:hAnsi="Verdana" w:cs="Arial"/>
          <w:sz w:val="22"/>
          <w:szCs w:val="22"/>
          <w:lang w:val="es-MX"/>
        </w:rPr>
        <w:t xml:space="preserve"> a probar la experiencia exigida. Contrario sensu, si se les permite allegar un contrato adicional podrían lograr acreditar la experiencia mínima exigida para habilitarse en el proceso. Nótese que, en este caso el proponente si tiene la experiencia suficiente que exige la Entidad Estatal en el proceso de contratación, solo que requiere de un contrato adicional para lograr comprobar que cumple con tal requisito. </w:t>
      </w:r>
    </w:p>
    <w:p w14:paraId="4C248F69" w14:textId="77777777" w:rsidR="002B2C9F" w:rsidRPr="00B00FCB" w:rsidRDefault="002B2C9F" w:rsidP="006B7CFB">
      <w:pPr>
        <w:jc w:val="both"/>
        <w:rPr>
          <w:rFonts w:ascii="Verdana" w:hAnsi="Verdana" w:cs="Arial"/>
          <w:sz w:val="22"/>
          <w:szCs w:val="22"/>
          <w:lang w:val="es-MX"/>
        </w:rPr>
      </w:pPr>
    </w:p>
    <w:p w14:paraId="3E32EF88" w14:textId="28B8338D" w:rsidR="006B7CFB" w:rsidRPr="00B00FCB" w:rsidRDefault="006B7CFB" w:rsidP="006B7CFB">
      <w:pPr>
        <w:jc w:val="both"/>
        <w:rPr>
          <w:rFonts w:ascii="Verdana" w:hAnsi="Verdana" w:cs="Arial"/>
          <w:sz w:val="22"/>
          <w:szCs w:val="22"/>
        </w:rPr>
      </w:pPr>
      <w:r w:rsidRPr="00B00FCB">
        <w:rPr>
          <w:rFonts w:ascii="Verdana" w:hAnsi="Verdana" w:cs="Arial"/>
          <w:sz w:val="22"/>
          <w:szCs w:val="22"/>
        </w:rPr>
        <w:t>En consecuencia</w:t>
      </w:r>
      <w:r w:rsidR="2D03943B" w:rsidRPr="00B00FCB">
        <w:rPr>
          <w:rFonts w:ascii="Verdana" w:hAnsi="Verdana" w:cs="Arial"/>
          <w:sz w:val="22"/>
          <w:szCs w:val="22"/>
        </w:rPr>
        <w:t>,</w:t>
      </w:r>
      <w:r w:rsidRPr="00B00FCB">
        <w:rPr>
          <w:rFonts w:ascii="Verdana" w:hAnsi="Verdana" w:cs="Arial"/>
          <w:sz w:val="22"/>
          <w:szCs w:val="22"/>
        </w:rPr>
        <w:t xml:space="preserve"> se mantuvieron las consideraciones respecto al número de contratos que pudieran ser acreditados por Mipymes, basados en lo </w:t>
      </w:r>
      <w:r w:rsidRPr="00B00FCB">
        <w:rPr>
          <w:rFonts w:ascii="Verdana" w:hAnsi="Verdana" w:cs="Arial"/>
          <w:sz w:val="22"/>
          <w:szCs w:val="22"/>
          <w:lang w:val="es-MX"/>
        </w:rPr>
        <w:t>previsto en el artículo 2.2.1.13.2.2 del Decreto 1074 de 2015 y los artículos 2.2.1.2.4.2.4. y 2.2.1.2.4.2.14 del Decreto 1082 de 2015, en donde se establece que se podrá probar la experiencia solicitada con un (1) contrato adicional a los cinco (5) inicialmente previstos, para un máximo de seis (6) contratos.</w:t>
      </w:r>
      <w:r w:rsidRPr="00B00FCB">
        <w:rPr>
          <w:rFonts w:ascii="Verdana" w:hAnsi="Verdana" w:cs="Arial"/>
          <w:sz w:val="22"/>
          <w:szCs w:val="22"/>
        </w:rPr>
        <w:t xml:space="preserve"> </w:t>
      </w:r>
    </w:p>
    <w:p w14:paraId="431C18BC" w14:textId="77777777" w:rsidR="006B7CFB" w:rsidRPr="00B00FCB" w:rsidRDefault="006B7CFB" w:rsidP="006B7CFB">
      <w:pPr>
        <w:jc w:val="both"/>
        <w:rPr>
          <w:rFonts w:ascii="Verdana" w:hAnsi="Verdana" w:cs="Arial"/>
          <w:sz w:val="22"/>
          <w:szCs w:val="22"/>
        </w:rPr>
      </w:pPr>
    </w:p>
    <w:p w14:paraId="27EDC674" w14:textId="77777777" w:rsidR="006B7CFB" w:rsidRPr="00B00FCB" w:rsidRDefault="006B7CFB" w:rsidP="006B7CFB">
      <w:pPr>
        <w:jc w:val="both"/>
        <w:rPr>
          <w:rFonts w:ascii="Verdana" w:hAnsi="Verdana" w:cs="Arial"/>
          <w:sz w:val="22"/>
          <w:szCs w:val="22"/>
          <w:lang w:val="es-MX"/>
        </w:rPr>
      </w:pPr>
      <w:r w:rsidRPr="00B00FCB">
        <w:rPr>
          <w:rFonts w:ascii="Verdana" w:hAnsi="Verdana" w:cs="Arial"/>
          <w:sz w:val="22"/>
          <w:szCs w:val="22"/>
          <w:lang w:val="es-MX"/>
        </w:rPr>
        <w:t>En el mismo sentido, se mantienen los aspectos que indican que en caso de que el mismo integrante u otro que haga parte del Proponente Plural tenga una participación igual o superior al diez por ciento (10 %) en el Consorcio o en la Unión Temporal y acredite la calidad de Mipyme y de emprendimiento y empresa de mujer con domicilio en el territorio nacional de manera conjunta o separada, podrá demostrar la experiencia solicitada con dos (2) contratos adicionales a los cinco (5) inicialmente previstos, para un máximo de siete (7) contratos y se aclara que para las convocatorias limitadas a Mipyme, únicamente se aplicará este criterio diferencial respecto de los emprendimientos y empresas de mujeres.</w:t>
      </w:r>
    </w:p>
    <w:p w14:paraId="67E32808" w14:textId="77777777" w:rsidR="006B7CFB" w:rsidRPr="00B00FCB" w:rsidRDefault="006B7CFB" w:rsidP="006B7CFB">
      <w:pPr>
        <w:jc w:val="both"/>
        <w:rPr>
          <w:rFonts w:ascii="Verdana" w:hAnsi="Verdana" w:cs="Arial"/>
          <w:sz w:val="22"/>
          <w:szCs w:val="22"/>
          <w:lang w:val="es-MX"/>
        </w:rPr>
      </w:pPr>
    </w:p>
    <w:p w14:paraId="10839739" w14:textId="77777777" w:rsidR="006B7CFB" w:rsidRPr="00B00FCB" w:rsidRDefault="006B7CFB" w:rsidP="006B7CFB">
      <w:pPr>
        <w:jc w:val="both"/>
        <w:rPr>
          <w:rFonts w:ascii="Verdana" w:hAnsi="Verdana" w:cs="Arial"/>
          <w:sz w:val="22"/>
          <w:szCs w:val="22"/>
          <w:lang w:val="es-ES"/>
        </w:rPr>
      </w:pPr>
      <w:r w:rsidRPr="00B00FCB">
        <w:rPr>
          <w:rFonts w:ascii="Verdana" w:hAnsi="Verdana" w:cs="Arial"/>
          <w:sz w:val="22"/>
          <w:szCs w:val="22"/>
          <w:lang w:val="es-ES"/>
        </w:rPr>
        <w:t xml:space="preserve">La Agencia considera que es un criterio diferencial objetivo permitir que se demuestre la experiencia mediante un mayor número de contratos, proporcional y razonable para los proponentes que ostenten la calidad de Mipyme, con el fin de que logren comprobar </w:t>
      </w:r>
      <w:r w:rsidRPr="00B00FCB">
        <w:rPr>
          <w:rFonts w:ascii="Verdana" w:hAnsi="Verdana" w:cs="Arial"/>
          <w:sz w:val="22"/>
          <w:szCs w:val="22"/>
          <w:lang w:val="es-ES"/>
        </w:rPr>
        <w:lastRenderedPageBreak/>
        <w:t>que cuentan con la experiencia mínima requerida y así puedan habilitarse en el proceso de contratación. De esta forma se evita que queden excluidos aquellos proponentes que teniendo la experiencia necesaria no pueden participar en el proceso de selección, debido a que dicha experiencia solo es posible acreditarla mediante un número de contratos que sobrepasa el máximo permitido en los documentos tipo de interventoría de obra pública de infraestructura social.</w:t>
      </w:r>
    </w:p>
    <w:p w14:paraId="234D10CB" w14:textId="77777777" w:rsidR="006B7CFB" w:rsidRPr="00B00FCB" w:rsidRDefault="006B7CFB" w:rsidP="006B7CFB">
      <w:pPr>
        <w:jc w:val="both"/>
        <w:rPr>
          <w:rFonts w:ascii="Verdana" w:hAnsi="Verdana" w:cs="Arial"/>
          <w:sz w:val="22"/>
          <w:szCs w:val="22"/>
          <w:lang w:val="es-ES"/>
        </w:rPr>
      </w:pPr>
    </w:p>
    <w:p w14:paraId="5E8A003B" w14:textId="204CC97E" w:rsidR="006B7CFB" w:rsidRPr="00A81BAA" w:rsidRDefault="006B7CFB" w:rsidP="006B7CFB">
      <w:pPr>
        <w:jc w:val="both"/>
        <w:rPr>
          <w:rFonts w:ascii="Verdana" w:hAnsi="Verdana" w:cs="Arial"/>
          <w:sz w:val="22"/>
          <w:szCs w:val="22"/>
          <w:lang w:val="es-ES"/>
        </w:rPr>
      </w:pPr>
      <w:r w:rsidRPr="00B00FCB">
        <w:rPr>
          <w:rFonts w:ascii="Verdana" w:hAnsi="Verdana" w:cs="Arial"/>
          <w:sz w:val="22"/>
          <w:szCs w:val="22"/>
          <w:lang w:val="es-MX"/>
        </w:rPr>
        <w:t xml:space="preserve">Manteniendo la consideración de permitir a las Mipymes presentar un número mayor de contratos, se busca reducir </w:t>
      </w:r>
      <w:r w:rsidRPr="00B00FCB">
        <w:rPr>
          <w:rFonts w:ascii="Verdana" w:hAnsi="Verdana" w:cs="Arial"/>
          <w:sz w:val="22"/>
          <w:szCs w:val="22"/>
          <w:lang w:val="es-ES"/>
        </w:rPr>
        <w:t>la desigualdad que puede representar para las Mipyme el hecho que se les exija probar la experiencia requerida en un proceso de contratación con el mismo número de contratos que a las grandes empresas, pues no están en igualdad de condiciones. Con esto se cumple con el objeto del Decreto 1860 de 2021 de incentivar la participación de las Mipyme en el sistema de compras públicas y contratación estatal, sin sacrificar la seguridad de la Entidad Estatal respecto de que el proponente, futuro contratista, cuenta con el conocimiento e idoneidad suficiente para llevar a cabo en debida forma el objeto contractual.</w:t>
      </w:r>
    </w:p>
    <w:p w14:paraId="69BC49C9" w14:textId="77777777" w:rsidR="000518CA" w:rsidRPr="00A81BAA" w:rsidRDefault="000518CA" w:rsidP="006B7CFB">
      <w:pPr>
        <w:jc w:val="both"/>
        <w:rPr>
          <w:rFonts w:ascii="Verdana" w:hAnsi="Verdana" w:cs="Arial"/>
          <w:sz w:val="22"/>
          <w:szCs w:val="22"/>
          <w:lang w:val="es-ES"/>
        </w:rPr>
      </w:pPr>
    </w:p>
    <w:p w14:paraId="5D65F13C" w14:textId="7DA01F91" w:rsidR="000518CA" w:rsidRPr="00A81BAA" w:rsidRDefault="000518CA" w:rsidP="006B7CFB">
      <w:pPr>
        <w:jc w:val="both"/>
        <w:rPr>
          <w:rFonts w:ascii="Verdana" w:hAnsi="Verdana" w:cs="Arial"/>
          <w:b/>
          <w:sz w:val="22"/>
          <w:szCs w:val="22"/>
        </w:rPr>
      </w:pPr>
      <w:r w:rsidRPr="00A81BAA">
        <w:rPr>
          <w:rFonts w:ascii="Verdana" w:hAnsi="Verdana" w:cs="Arial"/>
          <w:b/>
          <w:sz w:val="22"/>
          <w:szCs w:val="22"/>
        </w:rPr>
        <w:t>Financieros</w:t>
      </w:r>
    </w:p>
    <w:p w14:paraId="1272B34E" w14:textId="77777777" w:rsidR="007E41E5" w:rsidRPr="00A81BAA" w:rsidRDefault="007E41E5" w:rsidP="006B7CFB">
      <w:pPr>
        <w:jc w:val="both"/>
        <w:rPr>
          <w:rFonts w:ascii="Verdana" w:hAnsi="Verdana" w:cs="Arial"/>
          <w:b/>
          <w:sz w:val="22"/>
          <w:szCs w:val="22"/>
        </w:rPr>
      </w:pPr>
    </w:p>
    <w:p w14:paraId="3B5D8EB1" w14:textId="5D827473" w:rsidR="00500BEB" w:rsidRDefault="00FE1BD3" w:rsidP="00EB56A0">
      <w:pPr>
        <w:jc w:val="both"/>
        <w:rPr>
          <w:rFonts w:ascii="Verdana" w:hAnsi="Verdana" w:cs="Arial"/>
          <w:sz w:val="22"/>
          <w:szCs w:val="22"/>
          <w:lang w:val="es-MX"/>
        </w:rPr>
      </w:pPr>
      <w:r w:rsidRPr="00FE1BD3">
        <w:rPr>
          <w:rFonts w:ascii="Verdana" w:hAnsi="Verdana" w:cs="Arial"/>
          <w:sz w:val="22"/>
          <w:szCs w:val="22"/>
          <w:lang w:val="es-MX"/>
        </w:rPr>
        <w:t xml:space="preserve">Teniendo en cuenta que de la muestra de empresas analizada (1.955) se logró identificar que el 78% de las empresas </w:t>
      </w:r>
      <w:r w:rsidRPr="00FE1BD3">
        <w:rPr>
          <w:rFonts w:ascii="Verdana" w:hAnsi="Verdana" w:cs="Arial"/>
          <w:b/>
          <w:bCs/>
          <w:sz w:val="22"/>
          <w:szCs w:val="22"/>
          <w:lang w:val="es-MX"/>
        </w:rPr>
        <w:t>(1.521)</w:t>
      </w:r>
      <w:r w:rsidRPr="00FE1BD3">
        <w:rPr>
          <w:rFonts w:ascii="Verdana" w:hAnsi="Verdana" w:cs="Arial"/>
          <w:sz w:val="22"/>
          <w:szCs w:val="22"/>
          <w:lang w:val="es-MX"/>
        </w:rPr>
        <w:t xml:space="preserve"> se clasifican como MiPymes, y en consonancia con lo definido en el artículo 2.2.1.2.4.2.18. del decreto 1860 de 2021, mediante el cual se busca establecer Criterios diferenciales para MiPymes en el sistema de compras públicas, se replicó el análisis financiero de las empresas del sector identificadas, limitando la muestra a aquellas empresas categorizadas como MiPymes, obteniendo los siguientes resultados:</w:t>
      </w:r>
    </w:p>
    <w:p w14:paraId="454206AE" w14:textId="77777777" w:rsidR="00CF739E" w:rsidRDefault="00CF739E" w:rsidP="00EB56A0">
      <w:pPr>
        <w:jc w:val="both"/>
        <w:rPr>
          <w:rFonts w:ascii="Verdana" w:hAnsi="Verdana" w:cs="Arial"/>
          <w:sz w:val="22"/>
          <w:szCs w:val="22"/>
          <w:lang w:val="es-MX"/>
        </w:rPr>
      </w:pPr>
    </w:p>
    <w:p w14:paraId="573E438F" w14:textId="2A3C7DD8" w:rsidR="00CF739E" w:rsidRPr="00CF739E" w:rsidRDefault="00CF739E" w:rsidP="00CF739E">
      <w:pPr>
        <w:pStyle w:val="Descripcin"/>
        <w:jc w:val="both"/>
        <w:rPr>
          <w:rFonts w:ascii="Verdana" w:hAnsi="Verdana" w:cs="Arial"/>
          <w:sz w:val="24"/>
          <w:szCs w:val="24"/>
          <w:lang w:val="es-MX"/>
        </w:rPr>
      </w:pPr>
      <w:bookmarkStart w:id="74" w:name="_Toc180136836"/>
      <w:r w:rsidRPr="00CF739E">
        <w:rPr>
          <w:rFonts w:ascii="Verdana" w:hAnsi="Verdana"/>
          <w:sz w:val="22"/>
          <w:szCs w:val="22"/>
        </w:rPr>
        <w:t xml:space="preserve">Tabla </w:t>
      </w:r>
      <w:r w:rsidRPr="00CF739E">
        <w:rPr>
          <w:rFonts w:ascii="Verdana" w:hAnsi="Verdana"/>
          <w:sz w:val="22"/>
          <w:szCs w:val="22"/>
        </w:rPr>
        <w:fldChar w:fldCharType="begin"/>
      </w:r>
      <w:r w:rsidRPr="00CF739E">
        <w:rPr>
          <w:rFonts w:ascii="Verdana" w:hAnsi="Verdana"/>
          <w:sz w:val="22"/>
          <w:szCs w:val="22"/>
        </w:rPr>
        <w:instrText xml:space="preserve"> SEQ Tabla \* ARABIC </w:instrText>
      </w:r>
      <w:r w:rsidRPr="00CF739E">
        <w:rPr>
          <w:rFonts w:ascii="Verdana" w:hAnsi="Verdana"/>
          <w:sz w:val="22"/>
          <w:szCs w:val="22"/>
        </w:rPr>
        <w:fldChar w:fldCharType="separate"/>
      </w:r>
      <w:r w:rsidRPr="00CF739E">
        <w:rPr>
          <w:rFonts w:ascii="Verdana" w:hAnsi="Verdana"/>
          <w:noProof/>
          <w:sz w:val="22"/>
          <w:szCs w:val="22"/>
        </w:rPr>
        <w:t>20</w:t>
      </w:r>
      <w:r w:rsidRPr="00CF739E">
        <w:rPr>
          <w:rFonts w:ascii="Verdana" w:hAnsi="Verdana"/>
          <w:sz w:val="22"/>
          <w:szCs w:val="22"/>
        </w:rPr>
        <w:fldChar w:fldCharType="end"/>
      </w:r>
      <w:r w:rsidRPr="00CF739E">
        <w:rPr>
          <w:rFonts w:ascii="Verdana" w:hAnsi="Verdana"/>
          <w:sz w:val="22"/>
          <w:szCs w:val="22"/>
        </w:rPr>
        <w:t>. Indicadores de capacidad financiera y organizacional promedio del sector (MiPymes). Promedio de la muestra normalizada utilizando el criterio del rango intercuartílico</w:t>
      </w:r>
      <w:bookmarkEnd w:id="74"/>
    </w:p>
    <w:tbl>
      <w:tblPr>
        <w:tblW w:w="0" w:type="auto"/>
        <w:jc w:val="center"/>
        <w:tblCellMar>
          <w:left w:w="70" w:type="dxa"/>
          <w:right w:w="70" w:type="dxa"/>
        </w:tblCellMar>
        <w:tblLook w:val="04A0" w:firstRow="1" w:lastRow="0" w:firstColumn="1" w:lastColumn="0" w:noHBand="0" w:noVBand="1"/>
      </w:tblPr>
      <w:tblGrid>
        <w:gridCol w:w="556"/>
        <w:gridCol w:w="990"/>
        <w:gridCol w:w="1543"/>
        <w:gridCol w:w="1135"/>
        <w:gridCol w:w="1146"/>
        <w:gridCol w:w="1199"/>
        <w:gridCol w:w="1358"/>
        <w:gridCol w:w="1692"/>
      </w:tblGrid>
      <w:tr w:rsidR="00780165" w:rsidRPr="00780165" w14:paraId="3BCDFDF4" w14:textId="77777777" w:rsidTr="00780165">
        <w:trPr>
          <w:trHeight w:val="765"/>
          <w:tblHeader/>
          <w:jc w:val="center"/>
        </w:trPr>
        <w:tc>
          <w:tcPr>
            <w:tcW w:w="55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029F60" w14:textId="77777777" w:rsidR="00780165" w:rsidRPr="00780165" w:rsidRDefault="00780165" w:rsidP="0044671B">
            <w:pPr>
              <w:rPr>
                <w:rFonts w:ascii="Verdana" w:hAnsi="Verdana" w:cs="Arial"/>
                <w:color w:val="000000"/>
                <w:sz w:val="14"/>
                <w:szCs w:val="14"/>
                <w:lang w:eastAsia="es-CO"/>
              </w:rPr>
            </w:pPr>
            <w:r w:rsidRPr="00780165">
              <w:rPr>
                <w:rFonts w:ascii="Verdana" w:hAnsi="Verdana" w:cs="Arial"/>
                <w:color w:val="000000"/>
                <w:sz w:val="14"/>
                <w:szCs w:val="14"/>
                <w:lang w:eastAsia="es-CO"/>
              </w:rPr>
              <w:t> </w:t>
            </w:r>
          </w:p>
        </w:tc>
        <w:tc>
          <w:tcPr>
            <w:tcW w:w="990" w:type="dxa"/>
            <w:tcBorders>
              <w:top w:val="single" w:sz="8" w:space="0" w:color="auto"/>
              <w:left w:val="nil"/>
              <w:bottom w:val="single" w:sz="8" w:space="0" w:color="auto"/>
              <w:right w:val="single" w:sz="8" w:space="0" w:color="auto"/>
            </w:tcBorders>
            <w:shd w:val="clear" w:color="000000" w:fill="D9D9D9"/>
            <w:vAlign w:val="center"/>
            <w:hideMark/>
          </w:tcPr>
          <w:p w14:paraId="63A8FA51"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ÍNDICE DE LIQUIDEZ</w:t>
            </w:r>
            <w:r w:rsidRPr="00780165">
              <w:rPr>
                <w:rFonts w:ascii="Verdana" w:hAnsi="Verdana" w:cs="Arial"/>
                <w:b/>
                <w:bCs/>
                <w:color w:val="000000"/>
                <w:sz w:val="14"/>
                <w:szCs w:val="14"/>
                <w:lang w:eastAsia="es-CO"/>
              </w:rPr>
              <w:br/>
              <w:t>(Veces)</w:t>
            </w:r>
          </w:p>
        </w:tc>
        <w:tc>
          <w:tcPr>
            <w:tcW w:w="1543" w:type="dxa"/>
            <w:tcBorders>
              <w:top w:val="single" w:sz="8" w:space="0" w:color="auto"/>
              <w:left w:val="nil"/>
              <w:bottom w:val="single" w:sz="8" w:space="0" w:color="auto"/>
              <w:right w:val="single" w:sz="8" w:space="0" w:color="auto"/>
            </w:tcBorders>
            <w:shd w:val="clear" w:color="000000" w:fill="D9D9D9"/>
            <w:vAlign w:val="center"/>
            <w:hideMark/>
          </w:tcPr>
          <w:p w14:paraId="6497EA76"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 xml:space="preserve">ÍNDICE DE ENDEUDAMIENTO </w:t>
            </w:r>
          </w:p>
        </w:tc>
        <w:tc>
          <w:tcPr>
            <w:tcW w:w="1135" w:type="dxa"/>
            <w:tcBorders>
              <w:top w:val="single" w:sz="8" w:space="0" w:color="auto"/>
              <w:left w:val="nil"/>
              <w:bottom w:val="single" w:sz="8" w:space="0" w:color="auto"/>
              <w:right w:val="single" w:sz="8" w:space="0" w:color="auto"/>
            </w:tcBorders>
            <w:shd w:val="clear" w:color="000000" w:fill="D9D9D9"/>
            <w:vAlign w:val="center"/>
            <w:hideMark/>
          </w:tcPr>
          <w:p w14:paraId="330AA66E"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RAZÓN DE COBERTURA DE INTERESES (Veces)</w:t>
            </w:r>
          </w:p>
        </w:tc>
        <w:tc>
          <w:tcPr>
            <w:tcW w:w="1146" w:type="dxa"/>
            <w:tcBorders>
              <w:top w:val="single" w:sz="8" w:space="0" w:color="auto"/>
              <w:left w:val="nil"/>
              <w:bottom w:val="single" w:sz="8" w:space="0" w:color="auto"/>
              <w:right w:val="single" w:sz="8" w:space="0" w:color="auto"/>
            </w:tcBorders>
            <w:shd w:val="clear" w:color="000000" w:fill="D9D9D9"/>
            <w:vAlign w:val="center"/>
            <w:hideMark/>
          </w:tcPr>
          <w:p w14:paraId="3A9FA393"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CAPITAL DE TRABAJO (Miles de Pesos)</w:t>
            </w:r>
          </w:p>
        </w:tc>
        <w:tc>
          <w:tcPr>
            <w:tcW w:w="1199" w:type="dxa"/>
            <w:tcBorders>
              <w:top w:val="single" w:sz="8" w:space="0" w:color="auto"/>
              <w:left w:val="nil"/>
              <w:bottom w:val="single" w:sz="8" w:space="0" w:color="auto"/>
              <w:right w:val="single" w:sz="8" w:space="0" w:color="auto"/>
            </w:tcBorders>
            <w:shd w:val="clear" w:color="000000" w:fill="D9D9D9"/>
            <w:vAlign w:val="center"/>
            <w:hideMark/>
          </w:tcPr>
          <w:p w14:paraId="19532189"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PATRIMONIO (Miles de Pesos)</w:t>
            </w:r>
          </w:p>
        </w:tc>
        <w:tc>
          <w:tcPr>
            <w:tcW w:w="1358" w:type="dxa"/>
            <w:tcBorders>
              <w:top w:val="single" w:sz="8" w:space="0" w:color="auto"/>
              <w:left w:val="nil"/>
              <w:bottom w:val="single" w:sz="8" w:space="0" w:color="auto"/>
              <w:right w:val="single" w:sz="8" w:space="0" w:color="auto"/>
            </w:tcBorders>
            <w:shd w:val="clear" w:color="000000" w:fill="D9D9D9"/>
            <w:vAlign w:val="center"/>
            <w:hideMark/>
          </w:tcPr>
          <w:p w14:paraId="253A4429"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 xml:space="preserve">RENTABILIDAD DEL PATRIMONIO </w:t>
            </w:r>
          </w:p>
        </w:tc>
        <w:tc>
          <w:tcPr>
            <w:tcW w:w="0" w:type="auto"/>
            <w:tcBorders>
              <w:top w:val="single" w:sz="8" w:space="0" w:color="auto"/>
              <w:left w:val="nil"/>
              <w:bottom w:val="single" w:sz="8" w:space="0" w:color="auto"/>
              <w:right w:val="single" w:sz="8" w:space="0" w:color="auto"/>
            </w:tcBorders>
            <w:shd w:val="clear" w:color="000000" w:fill="D9D9D9"/>
            <w:vAlign w:val="center"/>
            <w:hideMark/>
          </w:tcPr>
          <w:p w14:paraId="4755A5FF"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RENTABILIDAD DEL ACTIVO</w:t>
            </w:r>
          </w:p>
        </w:tc>
      </w:tr>
      <w:tr w:rsidR="00780165" w:rsidRPr="00780165" w14:paraId="7645431A" w14:textId="77777777" w:rsidTr="00780165">
        <w:trPr>
          <w:trHeight w:val="315"/>
          <w:jc w:val="center"/>
        </w:trPr>
        <w:tc>
          <w:tcPr>
            <w:tcW w:w="556" w:type="dxa"/>
            <w:tcBorders>
              <w:top w:val="nil"/>
              <w:left w:val="single" w:sz="8" w:space="0" w:color="auto"/>
              <w:bottom w:val="single" w:sz="8" w:space="0" w:color="auto"/>
              <w:right w:val="single" w:sz="8" w:space="0" w:color="auto"/>
            </w:tcBorders>
            <w:shd w:val="clear" w:color="auto" w:fill="auto"/>
            <w:vAlign w:val="center"/>
            <w:hideMark/>
          </w:tcPr>
          <w:p w14:paraId="68945D11" w14:textId="77777777" w:rsidR="00780165" w:rsidRPr="00780165" w:rsidRDefault="00780165" w:rsidP="0044671B">
            <w:pPr>
              <w:jc w:val="center"/>
              <w:rPr>
                <w:rFonts w:ascii="Verdana" w:hAnsi="Verdana" w:cs="Arial"/>
                <w:b/>
                <w:bCs/>
                <w:color w:val="000000"/>
                <w:sz w:val="14"/>
                <w:szCs w:val="14"/>
                <w:lang w:eastAsia="es-CO"/>
              </w:rPr>
            </w:pPr>
            <w:r w:rsidRPr="00780165">
              <w:rPr>
                <w:rFonts w:ascii="Verdana" w:hAnsi="Verdana" w:cs="Arial"/>
                <w:b/>
                <w:bCs/>
                <w:color w:val="000000"/>
                <w:sz w:val="14"/>
                <w:szCs w:val="14"/>
                <w:lang w:eastAsia="es-CO"/>
              </w:rPr>
              <w:t>2023</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356CE"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4,81</w:t>
            </w:r>
          </w:p>
        </w:tc>
        <w:tc>
          <w:tcPr>
            <w:tcW w:w="1543" w:type="dxa"/>
            <w:tcBorders>
              <w:top w:val="single" w:sz="4" w:space="0" w:color="auto"/>
              <w:left w:val="nil"/>
              <w:bottom w:val="single" w:sz="4" w:space="0" w:color="auto"/>
              <w:right w:val="single" w:sz="4" w:space="0" w:color="auto"/>
            </w:tcBorders>
            <w:shd w:val="clear" w:color="auto" w:fill="auto"/>
            <w:noWrap/>
            <w:vAlign w:val="center"/>
          </w:tcPr>
          <w:p w14:paraId="46E5D974"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0,49</w:t>
            </w: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7AD40EF4"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5,57</w:t>
            </w:r>
          </w:p>
        </w:tc>
        <w:tc>
          <w:tcPr>
            <w:tcW w:w="1146" w:type="dxa"/>
            <w:tcBorders>
              <w:top w:val="single" w:sz="4" w:space="0" w:color="auto"/>
              <w:left w:val="nil"/>
              <w:bottom w:val="single" w:sz="4" w:space="0" w:color="auto"/>
              <w:right w:val="single" w:sz="4" w:space="0" w:color="auto"/>
            </w:tcBorders>
            <w:shd w:val="clear" w:color="auto" w:fill="auto"/>
            <w:noWrap/>
            <w:vAlign w:val="center"/>
          </w:tcPr>
          <w:p w14:paraId="344EA259"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$ 3.300.191</w:t>
            </w:r>
          </w:p>
        </w:tc>
        <w:tc>
          <w:tcPr>
            <w:tcW w:w="1199" w:type="dxa"/>
            <w:tcBorders>
              <w:top w:val="single" w:sz="4" w:space="0" w:color="auto"/>
              <w:left w:val="nil"/>
              <w:bottom w:val="single" w:sz="4" w:space="0" w:color="auto"/>
              <w:right w:val="single" w:sz="4" w:space="0" w:color="auto"/>
            </w:tcBorders>
            <w:shd w:val="clear" w:color="auto" w:fill="auto"/>
            <w:noWrap/>
            <w:vAlign w:val="center"/>
          </w:tcPr>
          <w:p w14:paraId="47B705FA"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$ 3.266.009</w:t>
            </w:r>
          </w:p>
        </w:tc>
        <w:tc>
          <w:tcPr>
            <w:tcW w:w="1358" w:type="dxa"/>
            <w:tcBorders>
              <w:top w:val="single" w:sz="4" w:space="0" w:color="auto"/>
              <w:left w:val="nil"/>
              <w:bottom w:val="single" w:sz="4" w:space="0" w:color="auto"/>
              <w:right w:val="single" w:sz="4" w:space="0" w:color="auto"/>
            </w:tcBorders>
            <w:shd w:val="clear" w:color="auto" w:fill="auto"/>
            <w:noWrap/>
            <w:vAlign w:val="center"/>
          </w:tcPr>
          <w:p w14:paraId="536D12E6"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0,13</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A7ADB8C" w14:textId="77777777" w:rsidR="00780165" w:rsidRPr="00780165" w:rsidRDefault="00780165" w:rsidP="0044671B">
            <w:pPr>
              <w:jc w:val="center"/>
              <w:rPr>
                <w:rFonts w:ascii="Verdana" w:hAnsi="Verdana" w:cs="Arial"/>
                <w:color w:val="000000"/>
                <w:sz w:val="16"/>
                <w:szCs w:val="16"/>
                <w:lang w:eastAsia="es-CO"/>
              </w:rPr>
            </w:pPr>
            <w:r w:rsidRPr="00780165">
              <w:rPr>
                <w:rFonts w:ascii="Verdana" w:hAnsi="Verdana"/>
                <w:color w:val="000000"/>
                <w:sz w:val="16"/>
                <w:szCs w:val="16"/>
              </w:rPr>
              <w:t>0,05</w:t>
            </w:r>
          </w:p>
        </w:tc>
      </w:tr>
    </w:tbl>
    <w:p w14:paraId="00E08E45" w14:textId="77777777" w:rsidR="00780165" w:rsidRPr="005C7E10" w:rsidRDefault="00780165" w:rsidP="00780165">
      <w:pPr>
        <w:jc w:val="center"/>
        <w:rPr>
          <w:rFonts w:ascii="Verdana" w:hAnsi="Verdana" w:cs="Arial"/>
          <w:sz w:val="16"/>
          <w:szCs w:val="16"/>
          <w:lang w:val="es-MX"/>
        </w:rPr>
      </w:pPr>
      <w:r w:rsidRPr="005C7E10">
        <w:rPr>
          <w:rFonts w:ascii="Verdana" w:hAnsi="Verdana" w:cs="Arial"/>
          <w:sz w:val="16"/>
          <w:szCs w:val="16"/>
          <w:lang w:val="es-MX"/>
        </w:rPr>
        <w:t>Elaboración propia</w:t>
      </w:r>
    </w:p>
    <w:p w14:paraId="2D8D0D3B" w14:textId="77777777" w:rsidR="00CF739E" w:rsidRDefault="00CF739E" w:rsidP="00EB56A0">
      <w:pPr>
        <w:jc w:val="both"/>
        <w:rPr>
          <w:rFonts w:ascii="Verdana" w:hAnsi="Verdana" w:cs="Arial"/>
          <w:sz w:val="22"/>
          <w:szCs w:val="22"/>
          <w:lang w:val="es-MX"/>
        </w:rPr>
      </w:pPr>
    </w:p>
    <w:p w14:paraId="0F377E8A" w14:textId="1C46BF38" w:rsidR="00BB4E77" w:rsidRDefault="00BB4E77" w:rsidP="00BB4E77">
      <w:pPr>
        <w:jc w:val="both"/>
        <w:rPr>
          <w:rFonts w:ascii="Verdana" w:hAnsi="Verdana" w:cs="Arial"/>
          <w:sz w:val="22"/>
          <w:szCs w:val="22"/>
          <w:lang w:val="es-MX"/>
        </w:rPr>
      </w:pPr>
      <w:r w:rsidRPr="00A81BAA">
        <w:rPr>
          <w:rFonts w:ascii="Verdana" w:hAnsi="Verdana" w:cs="Arial"/>
          <w:sz w:val="22"/>
          <w:szCs w:val="22"/>
          <w:lang w:val="es-MX"/>
        </w:rPr>
        <w:t xml:space="preserve">Realizando un análisis comparativo de los anteriores resultados frente a los obtenidos en el análisis del promedio de la muestra completa con las </w:t>
      </w:r>
      <w:r w:rsidR="00E56FDB">
        <w:rPr>
          <w:rFonts w:ascii="Verdana" w:hAnsi="Verdana" w:cs="Arial"/>
          <w:sz w:val="22"/>
          <w:szCs w:val="22"/>
          <w:lang w:val="es-MX"/>
        </w:rPr>
        <w:t>1.955</w:t>
      </w:r>
      <w:r w:rsidRPr="00A81BAA">
        <w:rPr>
          <w:rFonts w:ascii="Verdana" w:hAnsi="Verdana" w:cs="Arial"/>
          <w:sz w:val="22"/>
          <w:szCs w:val="22"/>
          <w:lang w:val="es-MX"/>
        </w:rPr>
        <w:t xml:space="preserve"> empresas (incluyendo </w:t>
      </w:r>
      <w:r w:rsidRPr="00A81BAA">
        <w:rPr>
          <w:rFonts w:ascii="Verdana" w:hAnsi="Verdana" w:cs="Arial"/>
          <w:sz w:val="22"/>
          <w:szCs w:val="22"/>
          <w:lang w:val="es-MX"/>
        </w:rPr>
        <w:lastRenderedPageBreak/>
        <w:t>a las categorizadas como grandes empresas), se evidencian las siguientes variaciones en los indicadores:</w:t>
      </w:r>
    </w:p>
    <w:p w14:paraId="705A321B" w14:textId="77777777" w:rsidR="00BB4E77" w:rsidRDefault="00BB4E77" w:rsidP="00EB56A0">
      <w:pPr>
        <w:jc w:val="both"/>
        <w:rPr>
          <w:rFonts w:ascii="Verdana" w:hAnsi="Verdana" w:cs="Arial"/>
          <w:sz w:val="22"/>
          <w:szCs w:val="22"/>
          <w:lang w:val="es-MX"/>
        </w:rPr>
      </w:pPr>
    </w:p>
    <w:p w14:paraId="01DED87D" w14:textId="1833E04D" w:rsidR="000B6C34" w:rsidRPr="00A81BAA" w:rsidRDefault="007841BC" w:rsidP="005C7E10">
      <w:pPr>
        <w:pStyle w:val="Descripcin"/>
        <w:spacing w:after="0"/>
        <w:jc w:val="center"/>
        <w:rPr>
          <w:rFonts w:ascii="Verdana" w:hAnsi="Verdana" w:cs="Arial"/>
          <w:sz w:val="22"/>
          <w:szCs w:val="22"/>
          <w:lang w:val="es-MX"/>
        </w:rPr>
      </w:pPr>
      <w:bookmarkStart w:id="75" w:name="_Toc180136837"/>
      <w:r w:rsidRPr="005C7E10">
        <w:rPr>
          <w:rFonts w:ascii="Verdana" w:hAnsi="Verdana"/>
          <w:sz w:val="22"/>
          <w:szCs w:val="22"/>
        </w:rPr>
        <w:t xml:space="preserve">Tabla </w:t>
      </w:r>
      <w:r w:rsidRPr="005C7E10">
        <w:rPr>
          <w:rFonts w:ascii="Verdana" w:hAnsi="Verdana"/>
          <w:sz w:val="22"/>
          <w:szCs w:val="22"/>
        </w:rPr>
        <w:fldChar w:fldCharType="begin"/>
      </w:r>
      <w:r w:rsidRPr="005C7E10">
        <w:rPr>
          <w:rFonts w:ascii="Verdana" w:hAnsi="Verdana"/>
          <w:sz w:val="22"/>
          <w:szCs w:val="22"/>
        </w:rPr>
        <w:instrText xml:space="preserve"> SEQ Tabla \* ARABIC </w:instrText>
      </w:r>
      <w:r w:rsidRPr="005C7E10">
        <w:rPr>
          <w:rFonts w:ascii="Verdana" w:hAnsi="Verdana"/>
          <w:sz w:val="22"/>
          <w:szCs w:val="22"/>
        </w:rPr>
        <w:fldChar w:fldCharType="separate"/>
      </w:r>
      <w:r w:rsidR="00CF739E">
        <w:rPr>
          <w:rFonts w:ascii="Verdana" w:hAnsi="Verdana"/>
          <w:noProof/>
          <w:sz w:val="22"/>
          <w:szCs w:val="22"/>
        </w:rPr>
        <w:t>21</w:t>
      </w:r>
      <w:r w:rsidRPr="005C7E10">
        <w:rPr>
          <w:rFonts w:ascii="Verdana" w:hAnsi="Verdana"/>
          <w:sz w:val="22"/>
          <w:szCs w:val="22"/>
        </w:rPr>
        <w:fldChar w:fldCharType="end"/>
      </w:r>
      <w:r w:rsidRPr="005C7E10">
        <w:rPr>
          <w:rFonts w:ascii="Verdana" w:hAnsi="Verdana"/>
          <w:sz w:val="22"/>
          <w:szCs w:val="22"/>
        </w:rPr>
        <w:t xml:space="preserve">. </w:t>
      </w:r>
      <w:proofErr w:type="gramStart"/>
      <w:r w:rsidRPr="007841BC">
        <w:rPr>
          <w:rFonts w:ascii="Verdana" w:hAnsi="Verdana"/>
          <w:sz w:val="22"/>
          <w:szCs w:val="22"/>
        </w:rPr>
        <w:t>Variaciones indicador</w:t>
      </w:r>
      <w:r>
        <w:rPr>
          <w:rFonts w:ascii="Verdana" w:hAnsi="Verdana"/>
          <w:sz w:val="22"/>
          <w:szCs w:val="22"/>
        </w:rPr>
        <w:t>e</w:t>
      </w:r>
      <w:r w:rsidRPr="007841BC">
        <w:rPr>
          <w:rFonts w:ascii="Verdana" w:hAnsi="Verdana"/>
          <w:sz w:val="22"/>
          <w:szCs w:val="22"/>
        </w:rPr>
        <w:t>s</w:t>
      </w:r>
      <w:bookmarkEnd w:id="75"/>
      <w:proofErr w:type="gramEnd"/>
    </w:p>
    <w:p w14:paraId="0928FAF5" w14:textId="77777777" w:rsidR="0082783F" w:rsidRDefault="0082783F" w:rsidP="005C7E10">
      <w:pPr>
        <w:jc w:val="center"/>
        <w:rPr>
          <w:rFonts w:ascii="Verdana" w:hAnsi="Verdana" w:cs="Arial"/>
          <w:sz w:val="16"/>
          <w:szCs w:val="16"/>
          <w:lang w:val="es-MX"/>
        </w:rPr>
      </w:pPr>
    </w:p>
    <w:tbl>
      <w:tblPr>
        <w:tblW w:w="9353" w:type="dxa"/>
        <w:jc w:val="center"/>
        <w:tblCellMar>
          <w:left w:w="70" w:type="dxa"/>
          <w:right w:w="70" w:type="dxa"/>
        </w:tblCellMar>
        <w:tblLook w:val="04A0" w:firstRow="1" w:lastRow="0" w:firstColumn="1" w:lastColumn="0" w:noHBand="0" w:noVBand="1"/>
      </w:tblPr>
      <w:tblGrid>
        <w:gridCol w:w="1371"/>
        <w:gridCol w:w="996"/>
        <w:gridCol w:w="1298"/>
        <w:gridCol w:w="1104"/>
        <w:gridCol w:w="1245"/>
        <w:gridCol w:w="1246"/>
        <w:gridCol w:w="1124"/>
        <w:gridCol w:w="1245"/>
      </w:tblGrid>
      <w:tr w:rsidR="0082783F" w:rsidRPr="009E2D2C" w14:paraId="13ED1037" w14:textId="77777777" w:rsidTr="00B00FCB">
        <w:trPr>
          <w:trHeight w:val="255"/>
          <w:jc w:val="center"/>
        </w:trPr>
        <w:tc>
          <w:tcPr>
            <w:tcW w:w="9353" w:type="dxa"/>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E39A147" w14:textId="77777777" w:rsidR="0082783F" w:rsidRPr="009E2D2C" w:rsidRDefault="0082783F" w:rsidP="0044671B">
            <w:pPr>
              <w:jc w:val="center"/>
              <w:rPr>
                <w:rFonts w:ascii="Arial Narrow" w:hAnsi="Arial Narrow"/>
                <w:b/>
                <w:bCs/>
                <w:color w:val="000000"/>
                <w:sz w:val="20"/>
                <w:szCs w:val="20"/>
                <w:lang w:eastAsia="es-CO"/>
              </w:rPr>
            </w:pPr>
            <w:r w:rsidRPr="009E2D2C">
              <w:rPr>
                <w:rFonts w:ascii="Arial Narrow" w:hAnsi="Arial Narrow"/>
                <w:b/>
                <w:bCs/>
                <w:color w:val="000000"/>
                <w:sz w:val="20"/>
                <w:szCs w:val="20"/>
                <w:lang w:eastAsia="es-CO"/>
              </w:rPr>
              <w:t xml:space="preserve">Promedio rango </w:t>
            </w:r>
            <w:proofErr w:type="gramStart"/>
            <w:r w:rsidRPr="009E2D2C">
              <w:rPr>
                <w:rFonts w:ascii="Arial Narrow" w:hAnsi="Arial Narrow"/>
                <w:b/>
                <w:bCs/>
                <w:color w:val="000000"/>
                <w:sz w:val="20"/>
                <w:szCs w:val="20"/>
                <w:lang w:eastAsia="es-CO"/>
              </w:rPr>
              <w:t>intercuartílico  (</w:t>
            </w:r>
            <w:proofErr w:type="gramEnd"/>
            <w:r w:rsidRPr="009E2D2C">
              <w:rPr>
                <w:rFonts w:ascii="Arial Narrow" w:hAnsi="Arial Narrow"/>
                <w:b/>
                <w:bCs/>
                <w:color w:val="000000"/>
                <w:sz w:val="20"/>
                <w:szCs w:val="20"/>
                <w:lang w:eastAsia="es-CO"/>
              </w:rPr>
              <w:t xml:space="preserve">RIC) </w:t>
            </w:r>
            <w:r>
              <w:rPr>
                <w:rFonts w:ascii="Arial Narrow" w:hAnsi="Arial Narrow"/>
                <w:b/>
                <w:bCs/>
                <w:color w:val="000000"/>
                <w:sz w:val="20"/>
                <w:szCs w:val="20"/>
                <w:lang w:eastAsia="es-CO"/>
              </w:rPr>
              <w:t>- Variaciones</w:t>
            </w:r>
          </w:p>
        </w:tc>
      </w:tr>
      <w:tr w:rsidR="0082783F" w:rsidRPr="009E2D2C" w14:paraId="4560EEB2" w14:textId="77777777" w:rsidTr="00B00FCB">
        <w:trPr>
          <w:trHeight w:val="105"/>
          <w:jc w:val="center"/>
        </w:trPr>
        <w:tc>
          <w:tcPr>
            <w:tcW w:w="1371" w:type="dxa"/>
            <w:tcBorders>
              <w:top w:val="nil"/>
              <w:left w:val="nil"/>
              <w:bottom w:val="nil"/>
              <w:right w:val="nil"/>
            </w:tcBorders>
            <w:shd w:val="clear" w:color="auto" w:fill="auto"/>
            <w:vAlign w:val="center"/>
            <w:hideMark/>
          </w:tcPr>
          <w:p w14:paraId="0893C548" w14:textId="77777777" w:rsidR="0082783F" w:rsidRPr="009E2D2C" w:rsidRDefault="0082783F" w:rsidP="0044671B">
            <w:pPr>
              <w:jc w:val="center"/>
              <w:rPr>
                <w:rFonts w:ascii="Arial Narrow" w:hAnsi="Arial Narrow"/>
                <w:b/>
                <w:bCs/>
                <w:color w:val="000000"/>
                <w:sz w:val="20"/>
                <w:szCs w:val="20"/>
                <w:lang w:eastAsia="es-CO"/>
              </w:rPr>
            </w:pPr>
          </w:p>
        </w:tc>
        <w:tc>
          <w:tcPr>
            <w:tcW w:w="996" w:type="dxa"/>
            <w:tcBorders>
              <w:top w:val="nil"/>
              <w:left w:val="nil"/>
              <w:bottom w:val="nil"/>
              <w:right w:val="nil"/>
            </w:tcBorders>
            <w:shd w:val="clear" w:color="auto" w:fill="auto"/>
            <w:vAlign w:val="center"/>
            <w:hideMark/>
          </w:tcPr>
          <w:p w14:paraId="28041095" w14:textId="77777777" w:rsidR="0082783F" w:rsidRPr="009E2D2C" w:rsidRDefault="0082783F" w:rsidP="0044671B">
            <w:pPr>
              <w:jc w:val="center"/>
              <w:rPr>
                <w:sz w:val="20"/>
                <w:szCs w:val="20"/>
                <w:lang w:eastAsia="es-CO"/>
              </w:rPr>
            </w:pPr>
          </w:p>
        </w:tc>
        <w:tc>
          <w:tcPr>
            <w:tcW w:w="1142" w:type="dxa"/>
            <w:tcBorders>
              <w:top w:val="nil"/>
              <w:left w:val="nil"/>
              <w:bottom w:val="nil"/>
              <w:right w:val="nil"/>
            </w:tcBorders>
            <w:shd w:val="clear" w:color="auto" w:fill="auto"/>
            <w:vAlign w:val="center"/>
            <w:hideMark/>
          </w:tcPr>
          <w:p w14:paraId="3EFCEB29" w14:textId="77777777" w:rsidR="0082783F" w:rsidRPr="009E2D2C" w:rsidRDefault="0082783F" w:rsidP="0044671B">
            <w:pPr>
              <w:jc w:val="center"/>
              <w:rPr>
                <w:sz w:val="20"/>
                <w:szCs w:val="20"/>
                <w:lang w:eastAsia="es-CO"/>
              </w:rPr>
            </w:pPr>
          </w:p>
        </w:tc>
        <w:tc>
          <w:tcPr>
            <w:tcW w:w="1104" w:type="dxa"/>
            <w:tcBorders>
              <w:top w:val="nil"/>
              <w:left w:val="nil"/>
              <w:bottom w:val="nil"/>
              <w:right w:val="nil"/>
            </w:tcBorders>
            <w:shd w:val="clear" w:color="auto" w:fill="auto"/>
            <w:vAlign w:val="center"/>
            <w:hideMark/>
          </w:tcPr>
          <w:p w14:paraId="07D6653B" w14:textId="77777777" w:rsidR="0082783F" w:rsidRPr="009E2D2C" w:rsidRDefault="0082783F" w:rsidP="0044671B">
            <w:pPr>
              <w:jc w:val="center"/>
              <w:rPr>
                <w:sz w:val="20"/>
                <w:szCs w:val="20"/>
                <w:lang w:eastAsia="es-CO"/>
              </w:rPr>
            </w:pPr>
          </w:p>
        </w:tc>
        <w:tc>
          <w:tcPr>
            <w:tcW w:w="1246" w:type="dxa"/>
            <w:tcBorders>
              <w:top w:val="nil"/>
              <w:left w:val="nil"/>
              <w:bottom w:val="nil"/>
              <w:right w:val="nil"/>
            </w:tcBorders>
            <w:shd w:val="clear" w:color="auto" w:fill="auto"/>
            <w:vAlign w:val="center"/>
            <w:hideMark/>
          </w:tcPr>
          <w:p w14:paraId="46F63A09" w14:textId="77777777" w:rsidR="0082783F" w:rsidRPr="009E2D2C" w:rsidRDefault="0082783F" w:rsidP="0044671B">
            <w:pPr>
              <w:jc w:val="center"/>
              <w:rPr>
                <w:sz w:val="20"/>
                <w:szCs w:val="20"/>
                <w:lang w:eastAsia="es-CO"/>
              </w:rPr>
            </w:pPr>
          </w:p>
        </w:tc>
        <w:tc>
          <w:tcPr>
            <w:tcW w:w="1247" w:type="dxa"/>
            <w:tcBorders>
              <w:top w:val="nil"/>
              <w:left w:val="nil"/>
              <w:bottom w:val="nil"/>
              <w:right w:val="nil"/>
            </w:tcBorders>
            <w:shd w:val="clear" w:color="auto" w:fill="auto"/>
            <w:vAlign w:val="center"/>
            <w:hideMark/>
          </w:tcPr>
          <w:p w14:paraId="6F1D4E8C" w14:textId="77777777" w:rsidR="0082783F" w:rsidRPr="009E2D2C" w:rsidRDefault="0082783F" w:rsidP="0044671B">
            <w:pPr>
              <w:jc w:val="center"/>
              <w:rPr>
                <w:sz w:val="20"/>
                <w:szCs w:val="20"/>
                <w:lang w:eastAsia="es-CO"/>
              </w:rPr>
            </w:pPr>
          </w:p>
        </w:tc>
        <w:tc>
          <w:tcPr>
            <w:tcW w:w="997" w:type="dxa"/>
            <w:tcBorders>
              <w:top w:val="nil"/>
              <w:left w:val="nil"/>
              <w:bottom w:val="nil"/>
              <w:right w:val="nil"/>
            </w:tcBorders>
            <w:shd w:val="clear" w:color="auto" w:fill="auto"/>
            <w:vAlign w:val="center"/>
            <w:hideMark/>
          </w:tcPr>
          <w:p w14:paraId="525B448C" w14:textId="77777777" w:rsidR="0082783F" w:rsidRPr="009E2D2C" w:rsidRDefault="0082783F" w:rsidP="0044671B">
            <w:pPr>
              <w:jc w:val="center"/>
              <w:rPr>
                <w:sz w:val="20"/>
                <w:szCs w:val="20"/>
                <w:lang w:eastAsia="es-CO"/>
              </w:rPr>
            </w:pPr>
          </w:p>
        </w:tc>
        <w:tc>
          <w:tcPr>
            <w:tcW w:w="1246" w:type="dxa"/>
            <w:tcBorders>
              <w:top w:val="nil"/>
              <w:left w:val="nil"/>
              <w:bottom w:val="nil"/>
              <w:right w:val="nil"/>
            </w:tcBorders>
            <w:shd w:val="clear" w:color="auto" w:fill="auto"/>
            <w:vAlign w:val="center"/>
            <w:hideMark/>
          </w:tcPr>
          <w:p w14:paraId="12619A16" w14:textId="77777777" w:rsidR="0082783F" w:rsidRPr="009E2D2C" w:rsidRDefault="0082783F" w:rsidP="0044671B">
            <w:pPr>
              <w:jc w:val="center"/>
              <w:rPr>
                <w:sz w:val="20"/>
                <w:szCs w:val="20"/>
                <w:lang w:eastAsia="es-CO"/>
              </w:rPr>
            </w:pPr>
          </w:p>
        </w:tc>
      </w:tr>
      <w:tr w:rsidR="0082783F" w:rsidRPr="009E2D2C" w14:paraId="703B91BB" w14:textId="77777777" w:rsidTr="00B00FCB">
        <w:trPr>
          <w:trHeight w:val="510"/>
          <w:jc w:val="center"/>
        </w:trPr>
        <w:tc>
          <w:tcPr>
            <w:tcW w:w="137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2B1FF0D"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TAMAÑO EMPRESARIAL</w:t>
            </w:r>
          </w:p>
        </w:tc>
        <w:tc>
          <w:tcPr>
            <w:tcW w:w="996" w:type="dxa"/>
            <w:tcBorders>
              <w:top w:val="single" w:sz="4" w:space="0" w:color="auto"/>
              <w:left w:val="nil"/>
              <w:bottom w:val="single" w:sz="4" w:space="0" w:color="auto"/>
              <w:right w:val="single" w:sz="4" w:space="0" w:color="auto"/>
            </w:tcBorders>
            <w:shd w:val="clear" w:color="000000" w:fill="F2F2F2"/>
            <w:vAlign w:val="center"/>
            <w:hideMark/>
          </w:tcPr>
          <w:p w14:paraId="71926E23"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INDICE DE LIQUIDEZ</w:t>
            </w:r>
          </w:p>
        </w:tc>
        <w:tc>
          <w:tcPr>
            <w:tcW w:w="1142" w:type="dxa"/>
            <w:tcBorders>
              <w:top w:val="single" w:sz="4" w:space="0" w:color="auto"/>
              <w:left w:val="nil"/>
              <w:bottom w:val="single" w:sz="4" w:space="0" w:color="auto"/>
              <w:right w:val="single" w:sz="4" w:space="0" w:color="auto"/>
            </w:tcBorders>
            <w:shd w:val="clear" w:color="000000" w:fill="F2F2F2"/>
            <w:vAlign w:val="center"/>
            <w:hideMark/>
          </w:tcPr>
          <w:p w14:paraId="19981B72"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INDICE DE ENDEUDAMIENTO</w:t>
            </w:r>
          </w:p>
        </w:tc>
        <w:tc>
          <w:tcPr>
            <w:tcW w:w="1104" w:type="dxa"/>
            <w:tcBorders>
              <w:top w:val="single" w:sz="4" w:space="0" w:color="auto"/>
              <w:left w:val="nil"/>
              <w:bottom w:val="single" w:sz="4" w:space="0" w:color="auto"/>
              <w:right w:val="single" w:sz="4" w:space="0" w:color="auto"/>
            </w:tcBorders>
            <w:shd w:val="clear" w:color="000000" w:fill="F2F2F2"/>
            <w:vAlign w:val="center"/>
            <w:hideMark/>
          </w:tcPr>
          <w:p w14:paraId="7B619916"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RAZON COBERTURA INTERESES</w:t>
            </w:r>
          </w:p>
        </w:tc>
        <w:tc>
          <w:tcPr>
            <w:tcW w:w="1246" w:type="dxa"/>
            <w:tcBorders>
              <w:top w:val="single" w:sz="4" w:space="0" w:color="auto"/>
              <w:left w:val="nil"/>
              <w:bottom w:val="single" w:sz="4" w:space="0" w:color="auto"/>
              <w:right w:val="single" w:sz="4" w:space="0" w:color="auto"/>
            </w:tcBorders>
            <w:shd w:val="clear" w:color="000000" w:fill="F2F2F2"/>
            <w:vAlign w:val="center"/>
            <w:hideMark/>
          </w:tcPr>
          <w:p w14:paraId="6A3AD56E"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CAPITAL DE TRABAJO (miles de pesos)</w:t>
            </w:r>
          </w:p>
        </w:tc>
        <w:tc>
          <w:tcPr>
            <w:tcW w:w="1247" w:type="dxa"/>
            <w:tcBorders>
              <w:top w:val="single" w:sz="4" w:space="0" w:color="auto"/>
              <w:left w:val="nil"/>
              <w:bottom w:val="single" w:sz="4" w:space="0" w:color="auto"/>
              <w:right w:val="single" w:sz="4" w:space="0" w:color="auto"/>
            </w:tcBorders>
            <w:shd w:val="clear" w:color="000000" w:fill="F2F2F2"/>
            <w:vAlign w:val="center"/>
            <w:hideMark/>
          </w:tcPr>
          <w:p w14:paraId="6E1AC14A"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PATRIMONIO (miles de pesos)</w:t>
            </w:r>
          </w:p>
        </w:tc>
        <w:tc>
          <w:tcPr>
            <w:tcW w:w="997" w:type="dxa"/>
            <w:tcBorders>
              <w:top w:val="single" w:sz="4" w:space="0" w:color="auto"/>
              <w:left w:val="nil"/>
              <w:bottom w:val="single" w:sz="4" w:space="0" w:color="auto"/>
              <w:right w:val="single" w:sz="4" w:space="0" w:color="auto"/>
            </w:tcBorders>
            <w:shd w:val="clear" w:color="000000" w:fill="F2F2F2"/>
            <w:vAlign w:val="center"/>
            <w:hideMark/>
          </w:tcPr>
          <w:p w14:paraId="1376160B"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RENTABILIDAD SOBRE PATRIMONIO</w:t>
            </w:r>
          </w:p>
        </w:tc>
        <w:tc>
          <w:tcPr>
            <w:tcW w:w="1246" w:type="dxa"/>
            <w:tcBorders>
              <w:top w:val="single" w:sz="4" w:space="0" w:color="auto"/>
              <w:left w:val="nil"/>
              <w:bottom w:val="single" w:sz="4" w:space="0" w:color="auto"/>
              <w:right w:val="single" w:sz="4" w:space="0" w:color="auto"/>
            </w:tcBorders>
            <w:shd w:val="clear" w:color="000000" w:fill="F2F2F2"/>
            <w:vAlign w:val="center"/>
            <w:hideMark/>
          </w:tcPr>
          <w:p w14:paraId="343855AD"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RENTABILIDAD SOBRE ACTIVOS</w:t>
            </w:r>
          </w:p>
        </w:tc>
      </w:tr>
      <w:tr w:rsidR="0082783F" w:rsidRPr="009E2D2C" w14:paraId="4FDE5B3E" w14:textId="77777777" w:rsidTr="00B00FCB">
        <w:trPr>
          <w:trHeight w:val="270"/>
          <w:jc w:val="center"/>
        </w:trPr>
        <w:tc>
          <w:tcPr>
            <w:tcW w:w="1371" w:type="dxa"/>
            <w:tcBorders>
              <w:top w:val="nil"/>
              <w:left w:val="single" w:sz="4" w:space="0" w:color="auto"/>
              <w:bottom w:val="single" w:sz="4" w:space="0" w:color="auto"/>
              <w:right w:val="single" w:sz="4" w:space="0" w:color="auto"/>
            </w:tcBorders>
            <w:shd w:val="clear" w:color="auto" w:fill="auto"/>
            <w:noWrap/>
            <w:vAlign w:val="bottom"/>
            <w:hideMark/>
          </w:tcPr>
          <w:p w14:paraId="3852A281" w14:textId="77777777" w:rsidR="0082783F" w:rsidRPr="009E2D2C" w:rsidRDefault="0082783F" w:rsidP="0044671B">
            <w:pPr>
              <w:jc w:val="center"/>
              <w:rPr>
                <w:rFonts w:ascii="Arial Narrow" w:hAnsi="Arial Narrow"/>
                <w:color w:val="000000"/>
                <w:sz w:val="20"/>
                <w:szCs w:val="20"/>
                <w:lang w:eastAsia="es-CO"/>
              </w:rPr>
            </w:pPr>
            <w:r w:rsidRPr="009E2D2C">
              <w:rPr>
                <w:rFonts w:ascii="Arial Narrow" w:hAnsi="Arial Narrow"/>
                <w:color w:val="000000"/>
                <w:sz w:val="20"/>
                <w:szCs w:val="20"/>
                <w:lang w:eastAsia="es-CO"/>
              </w:rPr>
              <w:t>Muestra completa</w:t>
            </w: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0F42C"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4,25</w:t>
            </w:r>
          </w:p>
        </w:tc>
        <w:tc>
          <w:tcPr>
            <w:tcW w:w="1142" w:type="dxa"/>
            <w:tcBorders>
              <w:top w:val="single" w:sz="4" w:space="0" w:color="auto"/>
              <w:left w:val="nil"/>
              <w:bottom w:val="single" w:sz="4" w:space="0" w:color="auto"/>
              <w:right w:val="single" w:sz="4" w:space="0" w:color="auto"/>
            </w:tcBorders>
            <w:shd w:val="clear" w:color="auto" w:fill="auto"/>
            <w:noWrap/>
            <w:vAlign w:val="center"/>
            <w:hideMark/>
          </w:tcPr>
          <w:p w14:paraId="5214167F"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0,51</w:t>
            </w:r>
          </w:p>
        </w:tc>
        <w:tc>
          <w:tcPr>
            <w:tcW w:w="1104" w:type="dxa"/>
            <w:tcBorders>
              <w:top w:val="single" w:sz="4" w:space="0" w:color="auto"/>
              <w:left w:val="nil"/>
              <w:bottom w:val="single" w:sz="4" w:space="0" w:color="auto"/>
              <w:right w:val="single" w:sz="4" w:space="0" w:color="auto"/>
            </w:tcBorders>
            <w:shd w:val="clear" w:color="auto" w:fill="auto"/>
            <w:noWrap/>
            <w:vAlign w:val="center"/>
            <w:hideMark/>
          </w:tcPr>
          <w:p w14:paraId="67AFF028"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5,26</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14:paraId="639D2F8E"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$ 5.024.341</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2036528C"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$ 5.542.663</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F099747"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0,16</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14:paraId="0DFD7781"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0,06</w:t>
            </w:r>
          </w:p>
        </w:tc>
      </w:tr>
      <w:tr w:rsidR="0082783F" w:rsidRPr="009E2D2C" w14:paraId="61E7ECB8" w14:textId="77777777" w:rsidTr="00B00FCB">
        <w:trPr>
          <w:trHeight w:val="270"/>
          <w:jc w:val="center"/>
        </w:trPr>
        <w:tc>
          <w:tcPr>
            <w:tcW w:w="1371" w:type="dxa"/>
            <w:tcBorders>
              <w:top w:val="nil"/>
              <w:left w:val="single" w:sz="4" w:space="0" w:color="auto"/>
              <w:bottom w:val="single" w:sz="4" w:space="0" w:color="auto"/>
              <w:right w:val="single" w:sz="4" w:space="0" w:color="auto"/>
            </w:tcBorders>
            <w:shd w:val="clear" w:color="auto" w:fill="auto"/>
            <w:noWrap/>
            <w:vAlign w:val="bottom"/>
            <w:hideMark/>
          </w:tcPr>
          <w:p w14:paraId="205F2906" w14:textId="77777777" w:rsidR="0082783F" w:rsidRPr="009E2D2C" w:rsidRDefault="0082783F" w:rsidP="0044671B">
            <w:pPr>
              <w:jc w:val="center"/>
              <w:rPr>
                <w:rFonts w:ascii="Arial Narrow" w:hAnsi="Arial Narrow"/>
                <w:color w:val="000000"/>
                <w:sz w:val="20"/>
                <w:szCs w:val="20"/>
                <w:lang w:eastAsia="es-CO"/>
              </w:rPr>
            </w:pPr>
            <w:r w:rsidRPr="009E2D2C">
              <w:rPr>
                <w:rFonts w:ascii="Arial Narrow" w:hAnsi="Arial Narrow"/>
                <w:color w:val="000000"/>
                <w:sz w:val="20"/>
                <w:szCs w:val="20"/>
                <w:lang w:eastAsia="es-CO"/>
              </w:rPr>
              <w:t>MiPymes</w:t>
            </w:r>
          </w:p>
        </w:tc>
        <w:tc>
          <w:tcPr>
            <w:tcW w:w="996" w:type="dxa"/>
            <w:tcBorders>
              <w:top w:val="nil"/>
              <w:left w:val="nil"/>
              <w:bottom w:val="single" w:sz="4" w:space="0" w:color="auto"/>
              <w:right w:val="single" w:sz="4" w:space="0" w:color="auto"/>
            </w:tcBorders>
            <w:shd w:val="clear" w:color="auto" w:fill="auto"/>
            <w:noWrap/>
            <w:vAlign w:val="center"/>
            <w:hideMark/>
          </w:tcPr>
          <w:p w14:paraId="7DB59A4D"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4,81</w:t>
            </w:r>
          </w:p>
        </w:tc>
        <w:tc>
          <w:tcPr>
            <w:tcW w:w="1142" w:type="dxa"/>
            <w:tcBorders>
              <w:top w:val="nil"/>
              <w:left w:val="nil"/>
              <w:bottom w:val="single" w:sz="4" w:space="0" w:color="auto"/>
              <w:right w:val="single" w:sz="4" w:space="0" w:color="auto"/>
            </w:tcBorders>
            <w:shd w:val="clear" w:color="auto" w:fill="auto"/>
            <w:noWrap/>
            <w:vAlign w:val="center"/>
            <w:hideMark/>
          </w:tcPr>
          <w:p w14:paraId="3AED74FC"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0,49</w:t>
            </w:r>
          </w:p>
        </w:tc>
        <w:tc>
          <w:tcPr>
            <w:tcW w:w="1104" w:type="dxa"/>
            <w:tcBorders>
              <w:top w:val="nil"/>
              <w:left w:val="nil"/>
              <w:bottom w:val="single" w:sz="4" w:space="0" w:color="auto"/>
              <w:right w:val="single" w:sz="4" w:space="0" w:color="auto"/>
            </w:tcBorders>
            <w:shd w:val="clear" w:color="auto" w:fill="auto"/>
            <w:noWrap/>
            <w:vAlign w:val="center"/>
            <w:hideMark/>
          </w:tcPr>
          <w:p w14:paraId="42ADA883"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5,57</w:t>
            </w:r>
          </w:p>
        </w:tc>
        <w:tc>
          <w:tcPr>
            <w:tcW w:w="1246" w:type="dxa"/>
            <w:tcBorders>
              <w:top w:val="nil"/>
              <w:left w:val="nil"/>
              <w:bottom w:val="single" w:sz="4" w:space="0" w:color="auto"/>
              <w:right w:val="single" w:sz="4" w:space="0" w:color="auto"/>
            </w:tcBorders>
            <w:shd w:val="clear" w:color="auto" w:fill="auto"/>
            <w:noWrap/>
            <w:vAlign w:val="center"/>
            <w:hideMark/>
          </w:tcPr>
          <w:p w14:paraId="1B266F93"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$ 3.300.191</w:t>
            </w:r>
          </w:p>
        </w:tc>
        <w:tc>
          <w:tcPr>
            <w:tcW w:w="1247" w:type="dxa"/>
            <w:tcBorders>
              <w:top w:val="nil"/>
              <w:left w:val="nil"/>
              <w:bottom w:val="single" w:sz="4" w:space="0" w:color="auto"/>
              <w:right w:val="single" w:sz="4" w:space="0" w:color="auto"/>
            </w:tcBorders>
            <w:shd w:val="clear" w:color="auto" w:fill="auto"/>
            <w:noWrap/>
            <w:vAlign w:val="center"/>
            <w:hideMark/>
          </w:tcPr>
          <w:p w14:paraId="2C9326E8"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$ 3.266.009</w:t>
            </w:r>
          </w:p>
        </w:tc>
        <w:tc>
          <w:tcPr>
            <w:tcW w:w="997" w:type="dxa"/>
            <w:tcBorders>
              <w:top w:val="nil"/>
              <w:left w:val="nil"/>
              <w:bottom w:val="single" w:sz="4" w:space="0" w:color="auto"/>
              <w:right w:val="single" w:sz="4" w:space="0" w:color="auto"/>
            </w:tcBorders>
            <w:shd w:val="clear" w:color="auto" w:fill="auto"/>
            <w:noWrap/>
            <w:vAlign w:val="center"/>
            <w:hideMark/>
          </w:tcPr>
          <w:p w14:paraId="24485738"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0,13</w:t>
            </w:r>
          </w:p>
        </w:tc>
        <w:tc>
          <w:tcPr>
            <w:tcW w:w="1246" w:type="dxa"/>
            <w:tcBorders>
              <w:top w:val="nil"/>
              <w:left w:val="nil"/>
              <w:bottom w:val="single" w:sz="4" w:space="0" w:color="auto"/>
              <w:right w:val="single" w:sz="4" w:space="0" w:color="auto"/>
            </w:tcBorders>
            <w:shd w:val="clear" w:color="auto" w:fill="auto"/>
            <w:noWrap/>
            <w:vAlign w:val="center"/>
            <w:hideMark/>
          </w:tcPr>
          <w:p w14:paraId="0646B705" w14:textId="77777777" w:rsidR="0082783F" w:rsidRPr="009E2D2C" w:rsidRDefault="0082783F" w:rsidP="0044671B">
            <w:pPr>
              <w:jc w:val="center"/>
              <w:rPr>
                <w:rFonts w:ascii="Arial Narrow" w:hAnsi="Arial Narrow"/>
                <w:color w:val="000000"/>
                <w:sz w:val="16"/>
                <w:szCs w:val="16"/>
                <w:lang w:eastAsia="es-CO"/>
              </w:rPr>
            </w:pPr>
            <w:r>
              <w:rPr>
                <w:rFonts w:ascii="Arial Narrow" w:hAnsi="Arial Narrow"/>
                <w:color w:val="000000"/>
                <w:sz w:val="16"/>
                <w:szCs w:val="16"/>
              </w:rPr>
              <w:t>0,05</w:t>
            </w:r>
          </w:p>
        </w:tc>
      </w:tr>
      <w:tr w:rsidR="0082783F" w:rsidRPr="009E2D2C" w14:paraId="694B7176" w14:textId="77777777" w:rsidTr="00B00FCB">
        <w:trPr>
          <w:trHeight w:val="90"/>
          <w:jc w:val="center"/>
        </w:trPr>
        <w:tc>
          <w:tcPr>
            <w:tcW w:w="1371" w:type="dxa"/>
            <w:tcBorders>
              <w:top w:val="nil"/>
              <w:left w:val="nil"/>
              <w:bottom w:val="nil"/>
              <w:right w:val="nil"/>
            </w:tcBorders>
            <w:shd w:val="clear" w:color="auto" w:fill="auto"/>
            <w:noWrap/>
            <w:vAlign w:val="bottom"/>
            <w:hideMark/>
          </w:tcPr>
          <w:p w14:paraId="197127A3" w14:textId="77777777" w:rsidR="0082783F" w:rsidRPr="009E2D2C" w:rsidRDefault="0082783F" w:rsidP="0044671B">
            <w:pPr>
              <w:jc w:val="center"/>
              <w:rPr>
                <w:rFonts w:ascii="Arial Narrow" w:hAnsi="Arial Narrow"/>
                <w:color w:val="000000"/>
                <w:sz w:val="16"/>
                <w:szCs w:val="16"/>
                <w:lang w:eastAsia="es-CO"/>
              </w:rPr>
            </w:pPr>
          </w:p>
        </w:tc>
        <w:tc>
          <w:tcPr>
            <w:tcW w:w="996" w:type="dxa"/>
            <w:tcBorders>
              <w:top w:val="nil"/>
              <w:left w:val="nil"/>
              <w:bottom w:val="nil"/>
              <w:right w:val="nil"/>
            </w:tcBorders>
            <w:shd w:val="clear" w:color="auto" w:fill="auto"/>
            <w:noWrap/>
            <w:vAlign w:val="bottom"/>
            <w:hideMark/>
          </w:tcPr>
          <w:p w14:paraId="250A550F" w14:textId="77777777" w:rsidR="0082783F" w:rsidRPr="009E2D2C" w:rsidRDefault="0082783F" w:rsidP="0044671B">
            <w:pPr>
              <w:rPr>
                <w:sz w:val="20"/>
                <w:szCs w:val="20"/>
                <w:lang w:eastAsia="es-CO"/>
              </w:rPr>
            </w:pPr>
          </w:p>
        </w:tc>
        <w:tc>
          <w:tcPr>
            <w:tcW w:w="1142" w:type="dxa"/>
            <w:tcBorders>
              <w:top w:val="nil"/>
              <w:left w:val="nil"/>
              <w:bottom w:val="nil"/>
              <w:right w:val="nil"/>
            </w:tcBorders>
            <w:shd w:val="clear" w:color="auto" w:fill="auto"/>
            <w:noWrap/>
            <w:vAlign w:val="bottom"/>
            <w:hideMark/>
          </w:tcPr>
          <w:p w14:paraId="186DE6CF" w14:textId="77777777" w:rsidR="0082783F" w:rsidRPr="009E2D2C" w:rsidRDefault="0082783F" w:rsidP="0044671B">
            <w:pPr>
              <w:rPr>
                <w:sz w:val="20"/>
                <w:szCs w:val="20"/>
                <w:lang w:eastAsia="es-CO"/>
              </w:rPr>
            </w:pPr>
          </w:p>
        </w:tc>
        <w:tc>
          <w:tcPr>
            <w:tcW w:w="1104" w:type="dxa"/>
            <w:tcBorders>
              <w:top w:val="nil"/>
              <w:left w:val="nil"/>
              <w:bottom w:val="nil"/>
              <w:right w:val="nil"/>
            </w:tcBorders>
            <w:shd w:val="clear" w:color="auto" w:fill="auto"/>
            <w:noWrap/>
            <w:vAlign w:val="bottom"/>
            <w:hideMark/>
          </w:tcPr>
          <w:p w14:paraId="4B3C5C2E" w14:textId="77777777" w:rsidR="0082783F" w:rsidRPr="009E2D2C" w:rsidRDefault="0082783F" w:rsidP="0044671B">
            <w:pPr>
              <w:rPr>
                <w:sz w:val="20"/>
                <w:szCs w:val="20"/>
                <w:lang w:eastAsia="es-CO"/>
              </w:rPr>
            </w:pPr>
          </w:p>
        </w:tc>
        <w:tc>
          <w:tcPr>
            <w:tcW w:w="1246" w:type="dxa"/>
            <w:tcBorders>
              <w:top w:val="nil"/>
              <w:left w:val="nil"/>
              <w:bottom w:val="nil"/>
              <w:right w:val="nil"/>
            </w:tcBorders>
            <w:shd w:val="clear" w:color="auto" w:fill="auto"/>
            <w:noWrap/>
            <w:vAlign w:val="bottom"/>
            <w:hideMark/>
          </w:tcPr>
          <w:p w14:paraId="65A92767" w14:textId="77777777" w:rsidR="0082783F" w:rsidRPr="009E2D2C" w:rsidRDefault="0082783F" w:rsidP="0044671B">
            <w:pPr>
              <w:rPr>
                <w:sz w:val="20"/>
                <w:szCs w:val="20"/>
                <w:lang w:eastAsia="es-CO"/>
              </w:rPr>
            </w:pPr>
          </w:p>
        </w:tc>
        <w:tc>
          <w:tcPr>
            <w:tcW w:w="1247" w:type="dxa"/>
            <w:tcBorders>
              <w:top w:val="nil"/>
              <w:left w:val="nil"/>
              <w:bottom w:val="nil"/>
              <w:right w:val="nil"/>
            </w:tcBorders>
            <w:shd w:val="clear" w:color="auto" w:fill="auto"/>
            <w:noWrap/>
            <w:vAlign w:val="bottom"/>
            <w:hideMark/>
          </w:tcPr>
          <w:p w14:paraId="25597A54" w14:textId="77777777" w:rsidR="0082783F" w:rsidRPr="009E2D2C" w:rsidRDefault="0082783F" w:rsidP="0044671B">
            <w:pPr>
              <w:rPr>
                <w:sz w:val="20"/>
                <w:szCs w:val="20"/>
                <w:lang w:eastAsia="es-CO"/>
              </w:rPr>
            </w:pPr>
          </w:p>
        </w:tc>
        <w:tc>
          <w:tcPr>
            <w:tcW w:w="997" w:type="dxa"/>
            <w:tcBorders>
              <w:top w:val="nil"/>
              <w:left w:val="nil"/>
              <w:bottom w:val="nil"/>
              <w:right w:val="nil"/>
            </w:tcBorders>
            <w:shd w:val="clear" w:color="auto" w:fill="auto"/>
            <w:noWrap/>
            <w:vAlign w:val="bottom"/>
            <w:hideMark/>
          </w:tcPr>
          <w:p w14:paraId="74B6AF2C" w14:textId="77777777" w:rsidR="0082783F" w:rsidRPr="009E2D2C" w:rsidRDefault="0082783F" w:rsidP="0044671B">
            <w:pPr>
              <w:rPr>
                <w:sz w:val="20"/>
                <w:szCs w:val="20"/>
                <w:lang w:eastAsia="es-CO"/>
              </w:rPr>
            </w:pPr>
          </w:p>
        </w:tc>
        <w:tc>
          <w:tcPr>
            <w:tcW w:w="1246" w:type="dxa"/>
            <w:tcBorders>
              <w:top w:val="nil"/>
              <w:left w:val="nil"/>
              <w:bottom w:val="nil"/>
              <w:right w:val="nil"/>
            </w:tcBorders>
            <w:shd w:val="clear" w:color="auto" w:fill="auto"/>
            <w:noWrap/>
            <w:vAlign w:val="bottom"/>
            <w:hideMark/>
          </w:tcPr>
          <w:p w14:paraId="1F6B0FD7" w14:textId="77777777" w:rsidR="0082783F" w:rsidRPr="009E2D2C" w:rsidRDefault="0082783F" w:rsidP="0044671B">
            <w:pPr>
              <w:rPr>
                <w:sz w:val="20"/>
                <w:szCs w:val="20"/>
                <w:lang w:eastAsia="es-CO"/>
              </w:rPr>
            </w:pPr>
          </w:p>
        </w:tc>
      </w:tr>
      <w:tr w:rsidR="0082783F" w:rsidRPr="009E2D2C" w14:paraId="58391A9A" w14:textId="77777777" w:rsidTr="00B00FCB">
        <w:trPr>
          <w:trHeight w:val="255"/>
          <w:jc w:val="center"/>
        </w:trPr>
        <w:tc>
          <w:tcPr>
            <w:tcW w:w="137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E4CAB37" w14:textId="77777777" w:rsidR="0082783F" w:rsidRPr="009E2D2C" w:rsidRDefault="0082783F" w:rsidP="0044671B">
            <w:pPr>
              <w:jc w:val="center"/>
              <w:rPr>
                <w:rFonts w:ascii="Arial Narrow" w:hAnsi="Arial Narrow"/>
                <w:b/>
                <w:bCs/>
                <w:color w:val="000000"/>
                <w:sz w:val="16"/>
                <w:szCs w:val="16"/>
                <w:lang w:eastAsia="es-CO"/>
              </w:rPr>
            </w:pPr>
            <w:r w:rsidRPr="009E2D2C">
              <w:rPr>
                <w:rFonts w:ascii="Arial Narrow" w:hAnsi="Arial Narrow"/>
                <w:b/>
                <w:bCs/>
                <w:color w:val="000000"/>
                <w:sz w:val="16"/>
                <w:szCs w:val="16"/>
                <w:lang w:eastAsia="es-CO"/>
              </w:rPr>
              <w:t>VARIACIÓN</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2E510D50"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13,18%</w:t>
            </w:r>
          </w:p>
        </w:tc>
        <w:tc>
          <w:tcPr>
            <w:tcW w:w="1142" w:type="dxa"/>
            <w:tcBorders>
              <w:top w:val="single" w:sz="4" w:space="0" w:color="auto"/>
              <w:left w:val="nil"/>
              <w:bottom w:val="single" w:sz="4" w:space="0" w:color="auto"/>
              <w:right w:val="single" w:sz="4" w:space="0" w:color="auto"/>
            </w:tcBorders>
            <w:shd w:val="clear" w:color="auto" w:fill="auto"/>
            <w:vAlign w:val="center"/>
          </w:tcPr>
          <w:p w14:paraId="76786F9B"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-3,92%</w:t>
            </w:r>
          </w:p>
        </w:tc>
        <w:tc>
          <w:tcPr>
            <w:tcW w:w="1104" w:type="dxa"/>
            <w:tcBorders>
              <w:top w:val="single" w:sz="4" w:space="0" w:color="auto"/>
              <w:left w:val="nil"/>
              <w:bottom w:val="single" w:sz="4" w:space="0" w:color="auto"/>
              <w:right w:val="single" w:sz="4" w:space="0" w:color="auto"/>
            </w:tcBorders>
            <w:shd w:val="clear" w:color="auto" w:fill="auto"/>
            <w:vAlign w:val="center"/>
          </w:tcPr>
          <w:p w14:paraId="055E7A55"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5,89%</w:t>
            </w:r>
          </w:p>
        </w:tc>
        <w:tc>
          <w:tcPr>
            <w:tcW w:w="1246" w:type="dxa"/>
            <w:tcBorders>
              <w:top w:val="single" w:sz="4" w:space="0" w:color="auto"/>
              <w:left w:val="nil"/>
              <w:bottom w:val="single" w:sz="4" w:space="0" w:color="auto"/>
              <w:right w:val="single" w:sz="4" w:space="0" w:color="auto"/>
            </w:tcBorders>
            <w:shd w:val="clear" w:color="auto" w:fill="auto"/>
            <w:vAlign w:val="center"/>
          </w:tcPr>
          <w:p w14:paraId="1487CD72"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-34,32%</w:t>
            </w:r>
          </w:p>
        </w:tc>
        <w:tc>
          <w:tcPr>
            <w:tcW w:w="1247" w:type="dxa"/>
            <w:tcBorders>
              <w:top w:val="single" w:sz="4" w:space="0" w:color="auto"/>
              <w:left w:val="nil"/>
              <w:bottom w:val="single" w:sz="4" w:space="0" w:color="auto"/>
              <w:right w:val="single" w:sz="4" w:space="0" w:color="auto"/>
            </w:tcBorders>
            <w:shd w:val="clear" w:color="auto" w:fill="auto"/>
            <w:vAlign w:val="center"/>
          </w:tcPr>
          <w:p w14:paraId="38E15B97"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-41,08%</w:t>
            </w:r>
          </w:p>
        </w:tc>
        <w:tc>
          <w:tcPr>
            <w:tcW w:w="997" w:type="dxa"/>
            <w:tcBorders>
              <w:top w:val="single" w:sz="4" w:space="0" w:color="auto"/>
              <w:left w:val="nil"/>
              <w:bottom w:val="single" w:sz="4" w:space="0" w:color="auto"/>
              <w:right w:val="single" w:sz="4" w:space="0" w:color="auto"/>
            </w:tcBorders>
            <w:shd w:val="clear" w:color="auto" w:fill="auto"/>
            <w:vAlign w:val="center"/>
          </w:tcPr>
          <w:p w14:paraId="38838D24"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-18,75%</w:t>
            </w:r>
          </w:p>
        </w:tc>
        <w:tc>
          <w:tcPr>
            <w:tcW w:w="1246" w:type="dxa"/>
            <w:tcBorders>
              <w:top w:val="single" w:sz="4" w:space="0" w:color="auto"/>
              <w:left w:val="nil"/>
              <w:bottom w:val="single" w:sz="4" w:space="0" w:color="auto"/>
              <w:right w:val="single" w:sz="4" w:space="0" w:color="auto"/>
            </w:tcBorders>
            <w:shd w:val="clear" w:color="auto" w:fill="auto"/>
            <w:vAlign w:val="center"/>
          </w:tcPr>
          <w:p w14:paraId="29CA7D63" w14:textId="77777777" w:rsidR="0082783F" w:rsidRPr="009E2D2C" w:rsidRDefault="0082783F" w:rsidP="0044671B">
            <w:pPr>
              <w:jc w:val="center"/>
              <w:rPr>
                <w:rFonts w:ascii="Arial Narrow" w:hAnsi="Arial Narrow"/>
                <w:b/>
                <w:bCs/>
                <w:color w:val="000000"/>
                <w:sz w:val="16"/>
                <w:szCs w:val="16"/>
                <w:lang w:eastAsia="es-CO"/>
              </w:rPr>
            </w:pPr>
            <w:r>
              <w:rPr>
                <w:rFonts w:ascii="Arial Narrow" w:hAnsi="Arial Narrow"/>
                <w:color w:val="000000"/>
                <w:sz w:val="16"/>
                <w:szCs w:val="16"/>
              </w:rPr>
              <w:t>-16,67%</w:t>
            </w:r>
          </w:p>
        </w:tc>
      </w:tr>
    </w:tbl>
    <w:p w14:paraId="7D2D4EEC" w14:textId="77777777" w:rsidR="0082783F" w:rsidRDefault="0082783F" w:rsidP="005C7E10">
      <w:pPr>
        <w:jc w:val="center"/>
        <w:rPr>
          <w:rFonts w:ascii="Verdana" w:hAnsi="Verdana" w:cs="Arial"/>
          <w:sz w:val="16"/>
          <w:szCs w:val="16"/>
          <w:lang w:val="es-MX"/>
        </w:rPr>
      </w:pPr>
    </w:p>
    <w:p w14:paraId="50383875" w14:textId="3D8A495D" w:rsidR="00EB56A0" w:rsidRPr="005C7E10" w:rsidRDefault="007841BC" w:rsidP="005C7E10">
      <w:pPr>
        <w:jc w:val="center"/>
        <w:rPr>
          <w:rFonts w:ascii="Verdana" w:hAnsi="Verdana" w:cs="Arial"/>
          <w:sz w:val="16"/>
          <w:szCs w:val="16"/>
          <w:lang w:val="es-MX"/>
        </w:rPr>
      </w:pPr>
      <w:r w:rsidRPr="005C7E10">
        <w:rPr>
          <w:rFonts w:ascii="Verdana" w:hAnsi="Verdana" w:cs="Arial"/>
          <w:sz w:val="16"/>
          <w:szCs w:val="16"/>
          <w:lang w:val="es-MX"/>
        </w:rPr>
        <w:t>Elaboración propia</w:t>
      </w:r>
    </w:p>
    <w:p w14:paraId="31811D40" w14:textId="77777777" w:rsidR="007841BC" w:rsidRDefault="007841BC" w:rsidP="00EB56A0">
      <w:pPr>
        <w:jc w:val="both"/>
        <w:rPr>
          <w:rFonts w:ascii="Verdana" w:hAnsi="Verdana" w:cs="Arial"/>
          <w:sz w:val="22"/>
          <w:szCs w:val="22"/>
          <w:lang w:val="es-MX"/>
        </w:rPr>
      </w:pPr>
    </w:p>
    <w:p w14:paraId="2DF1C4C6" w14:textId="77777777" w:rsidR="001216E2" w:rsidRDefault="001216E2" w:rsidP="001216E2">
      <w:pPr>
        <w:jc w:val="both"/>
        <w:rPr>
          <w:rFonts w:ascii="Verdana" w:hAnsi="Verdana" w:cs="Arial"/>
          <w:sz w:val="22"/>
          <w:szCs w:val="22"/>
          <w:lang w:val="es-MX"/>
        </w:rPr>
      </w:pPr>
      <w:r w:rsidRPr="001216E2">
        <w:rPr>
          <w:rFonts w:ascii="Verdana" w:hAnsi="Verdana" w:cs="Arial"/>
          <w:sz w:val="22"/>
          <w:szCs w:val="22"/>
          <w:lang w:val="es-MX"/>
        </w:rPr>
        <w:t>Como se puede observar, en algunos indicadores se presentan variaciones que podrían ser considerados para establecer criterios diferenciales a favor de las MiPymes en el marco de los documentos tipo de infraestructura social, tales como, Capital de trabajo, Patrimonio y los indicadores de capacidad organizacional, sin embargo la consideración de flexibilización se hará soportada en las anteriores variaciones y la propuesta de indicadores previamente realizada, en función de promover la participación de las MiPymes.</w:t>
      </w:r>
    </w:p>
    <w:p w14:paraId="2DD4D26D" w14:textId="77777777" w:rsidR="001C0F82" w:rsidRPr="001216E2" w:rsidRDefault="001C0F82" w:rsidP="001216E2">
      <w:pPr>
        <w:jc w:val="both"/>
        <w:rPr>
          <w:rFonts w:ascii="Verdana" w:hAnsi="Verdana" w:cs="Arial"/>
          <w:sz w:val="22"/>
          <w:szCs w:val="22"/>
          <w:lang w:val="es-MX"/>
        </w:rPr>
      </w:pPr>
    </w:p>
    <w:p w14:paraId="46C4D956" w14:textId="2F16992D" w:rsidR="000B6C34" w:rsidRDefault="001216E2" w:rsidP="177792B3">
      <w:pPr>
        <w:jc w:val="both"/>
        <w:rPr>
          <w:rFonts w:ascii="Verdana" w:hAnsi="Verdana" w:cs="Arial"/>
          <w:sz w:val="22"/>
          <w:szCs w:val="22"/>
        </w:rPr>
      </w:pPr>
      <w:r w:rsidRPr="177792B3">
        <w:rPr>
          <w:rFonts w:ascii="Verdana" w:hAnsi="Verdana" w:cs="Arial"/>
          <w:sz w:val="22"/>
          <w:szCs w:val="22"/>
        </w:rPr>
        <w:t>Conforme lo anterior, y teniendo en cuenta lo definido en el artículo 2.2.1.2.4.2.18. del decreto 1860 de 2021 en donde se establece que “los Documentos del Proceso deberán incorporar requisitos habilitantes diferenciales relacionados con alguno o algunos de los siguientes aspectos: 1. Tiempo de experiencia. 2. Número de contratos para la acreditación de la experiencia. 3. Índices de capacidad financiera. 4. Índices de capacidad organizacional. 5. Valor de la garantía de seriedad de la oferta</w:t>
      </w:r>
      <w:proofErr w:type="gramStart"/>
      <w:r w:rsidRPr="177792B3">
        <w:rPr>
          <w:rFonts w:ascii="Verdana" w:hAnsi="Verdana" w:cs="Arial"/>
          <w:sz w:val="22"/>
          <w:szCs w:val="22"/>
        </w:rPr>
        <w:t>” ,</w:t>
      </w:r>
      <w:proofErr w:type="gramEnd"/>
      <w:r w:rsidRPr="177792B3">
        <w:rPr>
          <w:rFonts w:ascii="Verdana" w:hAnsi="Verdana" w:cs="Arial"/>
          <w:sz w:val="22"/>
          <w:szCs w:val="22"/>
        </w:rPr>
        <w:t xml:space="preserve"> se considera que para todas aquellas empresas que certifiquen su condición de MiPymes se flexibilizarán los siguientes indicadores de capacidad financiera y organizacional:</w:t>
      </w:r>
    </w:p>
    <w:p w14:paraId="42B65743" w14:textId="77777777" w:rsidR="001216E2" w:rsidRPr="00A81BAA" w:rsidRDefault="001216E2" w:rsidP="001216E2">
      <w:pPr>
        <w:jc w:val="both"/>
        <w:rPr>
          <w:rFonts w:ascii="Verdana" w:hAnsi="Verdana" w:cs="Arial"/>
          <w:sz w:val="22"/>
          <w:szCs w:val="22"/>
          <w:lang w:val="es-MX"/>
        </w:rPr>
      </w:pPr>
    </w:p>
    <w:p w14:paraId="42BD78F1" w14:textId="6A556BD7" w:rsidR="003372A7"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A81BAA">
        <w:rPr>
          <w:rFonts w:ascii="Verdana" w:hAnsi="Verdana" w:cs="Arial"/>
          <w:b/>
          <w:bCs/>
          <w:u w:val="single"/>
          <w:lang w:val="es-MX"/>
        </w:rPr>
        <w:t>Indicadores de Capacidad Financiera</w:t>
      </w:r>
    </w:p>
    <w:p w14:paraId="16CD865A" w14:textId="3171799D" w:rsidR="007841BC" w:rsidRPr="007841BC" w:rsidRDefault="007841BC" w:rsidP="007841BC">
      <w:pPr>
        <w:pStyle w:val="Descripcin"/>
        <w:spacing w:after="0"/>
        <w:jc w:val="center"/>
        <w:rPr>
          <w:rFonts w:ascii="Verdana" w:eastAsia="Times New Roman" w:hAnsi="Verdana" w:cs="Arial"/>
          <w:b w:val="0"/>
          <w:bCs w:val="0"/>
          <w:lang w:val="es-MX" w:eastAsia="es-MX"/>
        </w:rPr>
      </w:pPr>
      <w:bookmarkStart w:id="76" w:name="_Toc180136838"/>
      <w:r w:rsidRPr="007841BC">
        <w:rPr>
          <w:rFonts w:ascii="Verdana" w:hAnsi="Verdana"/>
          <w:sz w:val="22"/>
          <w:szCs w:val="22"/>
        </w:rPr>
        <w:t xml:space="preserve">Tabla </w:t>
      </w:r>
      <w:r w:rsidRPr="007841BC">
        <w:rPr>
          <w:rFonts w:ascii="Verdana" w:hAnsi="Verdana"/>
          <w:sz w:val="22"/>
          <w:szCs w:val="22"/>
        </w:rPr>
        <w:fldChar w:fldCharType="begin"/>
      </w:r>
      <w:r w:rsidRPr="007841BC">
        <w:rPr>
          <w:rFonts w:ascii="Verdana" w:hAnsi="Verdana"/>
          <w:sz w:val="22"/>
          <w:szCs w:val="22"/>
        </w:rPr>
        <w:instrText xml:space="preserve"> SEQ Tabla \* ARABIC </w:instrText>
      </w:r>
      <w:r w:rsidRPr="007841BC">
        <w:rPr>
          <w:rFonts w:ascii="Verdana" w:hAnsi="Verdana"/>
          <w:sz w:val="22"/>
          <w:szCs w:val="22"/>
        </w:rPr>
        <w:fldChar w:fldCharType="separate"/>
      </w:r>
      <w:r w:rsidR="00CF739E">
        <w:rPr>
          <w:rFonts w:ascii="Verdana" w:hAnsi="Verdana"/>
          <w:noProof/>
          <w:sz w:val="22"/>
          <w:szCs w:val="22"/>
        </w:rPr>
        <w:t>22</w:t>
      </w:r>
      <w:r w:rsidRPr="007841BC">
        <w:rPr>
          <w:rFonts w:ascii="Verdana" w:hAnsi="Verdana"/>
          <w:sz w:val="22"/>
          <w:szCs w:val="22"/>
        </w:rPr>
        <w:fldChar w:fldCharType="end"/>
      </w:r>
      <w:r w:rsidRPr="007841BC">
        <w:rPr>
          <w:rFonts w:ascii="Verdana" w:hAnsi="Verdana"/>
          <w:sz w:val="22"/>
          <w:szCs w:val="22"/>
        </w:rPr>
        <w:t>. Indicadores MiPymes Capacidad Financiera</w:t>
      </w:r>
      <w:bookmarkEnd w:id="76"/>
    </w:p>
    <w:p w14:paraId="603D6E40" w14:textId="77777777" w:rsidR="000F7F91" w:rsidRDefault="000F7F91" w:rsidP="007841BC">
      <w:pPr>
        <w:jc w:val="center"/>
        <w:rPr>
          <w:rFonts w:ascii="Verdana" w:hAnsi="Verdana" w:cs="Arial"/>
          <w:sz w:val="16"/>
          <w:szCs w:val="16"/>
          <w:lang w:val="es-MX"/>
        </w:rPr>
      </w:pPr>
    </w:p>
    <w:p w14:paraId="46A1EA2B" w14:textId="77777777" w:rsidR="000F7F91" w:rsidRDefault="000F7F91" w:rsidP="007841BC">
      <w:pPr>
        <w:jc w:val="center"/>
        <w:rPr>
          <w:rFonts w:ascii="Verdana" w:hAnsi="Verdana" w:cs="Arial"/>
          <w:sz w:val="16"/>
          <w:szCs w:val="16"/>
          <w:lang w:val="es-MX"/>
        </w:rPr>
      </w:pPr>
    </w:p>
    <w:tbl>
      <w:tblPr>
        <w:tblW w:w="3493" w:type="dxa"/>
        <w:jc w:val="center"/>
        <w:tblCellMar>
          <w:left w:w="70" w:type="dxa"/>
          <w:right w:w="70" w:type="dxa"/>
        </w:tblCellMar>
        <w:tblLook w:val="04A0" w:firstRow="1" w:lastRow="0" w:firstColumn="1" w:lastColumn="0" w:noHBand="0" w:noVBand="1"/>
      </w:tblPr>
      <w:tblGrid>
        <w:gridCol w:w="215"/>
        <w:gridCol w:w="607"/>
        <w:gridCol w:w="160"/>
        <w:gridCol w:w="1221"/>
        <w:gridCol w:w="1290"/>
      </w:tblGrid>
      <w:tr w:rsidR="00BA6B66" w:rsidRPr="008C3D18" w14:paraId="0EA6CF1B" w14:textId="77777777" w:rsidTr="0044671B">
        <w:trPr>
          <w:trHeight w:val="20"/>
          <w:tblHeader/>
          <w:jc w:val="center"/>
        </w:trPr>
        <w:tc>
          <w:tcPr>
            <w:tcW w:w="822" w:type="dxa"/>
            <w:gridSpan w:val="2"/>
            <w:tcBorders>
              <w:top w:val="nil"/>
              <w:left w:val="nil"/>
              <w:bottom w:val="nil"/>
              <w:right w:val="nil"/>
            </w:tcBorders>
            <w:shd w:val="clear" w:color="auto" w:fill="auto"/>
            <w:vAlign w:val="center"/>
            <w:hideMark/>
          </w:tcPr>
          <w:p w14:paraId="52F05463" w14:textId="77777777" w:rsidR="00BA6B66" w:rsidRPr="008C3D18" w:rsidRDefault="00BA6B66" w:rsidP="0044671B">
            <w:pPr>
              <w:rPr>
                <w:rFonts w:ascii="Arial" w:hAnsi="Arial" w:cs="Arial"/>
                <w:sz w:val="18"/>
                <w:szCs w:val="18"/>
                <w:lang w:eastAsia="es-CO"/>
              </w:rPr>
            </w:pPr>
          </w:p>
        </w:tc>
        <w:tc>
          <w:tcPr>
            <w:tcW w:w="160" w:type="dxa"/>
            <w:tcBorders>
              <w:top w:val="nil"/>
              <w:left w:val="nil"/>
              <w:bottom w:val="nil"/>
              <w:right w:val="nil"/>
            </w:tcBorders>
            <w:shd w:val="clear" w:color="auto" w:fill="auto"/>
            <w:noWrap/>
            <w:vAlign w:val="center"/>
            <w:hideMark/>
          </w:tcPr>
          <w:p w14:paraId="68E24BA1" w14:textId="77777777" w:rsidR="00BA6B66" w:rsidRPr="008C3D18" w:rsidRDefault="00BA6B66" w:rsidP="0044671B">
            <w:pPr>
              <w:jc w:val="center"/>
              <w:rPr>
                <w:rFonts w:ascii="Arial" w:hAnsi="Arial" w:cs="Arial"/>
                <w:sz w:val="18"/>
                <w:szCs w:val="18"/>
                <w:lang w:eastAsia="es-CO"/>
              </w:rPr>
            </w:pP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4C7C4E62" w14:textId="77777777" w:rsidR="00BA6B66" w:rsidRPr="008C3D18" w:rsidRDefault="00BA6B66" w:rsidP="0044671B">
            <w:pPr>
              <w:jc w:val="center"/>
              <w:rPr>
                <w:rFonts w:ascii="Arial" w:hAnsi="Arial" w:cs="Arial"/>
                <w:b/>
                <w:bCs/>
                <w:color w:val="000000"/>
                <w:sz w:val="18"/>
                <w:szCs w:val="18"/>
                <w:lang w:eastAsia="es-CO"/>
              </w:rPr>
            </w:pPr>
            <w:r w:rsidRPr="008C3D18">
              <w:rPr>
                <w:rFonts w:ascii="Arial" w:hAnsi="Arial" w:cs="Arial"/>
                <w:b/>
                <w:bCs/>
                <w:color w:val="000000"/>
                <w:sz w:val="18"/>
                <w:szCs w:val="18"/>
                <w:lang w:eastAsia="es-CO"/>
              </w:rPr>
              <w:t>INDICE DE LIQUIDEZ</w:t>
            </w:r>
          </w:p>
        </w:tc>
        <w:tc>
          <w:tcPr>
            <w:tcW w:w="0" w:type="auto"/>
            <w:tcBorders>
              <w:top w:val="single" w:sz="4" w:space="0" w:color="auto"/>
              <w:left w:val="single" w:sz="4" w:space="0" w:color="auto"/>
              <w:bottom w:val="single" w:sz="4" w:space="0" w:color="auto"/>
              <w:right w:val="single" w:sz="4" w:space="0" w:color="auto"/>
            </w:tcBorders>
            <w:shd w:val="clear" w:color="000000" w:fill="D9E1F2"/>
          </w:tcPr>
          <w:p w14:paraId="57D7D8D9" w14:textId="77777777" w:rsidR="00BA6B66" w:rsidRPr="008C3D18" w:rsidRDefault="00BA6B66" w:rsidP="0044671B">
            <w:pPr>
              <w:jc w:val="center"/>
              <w:rPr>
                <w:rFonts w:ascii="Arial" w:hAnsi="Arial" w:cs="Arial"/>
                <w:b/>
                <w:bCs/>
                <w:color w:val="000000"/>
                <w:sz w:val="18"/>
                <w:szCs w:val="18"/>
                <w:lang w:eastAsia="es-CO"/>
              </w:rPr>
            </w:pPr>
            <w:r>
              <w:rPr>
                <w:rFonts w:ascii="Arial" w:hAnsi="Arial" w:cs="Arial"/>
                <w:b/>
                <w:bCs/>
                <w:color w:val="000000"/>
                <w:sz w:val="18"/>
                <w:szCs w:val="18"/>
                <w:lang w:eastAsia="es-CO"/>
              </w:rPr>
              <w:t>RAZÓN DE COBERTURA DE INTERÉS</w:t>
            </w:r>
          </w:p>
        </w:tc>
      </w:tr>
      <w:tr w:rsidR="00BA6B66" w:rsidRPr="008C3D18" w14:paraId="30B5EF72" w14:textId="77777777" w:rsidTr="0044671B">
        <w:trPr>
          <w:trHeight w:val="20"/>
          <w:tblHeader/>
          <w:jc w:val="center"/>
        </w:trPr>
        <w:tc>
          <w:tcPr>
            <w:tcW w:w="0" w:type="auto"/>
            <w:tcBorders>
              <w:top w:val="nil"/>
              <w:left w:val="nil"/>
              <w:bottom w:val="nil"/>
              <w:right w:val="nil"/>
            </w:tcBorders>
            <w:shd w:val="clear" w:color="auto" w:fill="auto"/>
            <w:noWrap/>
            <w:vAlign w:val="bottom"/>
            <w:hideMark/>
          </w:tcPr>
          <w:p w14:paraId="30640338" w14:textId="77777777" w:rsidR="00BA6B66" w:rsidRPr="008C3D18" w:rsidRDefault="00BA6B66" w:rsidP="0044671B">
            <w:pPr>
              <w:jc w:val="center"/>
              <w:rPr>
                <w:rFonts w:ascii="Arial" w:hAnsi="Arial" w:cs="Arial"/>
                <w:b/>
                <w:bCs/>
                <w:color w:val="000000"/>
                <w:sz w:val="18"/>
                <w:szCs w:val="18"/>
                <w:lang w:eastAsia="es-CO"/>
              </w:rPr>
            </w:pPr>
          </w:p>
        </w:tc>
        <w:tc>
          <w:tcPr>
            <w:tcW w:w="411" w:type="dxa"/>
            <w:tcBorders>
              <w:top w:val="nil"/>
              <w:left w:val="nil"/>
              <w:bottom w:val="nil"/>
              <w:right w:val="nil"/>
            </w:tcBorders>
            <w:shd w:val="clear" w:color="auto" w:fill="auto"/>
            <w:noWrap/>
            <w:vAlign w:val="bottom"/>
            <w:hideMark/>
          </w:tcPr>
          <w:p w14:paraId="07DC4EF8" w14:textId="77777777" w:rsidR="00BA6B66" w:rsidRPr="008C3D18" w:rsidRDefault="00BA6B66" w:rsidP="0044671B">
            <w:pPr>
              <w:rPr>
                <w:rFonts w:ascii="Arial" w:hAnsi="Arial" w:cs="Arial"/>
                <w:sz w:val="18"/>
                <w:szCs w:val="18"/>
                <w:lang w:eastAsia="es-CO"/>
              </w:rPr>
            </w:pPr>
          </w:p>
        </w:tc>
        <w:tc>
          <w:tcPr>
            <w:tcW w:w="160" w:type="dxa"/>
            <w:tcBorders>
              <w:top w:val="nil"/>
              <w:left w:val="nil"/>
              <w:bottom w:val="nil"/>
              <w:right w:val="nil"/>
            </w:tcBorders>
            <w:shd w:val="clear" w:color="auto" w:fill="auto"/>
            <w:noWrap/>
            <w:vAlign w:val="bottom"/>
            <w:hideMark/>
          </w:tcPr>
          <w:p w14:paraId="29CE287B"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shd w:val="clear" w:color="auto" w:fill="auto"/>
            <w:noWrap/>
            <w:vAlign w:val="bottom"/>
            <w:hideMark/>
          </w:tcPr>
          <w:p w14:paraId="64F3CCD9"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tcPr>
          <w:p w14:paraId="78069CAF" w14:textId="77777777" w:rsidR="00BA6B66" w:rsidRPr="008C3D18" w:rsidRDefault="00BA6B66" w:rsidP="0044671B">
            <w:pPr>
              <w:rPr>
                <w:rFonts w:ascii="Arial" w:hAnsi="Arial" w:cs="Arial"/>
                <w:sz w:val="18"/>
                <w:szCs w:val="18"/>
                <w:lang w:eastAsia="es-CO"/>
              </w:rPr>
            </w:pPr>
          </w:p>
        </w:tc>
      </w:tr>
      <w:tr w:rsidR="00BA6B66" w:rsidRPr="008C3D18" w14:paraId="3A49892B" w14:textId="77777777" w:rsidTr="0044671B">
        <w:trPr>
          <w:trHeight w:val="20"/>
          <w:tblHeader/>
          <w:jc w:val="center"/>
        </w:trPr>
        <w:tc>
          <w:tcPr>
            <w:tcW w:w="82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AFA448" w14:textId="77777777" w:rsidR="00BA6B66" w:rsidRPr="008C3D18" w:rsidRDefault="00BA6B66" w:rsidP="0044671B">
            <w:pPr>
              <w:jc w:val="center"/>
              <w:rPr>
                <w:rFonts w:ascii="Arial" w:hAnsi="Arial" w:cs="Arial"/>
                <w:b/>
                <w:bCs/>
                <w:color w:val="000000"/>
                <w:sz w:val="18"/>
                <w:szCs w:val="18"/>
                <w:lang w:eastAsia="es-CO"/>
              </w:rPr>
            </w:pPr>
            <w:r w:rsidRPr="008C3D18">
              <w:rPr>
                <w:rFonts w:ascii="Arial" w:hAnsi="Arial" w:cs="Arial"/>
                <w:b/>
                <w:bCs/>
                <w:color w:val="000000"/>
                <w:sz w:val="18"/>
                <w:szCs w:val="18"/>
                <w:lang w:eastAsia="es-CO"/>
              </w:rPr>
              <w:t>Rangos</w:t>
            </w:r>
          </w:p>
        </w:tc>
        <w:tc>
          <w:tcPr>
            <w:tcW w:w="160" w:type="dxa"/>
            <w:tcBorders>
              <w:top w:val="nil"/>
              <w:left w:val="nil"/>
              <w:bottom w:val="nil"/>
              <w:right w:val="nil"/>
            </w:tcBorders>
            <w:shd w:val="clear" w:color="auto" w:fill="auto"/>
            <w:noWrap/>
            <w:vAlign w:val="bottom"/>
            <w:hideMark/>
          </w:tcPr>
          <w:p w14:paraId="433E3D04" w14:textId="77777777" w:rsidR="00BA6B66" w:rsidRPr="008C3D18" w:rsidRDefault="00BA6B66" w:rsidP="0044671B">
            <w:pPr>
              <w:jc w:val="center"/>
              <w:rPr>
                <w:rFonts w:ascii="Arial" w:hAnsi="Arial" w:cs="Arial"/>
                <w:b/>
                <w:bCs/>
                <w:color w:val="000000"/>
                <w:sz w:val="18"/>
                <w:szCs w:val="18"/>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79AA5"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Mayor o igual</w:t>
            </w:r>
          </w:p>
        </w:tc>
        <w:tc>
          <w:tcPr>
            <w:tcW w:w="0" w:type="auto"/>
            <w:tcBorders>
              <w:top w:val="single" w:sz="4" w:space="0" w:color="auto"/>
              <w:left w:val="single" w:sz="4" w:space="0" w:color="auto"/>
              <w:bottom w:val="single" w:sz="4" w:space="0" w:color="auto"/>
              <w:right w:val="single" w:sz="4" w:space="0" w:color="auto"/>
            </w:tcBorders>
          </w:tcPr>
          <w:p w14:paraId="2FB47DC4"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Mayor o igual</w:t>
            </w:r>
          </w:p>
        </w:tc>
      </w:tr>
      <w:tr w:rsidR="00BA6B66" w:rsidRPr="008C3D18" w14:paraId="057A980B" w14:textId="77777777" w:rsidTr="0044671B">
        <w:trPr>
          <w:trHeight w:val="20"/>
          <w:jc w:val="center"/>
        </w:trPr>
        <w:tc>
          <w:tcPr>
            <w:tcW w:w="0" w:type="auto"/>
            <w:tcBorders>
              <w:top w:val="nil"/>
              <w:left w:val="nil"/>
              <w:bottom w:val="nil"/>
              <w:right w:val="nil"/>
            </w:tcBorders>
            <w:shd w:val="clear" w:color="auto" w:fill="auto"/>
            <w:noWrap/>
            <w:vAlign w:val="bottom"/>
            <w:hideMark/>
          </w:tcPr>
          <w:p w14:paraId="321FFC9B" w14:textId="77777777" w:rsidR="00BA6B66" w:rsidRPr="008C3D18" w:rsidRDefault="00BA6B66" w:rsidP="0044671B">
            <w:pPr>
              <w:jc w:val="center"/>
              <w:rPr>
                <w:rFonts w:ascii="Arial" w:hAnsi="Arial" w:cs="Arial"/>
                <w:color w:val="000000"/>
                <w:sz w:val="18"/>
                <w:szCs w:val="18"/>
                <w:lang w:eastAsia="es-CO"/>
              </w:rPr>
            </w:pPr>
          </w:p>
        </w:tc>
        <w:tc>
          <w:tcPr>
            <w:tcW w:w="411" w:type="dxa"/>
            <w:tcBorders>
              <w:top w:val="nil"/>
              <w:left w:val="nil"/>
              <w:bottom w:val="nil"/>
              <w:right w:val="nil"/>
            </w:tcBorders>
            <w:shd w:val="clear" w:color="auto" w:fill="auto"/>
            <w:noWrap/>
            <w:vAlign w:val="bottom"/>
            <w:hideMark/>
          </w:tcPr>
          <w:p w14:paraId="102A92D0" w14:textId="77777777" w:rsidR="00BA6B66" w:rsidRPr="008C3D18" w:rsidRDefault="00BA6B66" w:rsidP="0044671B">
            <w:pPr>
              <w:rPr>
                <w:rFonts w:ascii="Arial" w:hAnsi="Arial" w:cs="Arial"/>
                <w:sz w:val="18"/>
                <w:szCs w:val="18"/>
                <w:lang w:eastAsia="es-CO"/>
              </w:rPr>
            </w:pPr>
          </w:p>
        </w:tc>
        <w:tc>
          <w:tcPr>
            <w:tcW w:w="160" w:type="dxa"/>
            <w:tcBorders>
              <w:top w:val="nil"/>
              <w:left w:val="nil"/>
              <w:bottom w:val="nil"/>
              <w:right w:val="nil"/>
            </w:tcBorders>
            <w:shd w:val="clear" w:color="auto" w:fill="auto"/>
            <w:noWrap/>
            <w:vAlign w:val="bottom"/>
            <w:hideMark/>
          </w:tcPr>
          <w:p w14:paraId="4C4EFA7F"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shd w:val="clear" w:color="auto" w:fill="auto"/>
            <w:noWrap/>
            <w:vAlign w:val="bottom"/>
            <w:hideMark/>
          </w:tcPr>
          <w:p w14:paraId="0CECB82D"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tcPr>
          <w:p w14:paraId="7062483F" w14:textId="77777777" w:rsidR="00BA6B66" w:rsidRPr="008C3D18" w:rsidRDefault="00BA6B66" w:rsidP="0044671B">
            <w:pPr>
              <w:rPr>
                <w:rFonts w:ascii="Arial" w:hAnsi="Arial" w:cs="Arial"/>
                <w:sz w:val="18"/>
                <w:szCs w:val="18"/>
                <w:lang w:eastAsia="es-CO"/>
              </w:rPr>
            </w:pPr>
          </w:p>
        </w:tc>
      </w:tr>
      <w:tr w:rsidR="00BA6B66" w:rsidRPr="008C3D18" w14:paraId="6DF3C1F9" w14:textId="77777777" w:rsidTr="0044671B">
        <w:trPr>
          <w:trHeight w:val="20"/>
          <w:jc w:val="center"/>
        </w:trPr>
        <w:tc>
          <w:tcPr>
            <w:tcW w:w="82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B279AEA"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Rango 1</w:t>
            </w:r>
          </w:p>
        </w:tc>
        <w:tc>
          <w:tcPr>
            <w:tcW w:w="160" w:type="dxa"/>
            <w:tcBorders>
              <w:top w:val="nil"/>
              <w:left w:val="nil"/>
              <w:bottom w:val="nil"/>
              <w:right w:val="nil"/>
            </w:tcBorders>
            <w:shd w:val="clear" w:color="auto" w:fill="auto"/>
            <w:noWrap/>
            <w:vAlign w:val="bottom"/>
            <w:hideMark/>
          </w:tcPr>
          <w:p w14:paraId="496ED055" w14:textId="77777777" w:rsidR="00BA6B66" w:rsidRPr="008C3D18" w:rsidRDefault="00BA6B66" w:rsidP="0044671B">
            <w:pPr>
              <w:jc w:val="center"/>
              <w:rPr>
                <w:rFonts w:ascii="Arial" w:hAnsi="Arial" w:cs="Arial"/>
                <w:color w:val="000000"/>
                <w:sz w:val="18"/>
                <w:szCs w:val="18"/>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B381A"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1,</w:t>
            </w:r>
            <w:r>
              <w:rPr>
                <w:rFonts w:ascii="Arial" w:hAnsi="Arial" w:cs="Arial"/>
                <w:color w:val="000000"/>
                <w:sz w:val="18"/>
                <w:szCs w:val="18"/>
                <w:lang w:eastAsia="es-CO"/>
              </w:rPr>
              <w:t>1</w:t>
            </w:r>
          </w:p>
        </w:tc>
        <w:tc>
          <w:tcPr>
            <w:tcW w:w="0" w:type="auto"/>
            <w:tcBorders>
              <w:top w:val="single" w:sz="4" w:space="0" w:color="auto"/>
              <w:left w:val="single" w:sz="4" w:space="0" w:color="auto"/>
              <w:bottom w:val="single" w:sz="4" w:space="0" w:color="auto"/>
              <w:right w:val="single" w:sz="4" w:space="0" w:color="auto"/>
            </w:tcBorders>
          </w:tcPr>
          <w:p w14:paraId="69E41482" w14:textId="77777777" w:rsidR="00BA6B66" w:rsidRPr="008C3D18" w:rsidRDefault="00BA6B66" w:rsidP="0044671B">
            <w:pPr>
              <w:jc w:val="center"/>
              <w:rPr>
                <w:rFonts w:ascii="Arial" w:hAnsi="Arial" w:cs="Arial"/>
                <w:color w:val="000000"/>
                <w:sz w:val="18"/>
                <w:szCs w:val="18"/>
                <w:lang w:eastAsia="es-CO"/>
              </w:rPr>
            </w:pPr>
            <w:r>
              <w:rPr>
                <w:rFonts w:ascii="Arial" w:hAnsi="Arial" w:cs="Arial"/>
                <w:color w:val="000000"/>
                <w:sz w:val="18"/>
                <w:szCs w:val="18"/>
                <w:lang w:eastAsia="es-CO"/>
              </w:rPr>
              <w:t>1</w:t>
            </w:r>
          </w:p>
        </w:tc>
      </w:tr>
      <w:tr w:rsidR="00BA6B66" w:rsidRPr="008C3D18" w14:paraId="69119F3D" w14:textId="77777777" w:rsidTr="0044671B">
        <w:trPr>
          <w:trHeight w:val="20"/>
          <w:jc w:val="center"/>
        </w:trPr>
        <w:tc>
          <w:tcPr>
            <w:tcW w:w="0" w:type="auto"/>
            <w:tcBorders>
              <w:top w:val="nil"/>
              <w:left w:val="nil"/>
              <w:bottom w:val="nil"/>
              <w:right w:val="nil"/>
            </w:tcBorders>
            <w:shd w:val="clear" w:color="auto" w:fill="auto"/>
            <w:noWrap/>
            <w:vAlign w:val="bottom"/>
            <w:hideMark/>
          </w:tcPr>
          <w:p w14:paraId="3B656C3C" w14:textId="77777777" w:rsidR="00BA6B66" w:rsidRPr="008C3D18" w:rsidRDefault="00BA6B66" w:rsidP="0044671B">
            <w:pPr>
              <w:jc w:val="center"/>
              <w:rPr>
                <w:rFonts w:ascii="Arial" w:hAnsi="Arial" w:cs="Arial"/>
                <w:color w:val="000000"/>
                <w:sz w:val="18"/>
                <w:szCs w:val="18"/>
                <w:lang w:eastAsia="es-CO"/>
              </w:rPr>
            </w:pPr>
          </w:p>
        </w:tc>
        <w:tc>
          <w:tcPr>
            <w:tcW w:w="411" w:type="dxa"/>
            <w:tcBorders>
              <w:top w:val="nil"/>
              <w:left w:val="nil"/>
              <w:bottom w:val="nil"/>
              <w:right w:val="nil"/>
            </w:tcBorders>
            <w:shd w:val="clear" w:color="auto" w:fill="auto"/>
            <w:noWrap/>
            <w:vAlign w:val="bottom"/>
            <w:hideMark/>
          </w:tcPr>
          <w:p w14:paraId="3CF62086" w14:textId="77777777" w:rsidR="00BA6B66" w:rsidRPr="008C3D18" w:rsidRDefault="00BA6B66" w:rsidP="0044671B">
            <w:pPr>
              <w:rPr>
                <w:rFonts w:ascii="Arial" w:hAnsi="Arial" w:cs="Arial"/>
                <w:sz w:val="18"/>
                <w:szCs w:val="18"/>
                <w:lang w:eastAsia="es-CO"/>
              </w:rPr>
            </w:pPr>
          </w:p>
        </w:tc>
        <w:tc>
          <w:tcPr>
            <w:tcW w:w="160" w:type="dxa"/>
            <w:tcBorders>
              <w:top w:val="nil"/>
              <w:left w:val="nil"/>
              <w:bottom w:val="nil"/>
              <w:right w:val="nil"/>
            </w:tcBorders>
            <w:shd w:val="clear" w:color="auto" w:fill="auto"/>
            <w:noWrap/>
            <w:vAlign w:val="bottom"/>
            <w:hideMark/>
          </w:tcPr>
          <w:p w14:paraId="494A8FA4"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shd w:val="clear" w:color="auto" w:fill="auto"/>
            <w:noWrap/>
            <w:vAlign w:val="center"/>
            <w:hideMark/>
          </w:tcPr>
          <w:p w14:paraId="4C75740C"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tcPr>
          <w:p w14:paraId="50F1D8A9" w14:textId="77777777" w:rsidR="00BA6B66" w:rsidRPr="008C3D18" w:rsidRDefault="00BA6B66" w:rsidP="0044671B">
            <w:pPr>
              <w:rPr>
                <w:rFonts w:ascii="Arial" w:hAnsi="Arial" w:cs="Arial"/>
                <w:sz w:val="18"/>
                <w:szCs w:val="18"/>
                <w:lang w:eastAsia="es-CO"/>
              </w:rPr>
            </w:pPr>
          </w:p>
        </w:tc>
      </w:tr>
      <w:tr w:rsidR="00BA6B66" w:rsidRPr="008C3D18" w14:paraId="02DD150A" w14:textId="77777777" w:rsidTr="0044671B">
        <w:trPr>
          <w:trHeight w:val="20"/>
          <w:jc w:val="center"/>
        </w:trPr>
        <w:tc>
          <w:tcPr>
            <w:tcW w:w="82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16CAD0"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Rango 2</w:t>
            </w:r>
          </w:p>
        </w:tc>
        <w:tc>
          <w:tcPr>
            <w:tcW w:w="160" w:type="dxa"/>
            <w:tcBorders>
              <w:top w:val="nil"/>
              <w:left w:val="nil"/>
              <w:bottom w:val="nil"/>
              <w:right w:val="nil"/>
            </w:tcBorders>
            <w:shd w:val="clear" w:color="auto" w:fill="auto"/>
            <w:noWrap/>
            <w:vAlign w:val="bottom"/>
            <w:hideMark/>
          </w:tcPr>
          <w:p w14:paraId="596F7DBB" w14:textId="77777777" w:rsidR="00BA6B66" w:rsidRPr="008C3D18" w:rsidRDefault="00BA6B66" w:rsidP="0044671B">
            <w:pPr>
              <w:jc w:val="center"/>
              <w:rPr>
                <w:rFonts w:ascii="Arial" w:hAnsi="Arial" w:cs="Arial"/>
                <w:color w:val="000000"/>
                <w:sz w:val="18"/>
                <w:szCs w:val="18"/>
                <w:lang w:eastAsia="es-CO"/>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7458D" w14:textId="77777777" w:rsidR="00BA6B66" w:rsidRPr="008C3D18" w:rsidRDefault="00BA6B66" w:rsidP="0044671B">
            <w:pPr>
              <w:jc w:val="center"/>
              <w:rPr>
                <w:rFonts w:ascii="Arial" w:hAnsi="Arial" w:cs="Arial"/>
                <w:color w:val="000000"/>
                <w:sz w:val="18"/>
                <w:szCs w:val="18"/>
                <w:lang w:eastAsia="es-CO"/>
              </w:rPr>
            </w:pPr>
            <w:r w:rsidRPr="008C3D18">
              <w:rPr>
                <w:rFonts w:ascii="Arial" w:hAnsi="Arial" w:cs="Arial"/>
                <w:color w:val="000000"/>
                <w:sz w:val="18"/>
                <w:szCs w:val="18"/>
                <w:lang w:eastAsia="es-CO"/>
              </w:rPr>
              <w:t>1,</w:t>
            </w:r>
            <w:r>
              <w:rPr>
                <w:rFonts w:ascii="Arial" w:hAnsi="Arial" w:cs="Arial"/>
                <w:color w:val="000000"/>
                <w:sz w:val="18"/>
                <w:szCs w:val="18"/>
                <w:lang w:eastAsia="es-CO"/>
              </w:rPr>
              <w:t>2</w:t>
            </w:r>
          </w:p>
        </w:tc>
        <w:tc>
          <w:tcPr>
            <w:tcW w:w="0" w:type="auto"/>
            <w:tcBorders>
              <w:top w:val="single" w:sz="4" w:space="0" w:color="auto"/>
              <w:left w:val="single" w:sz="4" w:space="0" w:color="auto"/>
              <w:bottom w:val="single" w:sz="4" w:space="0" w:color="auto"/>
              <w:right w:val="single" w:sz="4" w:space="0" w:color="auto"/>
            </w:tcBorders>
          </w:tcPr>
          <w:p w14:paraId="54740B29" w14:textId="77777777" w:rsidR="00BA6B66" w:rsidRPr="008C3D18" w:rsidRDefault="00BA6B66" w:rsidP="0044671B">
            <w:pPr>
              <w:jc w:val="center"/>
              <w:rPr>
                <w:rFonts w:ascii="Arial" w:hAnsi="Arial" w:cs="Arial"/>
                <w:color w:val="000000"/>
                <w:sz w:val="18"/>
                <w:szCs w:val="18"/>
                <w:lang w:eastAsia="es-CO"/>
              </w:rPr>
            </w:pPr>
            <w:r>
              <w:rPr>
                <w:rFonts w:ascii="Arial" w:hAnsi="Arial" w:cs="Arial"/>
                <w:color w:val="000000"/>
                <w:sz w:val="18"/>
                <w:szCs w:val="18"/>
                <w:lang w:eastAsia="es-CO"/>
              </w:rPr>
              <w:t>0,5</w:t>
            </w:r>
          </w:p>
        </w:tc>
      </w:tr>
      <w:tr w:rsidR="00BA6B66" w:rsidRPr="008C3D18" w14:paraId="22483DD6" w14:textId="77777777" w:rsidTr="0044671B">
        <w:trPr>
          <w:trHeight w:val="20"/>
          <w:jc w:val="center"/>
        </w:trPr>
        <w:tc>
          <w:tcPr>
            <w:tcW w:w="0" w:type="auto"/>
            <w:tcBorders>
              <w:top w:val="nil"/>
              <w:left w:val="nil"/>
              <w:bottom w:val="nil"/>
              <w:right w:val="nil"/>
            </w:tcBorders>
            <w:shd w:val="clear" w:color="auto" w:fill="auto"/>
            <w:noWrap/>
            <w:vAlign w:val="bottom"/>
            <w:hideMark/>
          </w:tcPr>
          <w:p w14:paraId="767CDEBF" w14:textId="77777777" w:rsidR="00BA6B66" w:rsidRPr="008C3D18" w:rsidRDefault="00BA6B66" w:rsidP="0044671B">
            <w:pPr>
              <w:jc w:val="center"/>
              <w:rPr>
                <w:rFonts w:ascii="Arial" w:hAnsi="Arial" w:cs="Arial"/>
                <w:color w:val="000000"/>
                <w:sz w:val="18"/>
                <w:szCs w:val="18"/>
                <w:lang w:eastAsia="es-CO"/>
              </w:rPr>
            </w:pPr>
          </w:p>
        </w:tc>
        <w:tc>
          <w:tcPr>
            <w:tcW w:w="411" w:type="dxa"/>
            <w:tcBorders>
              <w:top w:val="nil"/>
              <w:left w:val="nil"/>
              <w:bottom w:val="nil"/>
              <w:right w:val="nil"/>
            </w:tcBorders>
            <w:shd w:val="clear" w:color="auto" w:fill="auto"/>
            <w:noWrap/>
            <w:vAlign w:val="bottom"/>
            <w:hideMark/>
          </w:tcPr>
          <w:p w14:paraId="2F7A357C" w14:textId="77777777" w:rsidR="00BA6B66" w:rsidRPr="008C3D18" w:rsidRDefault="00BA6B66" w:rsidP="0044671B">
            <w:pPr>
              <w:rPr>
                <w:rFonts w:ascii="Arial" w:hAnsi="Arial" w:cs="Arial"/>
                <w:sz w:val="18"/>
                <w:szCs w:val="18"/>
                <w:lang w:eastAsia="es-CO"/>
              </w:rPr>
            </w:pPr>
          </w:p>
        </w:tc>
        <w:tc>
          <w:tcPr>
            <w:tcW w:w="160" w:type="dxa"/>
            <w:tcBorders>
              <w:top w:val="nil"/>
              <w:left w:val="nil"/>
              <w:bottom w:val="nil"/>
              <w:right w:val="nil"/>
            </w:tcBorders>
            <w:shd w:val="clear" w:color="auto" w:fill="auto"/>
            <w:noWrap/>
            <w:vAlign w:val="bottom"/>
            <w:hideMark/>
          </w:tcPr>
          <w:p w14:paraId="7E629668"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shd w:val="clear" w:color="auto" w:fill="auto"/>
            <w:noWrap/>
            <w:vAlign w:val="center"/>
            <w:hideMark/>
          </w:tcPr>
          <w:p w14:paraId="2731151C" w14:textId="77777777" w:rsidR="00BA6B66" w:rsidRPr="008C3D18" w:rsidRDefault="00BA6B66" w:rsidP="0044671B">
            <w:pPr>
              <w:rPr>
                <w:rFonts w:ascii="Arial" w:hAnsi="Arial" w:cs="Arial"/>
                <w:sz w:val="18"/>
                <w:szCs w:val="18"/>
                <w:lang w:eastAsia="es-CO"/>
              </w:rPr>
            </w:pPr>
          </w:p>
        </w:tc>
        <w:tc>
          <w:tcPr>
            <w:tcW w:w="0" w:type="auto"/>
            <w:tcBorders>
              <w:top w:val="nil"/>
              <w:left w:val="nil"/>
              <w:bottom w:val="nil"/>
              <w:right w:val="nil"/>
            </w:tcBorders>
          </w:tcPr>
          <w:p w14:paraId="21039A6E" w14:textId="77777777" w:rsidR="00BA6B66" w:rsidRPr="008C3D18" w:rsidRDefault="00BA6B66" w:rsidP="0044671B">
            <w:pPr>
              <w:rPr>
                <w:rFonts w:ascii="Arial" w:hAnsi="Arial" w:cs="Arial"/>
                <w:sz w:val="18"/>
                <w:szCs w:val="18"/>
                <w:lang w:eastAsia="es-CO"/>
              </w:rPr>
            </w:pPr>
          </w:p>
        </w:tc>
      </w:tr>
    </w:tbl>
    <w:p w14:paraId="0BFC40C0" w14:textId="3F93402A" w:rsidR="00EB56A0" w:rsidRDefault="007841BC" w:rsidP="007841BC">
      <w:pPr>
        <w:jc w:val="center"/>
        <w:rPr>
          <w:rFonts w:ascii="Verdana" w:hAnsi="Verdana" w:cs="Arial"/>
          <w:sz w:val="16"/>
          <w:szCs w:val="16"/>
          <w:lang w:val="es-MX"/>
        </w:rPr>
      </w:pPr>
      <w:r w:rsidRPr="007841BC">
        <w:rPr>
          <w:rFonts w:ascii="Verdana" w:hAnsi="Verdana" w:cs="Arial"/>
          <w:sz w:val="16"/>
          <w:szCs w:val="16"/>
          <w:lang w:val="es-MX"/>
        </w:rPr>
        <w:t>Elaboración propia</w:t>
      </w:r>
    </w:p>
    <w:p w14:paraId="5EE618A3" w14:textId="77777777" w:rsidR="007841BC" w:rsidRDefault="007841BC" w:rsidP="007841BC">
      <w:pPr>
        <w:jc w:val="center"/>
        <w:rPr>
          <w:rFonts w:ascii="Verdana" w:hAnsi="Verdana" w:cs="Arial"/>
          <w:sz w:val="16"/>
          <w:szCs w:val="16"/>
          <w:lang w:val="es-MX"/>
        </w:rPr>
      </w:pPr>
    </w:p>
    <w:p w14:paraId="5B235A8B" w14:textId="77777777" w:rsidR="007841BC" w:rsidRPr="007841BC" w:rsidRDefault="007841BC" w:rsidP="007841BC">
      <w:pPr>
        <w:jc w:val="center"/>
        <w:rPr>
          <w:rFonts w:ascii="Verdana" w:hAnsi="Verdana" w:cs="Arial"/>
          <w:sz w:val="16"/>
          <w:szCs w:val="16"/>
          <w:lang w:val="es-MX"/>
        </w:rPr>
      </w:pPr>
    </w:p>
    <w:p w14:paraId="30111753" w14:textId="77777777" w:rsidR="00E30CF2" w:rsidRPr="00E30CF2" w:rsidRDefault="00E30CF2" w:rsidP="00E30CF2">
      <w:pPr>
        <w:jc w:val="both"/>
        <w:rPr>
          <w:rFonts w:ascii="Verdana" w:hAnsi="Verdana" w:cs="Arial"/>
          <w:color w:val="000000"/>
          <w:sz w:val="16"/>
          <w:szCs w:val="16"/>
          <w:lang w:eastAsia="es-CO"/>
        </w:rPr>
      </w:pPr>
      <w:r w:rsidRPr="00E30CF2">
        <w:rPr>
          <w:rFonts w:ascii="Verdana" w:hAnsi="Verdana" w:cs="Arial"/>
          <w:sz w:val="16"/>
          <w:szCs w:val="16"/>
          <w:lang w:val="es-MX"/>
        </w:rPr>
        <w:t xml:space="preserve">Nota: Conforme con las variaciones identificadas en el cuadro </w:t>
      </w:r>
      <w:r w:rsidRPr="00E30CF2">
        <w:rPr>
          <w:rFonts w:ascii="Verdana" w:hAnsi="Verdana" w:cs="Arial"/>
          <w:b/>
          <w:bCs/>
          <w:color w:val="000000"/>
          <w:sz w:val="16"/>
          <w:szCs w:val="16"/>
          <w:lang w:eastAsia="es-CO"/>
        </w:rPr>
        <w:t>Promedio rango intercuartílico  (RIC) – Variaciones</w:t>
      </w:r>
      <w:r w:rsidRPr="00E30CF2">
        <w:rPr>
          <w:rFonts w:ascii="Verdana" w:hAnsi="Verdana" w:cs="Arial"/>
          <w:color w:val="000000"/>
          <w:sz w:val="16"/>
          <w:szCs w:val="16"/>
          <w:lang w:eastAsia="es-CO"/>
        </w:rPr>
        <w:t>, resultaría viable que para las empresas categorizadas como MiPymes se considerara flexibilizar el indicador Capital de Trabajo, sin embargo, teniendo en cuenta que este indicador no fue objeto de flexibilización en el documento tipo versión 3, las necesidades de apalancamiento para este tipo de proyectos, y la inclusión del anticipo o pago anticipado como un factor a considerar dentro de la fórmula para definir el capital de trabajo demandado, no se considera flexibilizar este indicador. Por el contrario, la flexibilización en el componente se verá reflejada en el índice de liquidez tal y como se evidencia en el cuadro anterior.</w:t>
      </w:r>
    </w:p>
    <w:p w14:paraId="7B4A62BA" w14:textId="77777777" w:rsidR="003372A7" w:rsidRPr="00A81BAA" w:rsidRDefault="003372A7" w:rsidP="00EB56A0">
      <w:pPr>
        <w:jc w:val="both"/>
        <w:rPr>
          <w:rFonts w:ascii="Verdana" w:hAnsi="Verdana" w:cs="Arial"/>
          <w:sz w:val="16"/>
          <w:szCs w:val="16"/>
          <w:lang w:eastAsia="es-CO"/>
        </w:rPr>
      </w:pPr>
    </w:p>
    <w:p w14:paraId="524FFFE6" w14:textId="77777777" w:rsidR="003372A7" w:rsidRPr="00A81BAA" w:rsidRDefault="003372A7" w:rsidP="00EB56A0">
      <w:pPr>
        <w:jc w:val="both"/>
        <w:rPr>
          <w:rFonts w:ascii="Verdana" w:hAnsi="Verdana" w:cs="Arial"/>
          <w:sz w:val="16"/>
          <w:szCs w:val="16"/>
          <w:lang w:eastAsia="es-CO"/>
        </w:rPr>
      </w:pPr>
    </w:p>
    <w:p w14:paraId="03EF48D1" w14:textId="77777777" w:rsidR="00EB56A0" w:rsidRPr="00A81BAA"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A81BAA">
        <w:rPr>
          <w:rFonts w:ascii="Verdana" w:hAnsi="Verdana" w:cs="Arial"/>
          <w:b/>
          <w:bCs/>
          <w:u w:val="single"/>
          <w:lang w:val="es-MX"/>
        </w:rPr>
        <w:t>Patrimonio</w:t>
      </w:r>
    </w:p>
    <w:p w14:paraId="0DC933D9" w14:textId="77777777" w:rsidR="00EB56A0" w:rsidRDefault="00EB56A0" w:rsidP="00EB56A0">
      <w:pPr>
        <w:jc w:val="both"/>
        <w:rPr>
          <w:rFonts w:ascii="Verdana" w:hAnsi="Verdana" w:cs="Arial"/>
          <w:sz w:val="22"/>
          <w:szCs w:val="22"/>
          <w:lang w:val="es-MX"/>
        </w:rPr>
      </w:pPr>
      <w:r w:rsidRPr="00A81BAA">
        <w:rPr>
          <w:rFonts w:ascii="Verdana" w:hAnsi="Verdana" w:cs="Arial"/>
          <w:sz w:val="22"/>
          <w:szCs w:val="22"/>
          <w:lang w:val="es-MX"/>
        </w:rPr>
        <w:t>El Patrimonio se solicitará en aquellos procesos de selección en los que se cumplan las siguientes dos condiciones:</w:t>
      </w:r>
    </w:p>
    <w:p w14:paraId="03E219AB" w14:textId="77777777" w:rsidR="00421BC3" w:rsidRPr="00A81BAA" w:rsidRDefault="00421BC3" w:rsidP="00EB56A0">
      <w:pPr>
        <w:jc w:val="both"/>
        <w:rPr>
          <w:rFonts w:ascii="Verdana" w:hAnsi="Verdana" w:cs="Arial"/>
          <w:sz w:val="22"/>
          <w:szCs w:val="22"/>
          <w:lang w:val="es-MX"/>
        </w:rPr>
      </w:pPr>
    </w:p>
    <w:p w14:paraId="7AD6CEF7" w14:textId="34FC3352" w:rsidR="00EB56A0" w:rsidRPr="00A81BAA" w:rsidRDefault="00EB56A0" w:rsidP="00E42FDE">
      <w:pPr>
        <w:pStyle w:val="Prrafodelista"/>
        <w:numPr>
          <w:ilvl w:val="0"/>
          <w:numId w:val="63"/>
        </w:numPr>
        <w:spacing w:after="200" w:line="276" w:lineRule="auto"/>
        <w:contextualSpacing w:val="0"/>
        <w:rPr>
          <w:rFonts w:ascii="Verdana" w:hAnsi="Verdana" w:cs="Arial"/>
          <w:b/>
          <w:bCs/>
          <w:lang w:val="es-MX"/>
        </w:rPr>
      </w:pPr>
      <w:r w:rsidRPr="00A81BAA">
        <w:rPr>
          <w:rFonts w:ascii="Verdana" w:hAnsi="Verdana" w:cs="Arial"/>
          <w:b/>
          <w:bCs/>
          <w:lang w:val="es-MX"/>
        </w:rPr>
        <w:t>Presupuesto oficial es &gt;= a 4.00</w:t>
      </w:r>
      <w:r w:rsidR="00DD7BD4" w:rsidRPr="00A81BAA">
        <w:rPr>
          <w:rFonts w:ascii="Verdana" w:hAnsi="Verdana" w:cs="Arial"/>
          <w:b/>
          <w:bCs/>
          <w:lang w:val="es-MX"/>
        </w:rPr>
        <w:t>0</w:t>
      </w:r>
      <w:r w:rsidRPr="00A81BAA">
        <w:rPr>
          <w:rFonts w:ascii="Verdana" w:hAnsi="Verdana" w:cs="Arial"/>
          <w:b/>
          <w:bCs/>
          <w:lang w:val="es-MX"/>
        </w:rPr>
        <w:t xml:space="preserve"> SMMLV.</w:t>
      </w:r>
    </w:p>
    <w:p w14:paraId="1DCED058" w14:textId="77777777" w:rsidR="00EB56A0" w:rsidRPr="00A81BAA" w:rsidRDefault="00EB56A0" w:rsidP="00E42FDE">
      <w:pPr>
        <w:pStyle w:val="Prrafodelista"/>
        <w:numPr>
          <w:ilvl w:val="0"/>
          <w:numId w:val="63"/>
        </w:numPr>
        <w:spacing w:after="200" w:line="276" w:lineRule="auto"/>
        <w:contextualSpacing w:val="0"/>
        <w:rPr>
          <w:rFonts w:ascii="Verdana" w:hAnsi="Verdana" w:cs="Arial"/>
          <w:b/>
          <w:bCs/>
          <w:lang w:val="es-MX"/>
        </w:rPr>
      </w:pPr>
      <w:r w:rsidRPr="00A81BAA">
        <w:rPr>
          <w:rFonts w:ascii="Verdana" w:hAnsi="Verdana" w:cs="Arial"/>
          <w:b/>
          <w:bCs/>
          <w:lang w:val="es-MX"/>
        </w:rPr>
        <w:t>El plazo de ejecución del proceso es mayor o igual a 24 meses.</w:t>
      </w:r>
    </w:p>
    <w:p w14:paraId="221B8820" w14:textId="77777777" w:rsidR="00EB56A0" w:rsidRPr="00A81BAA" w:rsidRDefault="00EB56A0" w:rsidP="00EB56A0">
      <w:pPr>
        <w:jc w:val="both"/>
        <w:rPr>
          <w:rFonts w:ascii="Verdana" w:hAnsi="Verdana" w:cs="Arial"/>
          <w:sz w:val="22"/>
          <w:szCs w:val="22"/>
          <w:lang w:val="es-MX"/>
        </w:rPr>
      </w:pPr>
      <w:r w:rsidRPr="00A81BAA">
        <w:rPr>
          <w:rFonts w:ascii="Verdana" w:hAnsi="Verdana" w:cs="Arial"/>
          <w:sz w:val="22"/>
          <w:szCs w:val="22"/>
          <w:lang w:val="es-MX"/>
        </w:rPr>
        <w:t>Sin embargo, para las empresas que acrediten su condición de MiPymes, la determinación del Patrimonio demandado (requerido), se hará de acuerdo con la siguiente fórmula:</w:t>
      </w:r>
    </w:p>
    <w:p w14:paraId="7A66758B" w14:textId="77777777" w:rsidR="003372A7" w:rsidRPr="00A81BAA" w:rsidRDefault="003372A7" w:rsidP="00EB56A0">
      <w:pPr>
        <w:jc w:val="both"/>
        <w:rPr>
          <w:rFonts w:ascii="Verdana" w:hAnsi="Verdana" w:cs="Arial"/>
          <w:sz w:val="22"/>
          <w:szCs w:val="22"/>
          <w:lang w:val="es-MX"/>
        </w:rPr>
      </w:pPr>
    </w:p>
    <w:p w14:paraId="15420A65" w14:textId="77777777" w:rsidR="00EB56A0" w:rsidRPr="00A81BAA" w:rsidRDefault="00EB56A0" w:rsidP="00EB56A0">
      <w:pPr>
        <w:pBdr>
          <w:top w:val="single" w:sz="4" w:space="1" w:color="auto"/>
          <w:left w:val="single" w:sz="4" w:space="4" w:color="auto"/>
          <w:bottom w:val="single" w:sz="4" w:space="1" w:color="auto"/>
          <w:right w:val="single" w:sz="4" w:space="4" w:color="auto"/>
        </w:pBdr>
        <w:rPr>
          <w:rFonts w:ascii="Verdana" w:hAnsi="Verdana" w:cs="Arial"/>
          <w:sz w:val="22"/>
          <w:szCs w:val="22"/>
        </w:rPr>
      </w:pPr>
      <m:oMathPara>
        <m:oMath>
          <m:r>
            <m:rPr>
              <m:sty m:val="p"/>
            </m:rPr>
            <w:rPr>
              <w:rFonts w:ascii="Cambria Math" w:hAnsi="Cambria Math" w:cs="Arial"/>
              <w:sz w:val="22"/>
              <w:szCs w:val="22"/>
            </w:rPr>
            <m:t>Pd</m:t>
          </m:r>
          <m:r>
            <w:rPr>
              <w:rFonts w:ascii="Cambria Math" w:hAnsi="Cambria Math" w:cs="Arial"/>
              <w:sz w:val="22"/>
              <w:szCs w:val="22"/>
            </w:rPr>
            <m:t>= POE x 20%</m:t>
          </m:r>
        </m:oMath>
      </m:oMathPara>
    </w:p>
    <w:p w14:paraId="21958535" w14:textId="77777777" w:rsidR="00EB56A0" w:rsidRPr="00A81BAA" w:rsidRDefault="00EB56A0" w:rsidP="00EB56A0">
      <w:pPr>
        <w:rPr>
          <w:rFonts w:ascii="Verdana" w:hAnsi="Verdana" w:cs="Arial"/>
          <w:sz w:val="16"/>
          <w:szCs w:val="16"/>
          <w:lang w:val="es-MX"/>
        </w:rPr>
      </w:pPr>
      <w:r w:rsidRPr="00A81BAA">
        <w:rPr>
          <w:rFonts w:ascii="Verdana" w:hAnsi="Verdana" w:cs="Arial"/>
          <w:sz w:val="16"/>
          <w:szCs w:val="16"/>
          <w:lang w:val="es-MX"/>
        </w:rPr>
        <w:t>Donde,</w:t>
      </w:r>
    </w:p>
    <w:p w14:paraId="002404CB" w14:textId="77777777" w:rsidR="00EB56A0" w:rsidRPr="00A81BAA" w:rsidRDefault="00EB56A0" w:rsidP="00EB56A0">
      <w:pPr>
        <w:autoSpaceDE w:val="0"/>
        <w:autoSpaceDN w:val="0"/>
        <w:adjustRightInd w:val="0"/>
        <w:spacing w:before="120"/>
        <w:rPr>
          <w:rFonts w:ascii="Verdana" w:hAnsi="Verdana" w:cs="Arial"/>
          <w:sz w:val="16"/>
          <w:szCs w:val="16"/>
          <w:lang w:val="es-MX"/>
        </w:rPr>
      </w:pPr>
      <w:r w:rsidRPr="00A81BAA">
        <w:rPr>
          <w:rFonts w:ascii="Verdana" w:hAnsi="Verdana" w:cs="Arial"/>
          <w:sz w:val="16"/>
          <w:szCs w:val="16"/>
          <w:lang w:val="es-MX"/>
        </w:rPr>
        <w:t>Pd = Patrimonio demandado (requerido) para el proceso que presenta la propuesta</w:t>
      </w:r>
    </w:p>
    <w:p w14:paraId="00D89E9D" w14:textId="77777777" w:rsidR="00EB56A0" w:rsidRPr="00A81BAA" w:rsidRDefault="00EB56A0" w:rsidP="00EB56A0">
      <w:pPr>
        <w:rPr>
          <w:rFonts w:ascii="Verdana" w:hAnsi="Verdana" w:cs="Arial"/>
          <w:sz w:val="16"/>
          <w:szCs w:val="16"/>
          <w:lang w:val="es-MX"/>
        </w:rPr>
      </w:pPr>
      <w:r w:rsidRPr="00A81BAA">
        <w:rPr>
          <w:rFonts w:ascii="Verdana" w:hAnsi="Verdana" w:cs="Arial"/>
          <w:sz w:val="16"/>
          <w:szCs w:val="16"/>
          <w:lang w:val="es-MX"/>
        </w:rPr>
        <w:t>POE = Presupuesto oficial estimado</w:t>
      </w:r>
    </w:p>
    <w:p w14:paraId="1149AFBA" w14:textId="77777777" w:rsidR="00EB56A0" w:rsidRPr="00A81BAA" w:rsidRDefault="00EB56A0" w:rsidP="00EB56A0">
      <w:pPr>
        <w:rPr>
          <w:rFonts w:ascii="Verdana" w:hAnsi="Verdana" w:cs="Arial"/>
          <w:b/>
          <w:bCs/>
          <w:sz w:val="22"/>
          <w:szCs w:val="22"/>
          <w:u w:val="single"/>
          <w:lang w:val="es-MX"/>
        </w:rPr>
      </w:pPr>
    </w:p>
    <w:p w14:paraId="52E72762" w14:textId="77777777" w:rsidR="00EB56A0" w:rsidRPr="00A81BAA"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A81BAA">
        <w:rPr>
          <w:rFonts w:ascii="Verdana" w:hAnsi="Verdana" w:cs="Arial"/>
          <w:b/>
          <w:bCs/>
          <w:u w:val="single"/>
          <w:lang w:val="es-MX"/>
        </w:rPr>
        <w:t>Indicadores de Capacidad Organizacional</w:t>
      </w:r>
    </w:p>
    <w:p w14:paraId="08DEAB3A" w14:textId="20513192" w:rsidR="00EB56A0" w:rsidRDefault="00EB56A0" w:rsidP="00EB56A0">
      <w:pPr>
        <w:jc w:val="both"/>
        <w:rPr>
          <w:rFonts w:ascii="Verdana" w:hAnsi="Verdana" w:cs="Arial"/>
          <w:sz w:val="22"/>
          <w:szCs w:val="22"/>
          <w:lang w:val="es-MX"/>
        </w:rPr>
      </w:pPr>
      <w:r w:rsidRPr="00A81BAA">
        <w:rPr>
          <w:rFonts w:ascii="Verdana" w:hAnsi="Verdana" w:cs="Arial"/>
          <w:sz w:val="22"/>
          <w:szCs w:val="22"/>
          <w:lang w:val="es-MX"/>
        </w:rPr>
        <w:t xml:space="preserve">Finalmente, y soportado en el análisis realizado, se considera viable flexibilizar los indicadores de capacidad organizacional que deberán acreditar las empresas que </w:t>
      </w:r>
      <w:r w:rsidRPr="00A81BAA">
        <w:rPr>
          <w:rFonts w:ascii="Verdana" w:hAnsi="Verdana" w:cs="Arial"/>
          <w:sz w:val="22"/>
          <w:szCs w:val="22"/>
          <w:lang w:val="es-MX"/>
        </w:rPr>
        <w:lastRenderedPageBreak/>
        <w:t xml:space="preserve">acrediten su condición de MiPymes en los procesos de selección para adquirir los servicios de obra para infraestructura de </w:t>
      </w:r>
      <w:r w:rsidR="00C65DD0">
        <w:rPr>
          <w:rFonts w:ascii="Verdana" w:hAnsi="Verdana" w:cs="Arial"/>
          <w:sz w:val="22"/>
          <w:szCs w:val="22"/>
          <w:lang w:val="es-MX"/>
        </w:rPr>
        <w:t>social</w:t>
      </w:r>
      <w:r w:rsidRPr="00A81BAA">
        <w:rPr>
          <w:rFonts w:ascii="Verdana" w:hAnsi="Verdana" w:cs="Arial"/>
          <w:sz w:val="22"/>
          <w:szCs w:val="22"/>
          <w:lang w:val="es-MX"/>
        </w:rPr>
        <w:t>, así:</w:t>
      </w:r>
    </w:p>
    <w:p w14:paraId="0F0D6EBF" w14:textId="77777777" w:rsidR="007841BC" w:rsidRDefault="007841BC" w:rsidP="00EB56A0">
      <w:pPr>
        <w:jc w:val="both"/>
        <w:rPr>
          <w:rFonts w:ascii="Verdana" w:hAnsi="Verdana" w:cs="Arial"/>
          <w:sz w:val="22"/>
          <w:szCs w:val="22"/>
          <w:lang w:val="es-MX"/>
        </w:rPr>
      </w:pPr>
    </w:p>
    <w:p w14:paraId="44C66E4B" w14:textId="63F34AFB" w:rsidR="007841BC" w:rsidRPr="007841BC" w:rsidRDefault="007841BC" w:rsidP="007841BC">
      <w:pPr>
        <w:pStyle w:val="Descripcin"/>
        <w:jc w:val="center"/>
        <w:rPr>
          <w:rFonts w:ascii="Verdana" w:hAnsi="Verdana" w:cs="Arial"/>
          <w:sz w:val="24"/>
          <w:szCs w:val="24"/>
          <w:lang w:val="es-MX"/>
        </w:rPr>
      </w:pPr>
      <w:bookmarkStart w:id="77" w:name="_Toc180136839"/>
      <w:r w:rsidRPr="007841BC">
        <w:rPr>
          <w:rFonts w:ascii="Verdana" w:hAnsi="Verdana"/>
          <w:sz w:val="22"/>
          <w:szCs w:val="22"/>
        </w:rPr>
        <w:t xml:space="preserve">Tabla </w:t>
      </w:r>
      <w:r w:rsidRPr="007841BC">
        <w:rPr>
          <w:rFonts w:ascii="Verdana" w:hAnsi="Verdana"/>
          <w:sz w:val="22"/>
          <w:szCs w:val="22"/>
        </w:rPr>
        <w:fldChar w:fldCharType="begin"/>
      </w:r>
      <w:r w:rsidRPr="007841BC">
        <w:rPr>
          <w:rFonts w:ascii="Verdana" w:hAnsi="Verdana"/>
          <w:sz w:val="22"/>
          <w:szCs w:val="22"/>
        </w:rPr>
        <w:instrText xml:space="preserve"> SEQ Tabla \* ARABIC </w:instrText>
      </w:r>
      <w:r w:rsidRPr="007841BC">
        <w:rPr>
          <w:rFonts w:ascii="Verdana" w:hAnsi="Verdana"/>
          <w:sz w:val="22"/>
          <w:szCs w:val="22"/>
        </w:rPr>
        <w:fldChar w:fldCharType="separate"/>
      </w:r>
      <w:r w:rsidR="00CF739E">
        <w:rPr>
          <w:rFonts w:ascii="Verdana" w:hAnsi="Verdana"/>
          <w:noProof/>
          <w:sz w:val="22"/>
          <w:szCs w:val="22"/>
        </w:rPr>
        <w:t>23</w:t>
      </w:r>
      <w:r w:rsidRPr="007841BC">
        <w:rPr>
          <w:rFonts w:ascii="Verdana" w:hAnsi="Verdana"/>
          <w:sz w:val="22"/>
          <w:szCs w:val="22"/>
        </w:rPr>
        <w:fldChar w:fldCharType="end"/>
      </w:r>
      <w:r w:rsidRPr="007841BC">
        <w:rPr>
          <w:rFonts w:ascii="Verdana" w:hAnsi="Verdana"/>
          <w:sz w:val="22"/>
          <w:szCs w:val="22"/>
        </w:rPr>
        <w:t>. Indicadores MiPymes Capacidad Organizacional</w:t>
      </w:r>
      <w:bookmarkEnd w:id="77"/>
    </w:p>
    <w:tbl>
      <w:tblPr>
        <w:tblW w:w="4298" w:type="dxa"/>
        <w:jc w:val="center"/>
        <w:tblCellMar>
          <w:left w:w="70" w:type="dxa"/>
          <w:right w:w="70" w:type="dxa"/>
        </w:tblCellMar>
        <w:tblLook w:val="04A0" w:firstRow="1" w:lastRow="0" w:firstColumn="1" w:lastColumn="0" w:noHBand="0" w:noVBand="1"/>
      </w:tblPr>
      <w:tblGrid>
        <w:gridCol w:w="402"/>
        <w:gridCol w:w="495"/>
        <w:gridCol w:w="1679"/>
        <w:gridCol w:w="1722"/>
      </w:tblGrid>
      <w:tr w:rsidR="00A81BAA" w:rsidRPr="00807DB0" w14:paraId="2CB7D821" w14:textId="77777777" w:rsidTr="00B00FCB">
        <w:trPr>
          <w:trHeight w:val="300"/>
          <w:tblHeader/>
          <w:jc w:val="center"/>
        </w:trPr>
        <w:tc>
          <w:tcPr>
            <w:tcW w:w="897" w:type="dxa"/>
            <w:gridSpan w:val="2"/>
            <w:shd w:val="clear" w:color="auto" w:fill="auto"/>
            <w:vAlign w:val="center"/>
            <w:hideMark/>
          </w:tcPr>
          <w:p w14:paraId="1161C60C" w14:textId="77777777" w:rsidR="00EB56A0" w:rsidRPr="00807DB0" w:rsidRDefault="00EB56A0">
            <w:pPr>
              <w:rPr>
                <w:rFonts w:ascii="Verdana" w:hAnsi="Verdana" w:cs="Arial"/>
                <w:sz w:val="16"/>
                <w:szCs w:val="16"/>
                <w:lang w:eastAsia="es-CO"/>
              </w:rPr>
            </w:pPr>
          </w:p>
        </w:tc>
        <w:tc>
          <w:tcPr>
            <w:tcW w:w="1679"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6EF780DD" w14:textId="77777777" w:rsidR="00EB56A0" w:rsidRPr="00807DB0" w:rsidRDefault="00EB56A0">
            <w:pPr>
              <w:jc w:val="center"/>
              <w:rPr>
                <w:rFonts w:ascii="Verdana" w:hAnsi="Verdana" w:cs="Arial"/>
                <w:b/>
                <w:bCs/>
                <w:sz w:val="16"/>
                <w:szCs w:val="16"/>
                <w:lang w:eastAsia="es-CO"/>
              </w:rPr>
            </w:pPr>
            <w:r w:rsidRPr="00807DB0">
              <w:rPr>
                <w:rFonts w:ascii="Verdana" w:hAnsi="Verdana" w:cs="Arial"/>
                <w:b/>
                <w:bCs/>
                <w:sz w:val="16"/>
                <w:szCs w:val="16"/>
                <w:lang w:eastAsia="es-CO"/>
              </w:rPr>
              <w:t>RENTABILIDAD SOBRE PATRIMONIO</w:t>
            </w:r>
          </w:p>
        </w:tc>
        <w:tc>
          <w:tcPr>
            <w:tcW w:w="1722"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28179B91" w14:textId="77777777" w:rsidR="00EB56A0" w:rsidRPr="00807DB0" w:rsidRDefault="00EB56A0">
            <w:pPr>
              <w:jc w:val="center"/>
              <w:rPr>
                <w:rFonts w:ascii="Verdana" w:hAnsi="Verdana" w:cs="Arial"/>
                <w:b/>
                <w:bCs/>
                <w:sz w:val="16"/>
                <w:szCs w:val="16"/>
                <w:lang w:eastAsia="es-CO"/>
              </w:rPr>
            </w:pPr>
            <w:r w:rsidRPr="00807DB0">
              <w:rPr>
                <w:rFonts w:ascii="Verdana" w:hAnsi="Verdana" w:cs="Arial"/>
                <w:b/>
                <w:bCs/>
                <w:sz w:val="16"/>
                <w:szCs w:val="16"/>
                <w:lang w:eastAsia="es-CO"/>
              </w:rPr>
              <w:t>RENTABILIDAD SOBRE ACTIVOS</w:t>
            </w:r>
          </w:p>
        </w:tc>
      </w:tr>
      <w:tr w:rsidR="00A81BAA" w:rsidRPr="00807DB0" w14:paraId="79AECC6D" w14:textId="77777777" w:rsidTr="00B00FCB">
        <w:trPr>
          <w:trHeight w:val="300"/>
          <w:tblHeader/>
          <w:jc w:val="center"/>
        </w:trPr>
        <w:tc>
          <w:tcPr>
            <w:tcW w:w="402" w:type="dxa"/>
            <w:tcBorders>
              <w:bottom w:val="single" w:sz="4" w:space="0" w:color="auto"/>
            </w:tcBorders>
            <w:shd w:val="clear" w:color="auto" w:fill="auto"/>
            <w:noWrap/>
            <w:vAlign w:val="bottom"/>
            <w:hideMark/>
          </w:tcPr>
          <w:p w14:paraId="23EB2449" w14:textId="77777777" w:rsidR="00EB56A0" w:rsidRPr="00807DB0" w:rsidRDefault="00EB56A0">
            <w:pPr>
              <w:jc w:val="center"/>
              <w:rPr>
                <w:rFonts w:ascii="Verdana" w:hAnsi="Verdana" w:cs="Arial"/>
                <w:b/>
                <w:bCs/>
                <w:sz w:val="16"/>
                <w:szCs w:val="16"/>
                <w:lang w:eastAsia="es-CO"/>
              </w:rPr>
            </w:pPr>
          </w:p>
        </w:tc>
        <w:tc>
          <w:tcPr>
            <w:tcW w:w="495" w:type="dxa"/>
            <w:tcBorders>
              <w:bottom w:val="single" w:sz="4" w:space="0" w:color="auto"/>
            </w:tcBorders>
            <w:shd w:val="clear" w:color="auto" w:fill="auto"/>
            <w:noWrap/>
            <w:vAlign w:val="bottom"/>
            <w:hideMark/>
          </w:tcPr>
          <w:p w14:paraId="0EDBC423" w14:textId="77777777" w:rsidR="00EB56A0" w:rsidRPr="00807DB0" w:rsidRDefault="00EB56A0">
            <w:pPr>
              <w:rPr>
                <w:rFonts w:ascii="Verdana" w:hAnsi="Verdana" w:cs="Arial"/>
                <w:sz w:val="16"/>
                <w:szCs w:val="16"/>
                <w:lang w:eastAsia="es-CO"/>
              </w:rPr>
            </w:pPr>
          </w:p>
        </w:tc>
        <w:tc>
          <w:tcPr>
            <w:tcW w:w="1679" w:type="dxa"/>
            <w:tcBorders>
              <w:top w:val="single" w:sz="4" w:space="0" w:color="auto"/>
              <w:bottom w:val="single" w:sz="4" w:space="0" w:color="auto"/>
            </w:tcBorders>
            <w:shd w:val="clear" w:color="auto" w:fill="auto"/>
            <w:noWrap/>
            <w:vAlign w:val="bottom"/>
            <w:hideMark/>
          </w:tcPr>
          <w:p w14:paraId="20002E5C" w14:textId="77777777" w:rsidR="00EB56A0" w:rsidRPr="00807DB0" w:rsidRDefault="00EB56A0">
            <w:pPr>
              <w:rPr>
                <w:rFonts w:ascii="Verdana" w:hAnsi="Verdana" w:cs="Arial"/>
                <w:sz w:val="16"/>
                <w:szCs w:val="16"/>
                <w:lang w:eastAsia="es-CO"/>
              </w:rPr>
            </w:pPr>
          </w:p>
        </w:tc>
        <w:tc>
          <w:tcPr>
            <w:tcW w:w="1722" w:type="dxa"/>
            <w:tcBorders>
              <w:top w:val="single" w:sz="4" w:space="0" w:color="auto"/>
              <w:bottom w:val="single" w:sz="4" w:space="0" w:color="auto"/>
            </w:tcBorders>
            <w:shd w:val="clear" w:color="auto" w:fill="auto"/>
            <w:noWrap/>
            <w:vAlign w:val="bottom"/>
            <w:hideMark/>
          </w:tcPr>
          <w:p w14:paraId="41FF4960" w14:textId="77777777" w:rsidR="00EB56A0" w:rsidRPr="00807DB0" w:rsidRDefault="00EB56A0">
            <w:pPr>
              <w:rPr>
                <w:rFonts w:ascii="Verdana" w:hAnsi="Verdana" w:cs="Arial"/>
                <w:sz w:val="16"/>
                <w:szCs w:val="16"/>
                <w:lang w:eastAsia="es-CO"/>
              </w:rPr>
            </w:pPr>
          </w:p>
        </w:tc>
      </w:tr>
      <w:tr w:rsidR="00A81BAA" w:rsidRPr="00807DB0" w14:paraId="246FCDC2" w14:textId="77777777" w:rsidTr="00B00FCB">
        <w:trPr>
          <w:trHeight w:val="300"/>
          <w:tblHeader/>
          <w:jc w:val="center"/>
        </w:trPr>
        <w:tc>
          <w:tcPr>
            <w:tcW w:w="89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568A9" w14:textId="77777777" w:rsidR="00EB56A0" w:rsidRPr="00807DB0" w:rsidRDefault="00EB56A0">
            <w:pPr>
              <w:jc w:val="center"/>
              <w:rPr>
                <w:rFonts w:ascii="Verdana" w:hAnsi="Verdana" w:cs="Arial"/>
                <w:b/>
                <w:bCs/>
                <w:sz w:val="16"/>
                <w:szCs w:val="16"/>
                <w:lang w:eastAsia="es-CO"/>
              </w:rPr>
            </w:pPr>
            <w:r w:rsidRPr="00807DB0">
              <w:rPr>
                <w:rFonts w:ascii="Verdana" w:hAnsi="Verdana" w:cs="Arial"/>
                <w:b/>
                <w:bCs/>
                <w:sz w:val="16"/>
                <w:szCs w:val="16"/>
                <w:lang w:eastAsia="es-CO"/>
              </w:rPr>
              <w:t>Rangos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E700"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Mayor o igual</w:t>
            </w:r>
          </w:p>
        </w:tc>
        <w:tc>
          <w:tcPr>
            <w:tcW w:w="1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6A90A"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Mayor o igual</w:t>
            </w:r>
          </w:p>
        </w:tc>
      </w:tr>
      <w:tr w:rsidR="00A81BAA" w:rsidRPr="00807DB0" w14:paraId="77B1E1D3" w14:textId="77777777" w:rsidTr="00B00FCB">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55F3E" w14:textId="77777777" w:rsidR="00EB56A0" w:rsidRPr="00807DB0" w:rsidRDefault="00EB56A0">
            <w:pPr>
              <w:jc w:val="center"/>
              <w:rPr>
                <w:rFonts w:ascii="Verdana" w:hAnsi="Verdana" w:cs="Arial"/>
                <w:sz w:val="16"/>
                <w:szCs w:val="16"/>
                <w:lang w:eastAsia="es-CO"/>
              </w:rPr>
            </w:pPr>
          </w:p>
        </w:tc>
        <w:tc>
          <w:tcPr>
            <w:tcW w:w="4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93D093" w14:textId="77777777" w:rsidR="00EB56A0" w:rsidRPr="00807DB0" w:rsidRDefault="00EB56A0">
            <w:pPr>
              <w:rPr>
                <w:rFonts w:ascii="Verdana" w:hAnsi="Verdana" w:cs="Arial"/>
                <w:sz w:val="16"/>
                <w:szCs w:val="16"/>
                <w:lang w:eastAsia="es-CO"/>
              </w:rPr>
            </w:pP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56568" w14:textId="77777777" w:rsidR="00EB56A0" w:rsidRPr="00807DB0" w:rsidRDefault="00EB56A0">
            <w:pPr>
              <w:rPr>
                <w:rFonts w:ascii="Verdana" w:hAnsi="Verdana" w:cs="Arial"/>
                <w:sz w:val="16"/>
                <w:szCs w:val="16"/>
                <w:lang w:eastAsia="es-CO"/>
              </w:rPr>
            </w:pPr>
          </w:p>
        </w:tc>
        <w:tc>
          <w:tcPr>
            <w:tcW w:w="17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FFDA2" w14:textId="77777777" w:rsidR="00EB56A0" w:rsidRPr="00807DB0" w:rsidRDefault="00EB56A0">
            <w:pPr>
              <w:rPr>
                <w:rFonts w:ascii="Verdana" w:hAnsi="Verdana" w:cs="Arial"/>
                <w:sz w:val="16"/>
                <w:szCs w:val="16"/>
                <w:lang w:eastAsia="es-CO"/>
              </w:rPr>
            </w:pPr>
          </w:p>
        </w:tc>
      </w:tr>
      <w:tr w:rsidR="00A81BAA" w:rsidRPr="00807DB0" w14:paraId="315371EE" w14:textId="77777777" w:rsidTr="00B00FCB">
        <w:trPr>
          <w:trHeight w:val="300"/>
          <w:jc w:val="center"/>
        </w:trPr>
        <w:tc>
          <w:tcPr>
            <w:tcW w:w="89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161C6"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Rango 1</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0D38D"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0,02</w:t>
            </w:r>
          </w:p>
        </w:tc>
        <w:tc>
          <w:tcPr>
            <w:tcW w:w="1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0B458"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0,01</w:t>
            </w:r>
          </w:p>
        </w:tc>
      </w:tr>
      <w:tr w:rsidR="00A81BAA" w:rsidRPr="00807DB0" w14:paraId="0BE70180" w14:textId="77777777" w:rsidTr="00B00FCB">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688C2" w14:textId="77777777" w:rsidR="00EB56A0" w:rsidRPr="00807DB0" w:rsidRDefault="00EB56A0">
            <w:pPr>
              <w:jc w:val="center"/>
              <w:rPr>
                <w:rFonts w:ascii="Verdana" w:hAnsi="Verdana" w:cs="Arial"/>
                <w:sz w:val="16"/>
                <w:szCs w:val="16"/>
                <w:lang w:eastAsia="es-CO"/>
              </w:rPr>
            </w:pPr>
          </w:p>
        </w:tc>
        <w:tc>
          <w:tcPr>
            <w:tcW w:w="4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95763" w14:textId="77777777" w:rsidR="00EB56A0" w:rsidRPr="00807DB0" w:rsidRDefault="00EB56A0">
            <w:pPr>
              <w:rPr>
                <w:rFonts w:ascii="Verdana" w:hAnsi="Verdana" w:cs="Arial"/>
                <w:sz w:val="16"/>
                <w:szCs w:val="16"/>
                <w:lang w:eastAsia="es-CO"/>
              </w:rPr>
            </w:pP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A53CB" w14:textId="77777777" w:rsidR="00EB56A0" w:rsidRPr="00807DB0" w:rsidRDefault="00EB56A0">
            <w:pPr>
              <w:jc w:val="center"/>
              <w:rPr>
                <w:rFonts w:ascii="Verdana" w:hAnsi="Verdana" w:cs="Arial"/>
                <w:sz w:val="16"/>
                <w:szCs w:val="16"/>
                <w:lang w:eastAsia="es-CO"/>
              </w:rPr>
            </w:pPr>
          </w:p>
        </w:tc>
        <w:tc>
          <w:tcPr>
            <w:tcW w:w="1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D82FC" w14:textId="77777777" w:rsidR="00EB56A0" w:rsidRPr="00807DB0" w:rsidRDefault="00EB56A0">
            <w:pPr>
              <w:jc w:val="center"/>
              <w:rPr>
                <w:rFonts w:ascii="Verdana" w:hAnsi="Verdana" w:cs="Arial"/>
                <w:sz w:val="16"/>
                <w:szCs w:val="16"/>
                <w:lang w:eastAsia="es-CO"/>
              </w:rPr>
            </w:pPr>
          </w:p>
        </w:tc>
      </w:tr>
      <w:tr w:rsidR="00A81BAA" w:rsidRPr="00807DB0" w14:paraId="2EB8191A" w14:textId="77777777" w:rsidTr="00B00FCB">
        <w:trPr>
          <w:trHeight w:val="300"/>
          <w:jc w:val="center"/>
        </w:trPr>
        <w:tc>
          <w:tcPr>
            <w:tcW w:w="89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13A08" w14:textId="77777777"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Rango 2</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C1707" w14:textId="774E02B6"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0,0</w:t>
            </w:r>
            <w:r w:rsidR="0029674B">
              <w:rPr>
                <w:rFonts w:ascii="Verdana" w:hAnsi="Verdana" w:cs="Arial"/>
                <w:sz w:val="16"/>
                <w:szCs w:val="16"/>
                <w:lang w:eastAsia="es-CO"/>
              </w:rPr>
              <w:t>2</w:t>
            </w:r>
          </w:p>
        </w:tc>
        <w:tc>
          <w:tcPr>
            <w:tcW w:w="1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C4461" w14:textId="6AA8ABC6" w:rsidR="00EB56A0" w:rsidRPr="00807DB0" w:rsidRDefault="00EB56A0">
            <w:pPr>
              <w:jc w:val="center"/>
              <w:rPr>
                <w:rFonts w:ascii="Verdana" w:hAnsi="Verdana" w:cs="Arial"/>
                <w:sz w:val="16"/>
                <w:szCs w:val="16"/>
                <w:lang w:eastAsia="es-CO"/>
              </w:rPr>
            </w:pPr>
            <w:r w:rsidRPr="00807DB0">
              <w:rPr>
                <w:rFonts w:ascii="Verdana" w:hAnsi="Verdana" w:cs="Arial"/>
                <w:sz w:val="16"/>
                <w:szCs w:val="16"/>
                <w:lang w:eastAsia="es-CO"/>
              </w:rPr>
              <w:t>0,0</w:t>
            </w:r>
            <w:r w:rsidR="0029674B">
              <w:rPr>
                <w:rFonts w:ascii="Verdana" w:hAnsi="Verdana" w:cs="Arial"/>
                <w:sz w:val="16"/>
                <w:szCs w:val="16"/>
                <w:lang w:eastAsia="es-CO"/>
              </w:rPr>
              <w:t>1</w:t>
            </w:r>
          </w:p>
        </w:tc>
      </w:tr>
      <w:tr w:rsidR="00A81BAA" w:rsidRPr="00807DB0" w14:paraId="351D10FF" w14:textId="77777777" w:rsidTr="00B00FCB">
        <w:trPr>
          <w:trHeight w:val="300"/>
          <w:jc w:val="center"/>
        </w:trPr>
        <w:tc>
          <w:tcPr>
            <w:tcW w:w="402" w:type="dxa"/>
            <w:tcBorders>
              <w:top w:val="single" w:sz="4" w:space="0" w:color="auto"/>
            </w:tcBorders>
            <w:shd w:val="clear" w:color="auto" w:fill="auto"/>
            <w:noWrap/>
            <w:vAlign w:val="bottom"/>
            <w:hideMark/>
          </w:tcPr>
          <w:p w14:paraId="67A7C872" w14:textId="77777777" w:rsidR="00EB56A0" w:rsidRPr="00807DB0" w:rsidRDefault="00EB56A0">
            <w:pPr>
              <w:jc w:val="center"/>
              <w:rPr>
                <w:rFonts w:ascii="Verdana" w:hAnsi="Verdana" w:cs="Arial"/>
                <w:sz w:val="16"/>
                <w:szCs w:val="16"/>
                <w:lang w:eastAsia="es-CO"/>
              </w:rPr>
            </w:pPr>
          </w:p>
        </w:tc>
        <w:tc>
          <w:tcPr>
            <w:tcW w:w="495" w:type="dxa"/>
            <w:tcBorders>
              <w:top w:val="single" w:sz="4" w:space="0" w:color="auto"/>
            </w:tcBorders>
            <w:shd w:val="clear" w:color="auto" w:fill="auto"/>
            <w:noWrap/>
            <w:vAlign w:val="bottom"/>
            <w:hideMark/>
          </w:tcPr>
          <w:p w14:paraId="2AC19AA0" w14:textId="77777777" w:rsidR="00EB56A0" w:rsidRPr="00807DB0" w:rsidRDefault="00EB56A0">
            <w:pPr>
              <w:rPr>
                <w:rFonts w:ascii="Verdana" w:hAnsi="Verdana" w:cs="Arial"/>
                <w:sz w:val="16"/>
                <w:szCs w:val="16"/>
                <w:lang w:eastAsia="es-CO"/>
              </w:rPr>
            </w:pPr>
          </w:p>
        </w:tc>
        <w:tc>
          <w:tcPr>
            <w:tcW w:w="1679" w:type="dxa"/>
            <w:tcBorders>
              <w:top w:val="single" w:sz="4" w:space="0" w:color="auto"/>
            </w:tcBorders>
            <w:shd w:val="clear" w:color="auto" w:fill="auto"/>
            <w:noWrap/>
            <w:vAlign w:val="center"/>
            <w:hideMark/>
          </w:tcPr>
          <w:p w14:paraId="6055C477" w14:textId="77777777" w:rsidR="00EB56A0" w:rsidRPr="00807DB0" w:rsidRDefault="00EB56A0">
            <w:pPr>
              <w:jc w:val="center"/>
              <w:rPr>
                <w:rFonts w:ascii="Verdana" w:hAnsi="Verdana" w:cs="Arial"/>
                <w:sz w:val="16"/>
                <w:szCs w:val="16"/>
                <w:lang w:eastAsia="es-CO"/>
              </w:rPr>
            </w:pPr>
          </w:p>
        </w:tc>
        <w:tc>
          <w:tcPr>
            <w:tcW w:w="1722" w:type="dxa"/>
            <w:tcBorders>
              <w:top w:val="single" w:sz="4" w:space="0" w:color="auto"/>
            </w:tcBorders>
            <w:shd w:val="clear" w:color="auto" w:fill="auto"/>
            <w:noWrap/>
            <w:vAlign w:val="center"/>
            <w:hideMark/>
          </w:tcPr>
          <w:p w14:paraId="555EE8FD" w14:textId="77777777" w:rsidR="00EB56A0" w:rsidRPr="00807DB0" w:rsidRDefault="00EB56A0">
            <w:pPr>
              <w:jc w:val="center"/>
              <w:rPr>
                <w:rFonts w:ascii="Verdana" w:hAnsi="Verdana" w:cs="Arial"/>
                <w:sz w:val="16"/>
                <w:szCs w:val="16"/>
                <w:lang w:eastAsia="es-CO"/>
              </w:rPr>
            </w:pPr>
          </w:p>
        </w:tc>
      </w:tr>
    </w:tbl>
    <w:p w14:paraId="0D30F95D" w14:textId="5902B8BD" w:rsidR="007841BC" w:rsidRPr="007841BC" w:rsidRDefault="007841BC" w:rsidP="007841BC">
      <w:pPr>
        <w:jc w:val="center"/>
        <w:rPr>
          <w:rFonts w:ascii="Verdana" w:hAnsi="Verdana" w:cs="Arial"/>
          <w:sz w:val="16"/>
          <w:szCs w:val="16"/>
          <w:lang w:val="es-MX"/>
        </w:rPr>
      </w:pPr>
      <w:r w:rsidRPr="007841BC">
        <w:rPr>
          <w:rFonts w:ascii="Verdana" w:hAnsi="Verdana" w:cs="Arial"/>
          <w:sz w:val="16"/>
          <w:szCs w:val="16"/>
          <w:lang w:val="es-MX"/>
        </w:rPr>
        <w:t>Elaboración propia</w:t>
      </w:r>
    </w:p>
    <w:p w14:paraId="7FEB2DFA" w14:textId="77777777" w:rsidR="007841BC" w:rsidRDefault="007841BC" w:rsidP="00EB56A0">
      <w:pPr>
        <w:pStyle w:val="Prrafodelista"/>
        <w:ind w:left="360"/>
        <w:rPr>
          <w:rFonts w:ascii="Verdana" w:hAnsi="Verdana" w:cs="Arial"/>
          <w:lang w:val="es-MX"/>
        </w:rPr>
      </w:pPr>
    </w:p>
    <w:p w14:paraId="26D07AF9" w14:textId="38967AA0" w:rsidR="00EB56A0" w:rsidRPr="00A622B4" w:rsidRDefault="00EB56A0" w:rsidP="00B00FCB">
      <w:pPr>
        <w:pStyle w:val="Prrafodelista"/>
        <w:ind w:left="0"/>
        <w:rPr>
          <w:rFonts w:ascii="Verdana" w:hAnsi="Verdana" w:cs="Arial"/>
          <w:lang w:val="es-419"/>
        </w:rPr>
      </w:pPr>
      <w:r w:rsidRPr="00A81BAA">
        <w:rPr>
          <w:rFonts w:ascii="Verdana" w:hAnsi="Verdana" w:cs="Arial"/>
          <w:lang w:val="es-MX"/>
        </w:rPr>
        <w:t xml:space="preserve">Es importante resaltar que la flexibilización de los anteriores indicadores no solo tendría un impacto positivo en pro de la participación de las empresas categorizadas como MiPymes en los procesos de selección para la adquisición de servicios de obra para infraestructura de transporte, sino que también incrementaría la cantidad de empresas del sector que de forma general cumpliría con los requisitos habilitantes de capacidad financiera y organizacional, lo anterior, teniendo en cuenta la regla establecida en el pliego tipo con relación a las estructuras plurales la cual señala que: </w:t>
      </w:r>
      <w:r w:rsidRPr="00A81BAA">
        <w:rPr>
          <w:rFonts w:ascii="Verdana" w:hAnsi="Verdana" w:cs="Arial"/>
          <w:i/>
          <w:iCs/>
          <w:lang w:val="es-MX"/>
        </w:rPr>
        <w:t>“</w:t>
      </w:r>
      <w:r w:rsidRPr="00A81BAA">
        <w:rPr>
          <w:rFonts w:ascii="Verdana" w:hAnsi="Verdana" w:cs="Arial"/>
          <w:i/>
          <w:iCs/>
          <w:lang w:val="es-419"/>
        </w:rPr>
        <w:t xml:space="preserve">Tratándose de Proponente Plurales estos indicadores solo se aplicarán si por lo menos uno de los integrantes acredita la calidad de Mipyme de conformidad con el artículo 2.2.1.2.4.2.4 del Decreto 1082 de 2015, o la normas que los modifiquen, sustituyan o complementen, y tienen una participación igual o superior al diez por </w:t>
      </w:r>
      <w:r w:rsidRPr="00A622B4">
        <w:rPr>
          <w:rFonts w:ascii="Verdana" w:hAnsi="Verdana" w:cs="Arial"/>
          <w:i/>
          <w:iCs/>
          <w:lang w:val="es-419"/>
        </w:rPr>
        <w:t>ciento (10 %) en el consorcio o en la unión temporal”.</w:t>
      </w:r>
    </w:p>
    <w:p w14:paraId="1A0A4444" w14:textId="6E16415D" w:rsidR="000A6BB8" w:rsidRPr="00A622B4" w:rsidRDefault="00B4257B" w:rsidP="00E42FDE">
      <w:pPr>
        <w:pStyle w:val="Ttulo2"/>
        <w:numPr>
          <w:ilvl w:val="0"/>
          <w:numId w:val="47"/>
        </w:numPr>
        <w:jc w:val="both"/>
        <w:rPr>
          <w:rFonts w:ascii="Verdana" w:hAnsi="Verdana" w:cs="Arial"/>
          <w:color w:val="auto"/>
          <w:szCs w:val="22"/>
        </w:rPr>
      </w:pPr>
      <w:bookmarkStart w:id="78" w:name="_Toc196716375"/>
      <w:r w:rsidRPr="00A622B4">
        <w:rPr>
          <w:rFonts w:ascii="Verdana" w:hAnsi="Verdana" w:cs="Arial"/>
          <w:color w:val="auto"/>
          <w:szCs w:val="22"/>
        </w:rPr>
        <w:t>Criterios escogidos como requisitos habilitantes diferenciales en favor de los emprendimientos y empresas de mujeres (Experiencia / Financieros / jurídicos)</w:t>
      </w:r>
      <w:bookmarkEnd w:id="78"/>
    </w:p>
    <w:p w14:paraId="4DA6F1C8" w14:textId="77777777" w:rsidR="000A6BB8" w:rsidRPr="00A622B4" w:rsidRDefault="000A6BB8" w:rsidP="000A6BB8">
      <w:pPr>
        <w:rPr>
          <w:rFonts w:ascii="Verdana" w:hAnsi="Verdana" w:cs="Arial"/>
          <w:sz w:val="22"/>
          <w:szCs w:val="22"/>
        </w:rPr>
      </w:pPr>
    </w:p>
    <w:p w14:paraId="64A8FCC8" w14:textId="7A4F31EF" w:rsidR="00180C71" w:rsidRPr="00B00FCB" w:rsidRDefault="00180C71" w:rsidP="00180C71">
      <w:pPr>
        <w:pStyle w:val="Normal0"/>
        <w:spacing w:after="0"/>
        <w:contextualSpacing/>
        <w:rPr>
          <w:rFonts w:ascii="Verdana" w:eastAsia="Times New Roman" w:hAnsi="Verdana" w:cs="Arial"/>
          <w:b/>
          <w:lang w:val="es-CO" w:eastAsia="es-MX"/>
        </w:rPr>
      </w:pPr>
      <w:r w:rsidRPr="00B00FCB">
        <w:rPr>
          <w:rFonts w:ascii="Verdana" w:eastAsia="Times New Roman" w:hAnsi="Verdana" w:cs="Arial"/>
          <w:b/>
          <w:lang w:val="es-CO" w:eastAsia="es-MX"/>
        </w:rPr>
        <w:t>Experiencia</w:t>
      </w:r>
    </w:p>
    <w:p w14:paraId="41F65ECC" w14:textId="77777777" w:rsidR="00180C71" w:rsidRPr="00B00FCB" w:rsidRDefault="00180C71" w:rsidP="00180C71">
      <w:pPr>
        <w:pStyle w:val="Normal0"/>
        <w:spacing w:after="0"/>
        <w:contextualSpacing/>
        <w:rPr>
          <w:rFonts w:ascii="Verdana" w:hAnsi="Verdana" w:cs="Arial"/>
        </w:rPr>
      </w:pPr>
    </w:p>
    <w:p w14:paraId="239F7F4B" w14:textId="77777777" w:rsidR="00180C71" w:rsidRPr="00B00FCB" w:rsidRDefault="00180C71" w:rsidP="00180C71">
      <w:pPr>
        <w:pStyle w:val="Normal0"/>
        <w:spacing w:after="0"/>
        <w:contextualSpacing/>
        <w:rPr>
          <w:rFonts w:ascii="Verdana" w:hAnsi="Verdana" w:cs="Arial"/>
        </w:rPr>
      </w:pPr>
      <w:r w:rsidRPr="00B00FCB">
        <w:rPr>
          <w:rFonts w:ascii="Verdana" w:hAnsi="Verdana" w:cs="Arial"/>
        </w:rPr>
        <w:t xml:space="preserve">Si bien el artículo 32 de la Ley 2069 de 2020 dispone el deber de las Entidades Estatales de incluir, de acuerdo con el resultado del análisis del sector, requisitos habilitantes y puntajes adicionales como medidas de acción afirmativa para incentivar los </w:t>
      </w:r>
      <w:r w:rsidRPr="00B00FCB">
        <w:rPr>
          <w:rFonts w:ascii="Verdana" w:hAnsi="Verdana" w:cs="Arial"/>
        </w:rPr>
        <w:lastRenderedPageBreak/>
        <w:t xml:space="preserve">emprendimientos y empresas de mujeres en el sistema de compras públicas y que, el artículo 2.2.1.2.4.2.15 del Decreto 1082 de 2015, modificado por el artículo 3 del Decreto 1860 de 2021, reglamentó los criterios diferenciales a favor de los emprendimientos y empresas de mujeres y señaló que los documentos del proceso deberían incorporar requisitos habilitantes diferenciales relacionados con alguno o algunos de los siguientes aspectos: 1) tiempo de experiencia; 2) número de contratos para la acreditación de la experiencia; 3) índices de capacidad financiera; 4) índices de capacidad organizacional y 5) valor de la garantía de seriedad de la oferta. Al igual que en el caso de los criterios diferenciales a favor de las Mipyme, respecto de los emprendimientos y empresas de mujeres, las Entidades Estatales podrán escoger alguno o algunos de los cinco (5) criterios enunciados, sin que sea obligatorio hacer uso de todos. Asimismo, se resalta del citado artículo, que en su inciso primero consagra que los factores se incluirán de acuerdo con el estudio del sector que se realice. </w:t>
      </w:r>
    </w:p>
    <w:p w14:paraId="38E32927" w14:textId="77777777" w:rsidR="00180C71" w:rsidRPr="00B00FCB" w:rsidRDefault="00180C71" w:rsidP="00180C71">
      <w:pPr>
        <w:pStyle w:val="Normal0"/>
        <w:spacing w:after="0"/>
        <w:contextualSpacing/>
        <w:rPr>
          <w:rFonts w:ascii="Verdana" w:hAnsi="Verdana" w:cs="Arial"/>
        </w:rPr>
      </w:pPr>
    </w:p>
    <w:p w14:paraId="7DAE8CE3" w14:textId="77777777" w:rsidR="00180C71" w:rsidRPr="00B00FCB" w:rsidRDefault="00180C71" w:rsidP="00180C71">
      <w:pPr>
        <w:jc w:val="both"/>
        <w:rPr>
          <w:rFonts w:ascii="Verdana" w:eastAsia="Calibri" w:hAnsi="Verdana" w:cs="Arial"/>
          <w:sz w:val="22"/>
          <w:szCs w:val="22"/>
          <w:lang w:val="es-ES" w:eastAsia="es-CO"/>
        </w:rPr>
      </w:pPr>
      <w:r w:rsidRPr="00B00FCB">
        <w:rPr>
          <w:rFonts w:ascii="Verdana" w:eastAsia="Calibri" w:hAnsi="Verdana" w:cs="Arial"/>
          <w:sz w:val="22"/>
          <w:szCs w:val="22"/>
          <w:lang w:val="es-ES" w:eastAsia="es-CO"/>
        </w:rPr>
        <w:t xml:space="preserve">En tal sentido, la Agencia al igual que para las Mipymes decidió mantener los criterios diferenciales a favor de Emprendimiento y Empresas de Mujeres relacionados con el número de contratos para acreditarla, Tal como se indicó en el numeral anterior, para las Mipyme, al incluir condiciones más flexibles para acreditar la experiencia de los emprendimientos y empresas de mujeres, se garantiza una mayor pluralidad de oferentes que ostentan tal calidad al tiempo que la Entidad Estatal asegura que tiene la idoneidad para ejecutar el objeto a contratar. </w:t>
      </w:r>
    </w:p>
    <w:p w14:paraId="2C5FEADC" w14:textId="77777777" w:rsidR="00180C71" w:rsidRPr="00B00FCB" w:rsidRDefault="00180C71" w:rsidP="00180C71">
      <w:pPr>
        <w:jc w:val="both"/>
        <w:rPr>
          <w:rFonts w:ascii="Verdana" w:eastAsia="Calibri" w:hAnsi="Verdana" w:cs="Arial"/>
          <w:sz w:val="22"/>
          <w:szCs w:val="22"/>
          <w:lang w:val="es-ES" w:eastAsia="es-CO"/>
        </w:rPr>
      </w:pPr>
    </w:p>
    <w:p w14:paraId="76C1C047" w14:textId="77777777" w:rsidR="00180C71" w:rsidRPr="00B00FCB" w:rsidRDefault="00180C71" w:rsidP="00180C71">
      <w:pPr>
        <w:jc w:val="both"/>
        <w:rPr>
          <w:rFonts w:ascii="Verdana" w:eastAsia="Calibri" w:hAnsi="Verdana" w:cs="Arial"/>
          <w:sz w:val="22"/>
          <w:szCs w:val="22"/>
          <w:lang w:val="es-ES" w:eastAsia="es-CO"/>
        </w:rPr>
      </w:pPr>
      <w:r w:rsidRPr="00B00FCB">
        <w:rPr>
          <w:rFonts w:ascii="Verdana" w:eastAsia="Calibri" w:hAnsi="Verdana" w:cs="Arial"/>
          <w:sz w:val="22"/>
          <w:szCs w:val="22"/>
          <w:lang w:val="es-ES" w:eastAsia="es-CO"/>
        </w:rPr>
        <w:t xml:space="preserve">Mantener el criterio que establece, que para el proponente que acredite la calidad de emprendimiento y empresa de mujer con domicilio en el territorio nacional podrá probar la experiencia solicitada con un (1) contrato adicional a los cinco (5) inicialmente previstos, para un máximo de seis (6) contratos, se considera a juicio de esta Agencia, como un aspecto objetivo, proporcional y razonable, en la medida que se pretende que más proponentes con esta condición puedan habilitarse en procesos de selección, a la vez que hace más exigente cumplir con el requisito para los demás proponentes dado que los emprendimientos y empresas de mujeres podrán aportar un número mayor de contratos. </w:t>
      </w:r>
    </w:p>
    <w:p w14:paraId="01FA5324" w14:textId="77777777" w:rsidR="00180C71" w:rsidRPr="00B00FCB" w:rsidRDefault="00180C71" w:rsidP="00180C71">
      <w:pPr>
        <w:jc w:val="both"/>
        <w:rPr>
          <w:rFonts w:ascii="Verdana" w:eastAsia="Calibri" w:hAnsi="Verdana" w:cs="Arial"/>
          <w:sz w:val="22"/>
          <w:szCs w:val="22"/>
          <w:lang w:val="es-ES" w:eastAsia="es-CO"/>
        </w:rPr>
      </w:pPr>
    </w:p>
    <w:p w14:paraId="7B543C8E" w14:textId="77777777" w:rsidR="00180C71" w:rsidRPr="00B00FCB" w:rsidRDefault="00180C71" w:rsidP="00180C71">
      <w:pPr>
        <w:jc w:val="both"/>
        <w:rPr>
          <w:rFonts w:ascii="Verdana" w:eastAsia="Calibri" w:hAnsi="Verdana" w:cs="Arial"/>
          <w:sz w:val="22"/>
          <w:szCs w:val="22"/>
          <w:lang w:val="es-ES" w:eastAsia="es-CO"/>
        </w:rPr>
      </w:pPr>
      <w:r w:rsidRPr="00B00FCB">
        <w:rPr>
          <w:rFonts w:ascii="Verdana" w:eastAsia="Calibri" w:hAnsi="Verdana" w:cs="Arial"/>
          <w:sz w:val="22"/>
          <w:szCs w:val="22"/>
          <w:lang w:val="es-ES" w:eastAsia="es-CO"/>
        </w:rPr>
        <w:t>De esta forma, se mantiene la consideración en la que se pretende evitar que queden excluidos aquellos proponentes que teniendo la experiencia necesaria no pueden participar en el proceso de selección, debido a que dicha experiencia solo es posible acreditarla con un número mayor a los cinco (5) contratos permitidos en los documentos tipo.</w:t>
      </w:r>
    </w:p>
    <w:p w14:paraId="41B4B8DD" w14:textId="77777777" w:rsidR="002E4EF6" w:rsidRPr="00B00FCB" w:rsidRDefault="002E4EF6" w:rsidP="00180C71">
      <w:pPr>
        <w:jc w:val="both"/>
        <w:rPr>
          <w:rFonts w:ascii="Verdana" w:eastAsia="Calibri" w:hAnsi="Verdana" w:cs="Arial"/>
          <w:sz w:val="22"/>
          <w:szCs w:val="22"/>
          <w:lang w:val="es-ES" w:eastAsia="es-CO"/>
        </w:rPr>
      </w:pPr>
    </w:p>
    <w:p w14:paraId="49CE8706" w14:textId="77777777" w:rsidR="002E4EF6" w:rsidRPr="00B00FCB" w:rsidRDefault="002E4EF6" w:rsidP="002E4EF6">
      <w:pPr>
        <w:jc w:val="both"/>
        <w:rPr>
          <w:rFonts w:ascii="Verdana" w:hAnsi="Verdana" w:cs="Arial"/>
          <w:b/>
          <w:sz w:val="22"/>
          <w:szCs w:val="22"/>
        </w:rPr>
      </w:pPr>
      <w:r w:rsidRPr="00B00FCB">
        <w:rPr>
          <w:rFonts w:ascii="Verdana" w:hAnsi="Verdana" w:cs="Arial"/>
          <w:b/>
          <w:sz w:val="22"/>
          <w:szCs w:val="22"/>
        </w:rPr>
        <w:t>Financieros</w:t>
      </w:r>
    </w:p>
    <w:p w14:paraId="131EC900" w14:textId="77777777" w:rsidR="002E4EF6" w:rsidRPr="00B00FCB" w:rsidRDefault="002E4EF6" w:rsidP="002E4EF6">
      <w:pPr>
        <w:rPr>
          <w:rFonts w:ascii="Verdana" w:eastAsia="Calibri" w:hAnsi="Verdana" w:cs="Arial"/>
          <w:sz w:val="22"/>
          <w:szCs w:val="22"/>
        </w:rPr>
      </w:pPr>
    </w:p>
    <w:p w14:paraId="1F11B3FB" w14:textId="77777777" w:rsidR="002E4EF6" w:rsidRPr="00B00FCB" w:rsidRDefault="002E4EF6" w:rsidP="002E4EF6">
      <w:pPr>
        <w:jc w:val="both"/>
        <w:rPr>
          <w:rFonts w:ascii="Verdana" w:eastAsia="Calibri" w:hAnsi="Verdana" w:cs="Arial"/>
          <w:sz w:val="22"/>
          <w:szCs w:val="22"/>
        </w:rPr>
      </w:pPr>
      <w:r w:rsidRPr="00B00FCB">
        <w:rPr>
          <w:rFonts w:ascii="Verdana" w:eastAsia="Calibri" w:hAnsi="Verdana" w:cs="Arial"/>
          <w:sz w:val="22"/>
          <w:szCs w:val="22"/>
        </w:rPr>
        <w:t>Toda vez que no se cuenta con información que permita caracterizar y ponderar la participación de este tipo de población dentro del universo de empresas que sustentaron el análisis financiero, no se considera viable la inclusión de criterios diferenciales en el componente financiero en favor de este grupo poblacional.</w:t>
      </w:r>
    </w:p>
    <w:p w14:paraId="450DE58A" w14:textId="77777777" w:rsidR="002E4EF6" w:rsidRPr="00B00FCB" w:rsidRDefault="002E4EF6" w:rsidP="00180C71">
      <w:pPr>
        <w:jc w:val="both"/>
        <w:rPr>
          <w:rFonts w:ascii="Verdana" w:eastAsia="Calibri" w:hAnsi="Verdana" w:cs="Arial"/>
          <w:sz w:val="22"/>
          <w:szCs w:val="22"/>
          <w:lang w:eastAsia="es-CO"/>
        </w:rPr>
      </w:pPr>
    </w:p>
    <w:p w14:paraId="2D669A9E" w14:textId="195236E1" w:rsidR="00780766" w:rsidRPr="00B00FCB" w:rsidRDefault="00780766" w:rsidP="00E42FDE">
      <w:pPr>
        <w:pStyle w:val="Ttulo2"/>
        <w:numPr>
          <w:ilvl w:val="0"/>
          <w:numId w:val="47"/>
        </w:numPr>
        <w:spacing w:before="0" w:after="0"/>
        <w:contextualSpacing/>
        <w:jc w:val="both"/>
        <w:rPr>
          <w:rFonts w:ascii="Verdana" w:hAnsi="Verdana" w:cs="Arial"/>
          <w:color w:val="auto"/>
        </w:rPr>
      </w:pPr>
      <w:bookmarkStart w:id="79" w:name="_Toc196716376"/>
      <w:r w:rsidRPr="00B00FCB">
        <w:rPr>
          <w:rFonts w:ascii="Verdana" w:hAnsi="Verdana" w:cs="Arial"/>
          <w:color w:val="auto"/>
        </w:rPr>
        <w:t>Justificación de la incorporación de puntajes adicionales en favor de las Mipyme, emprendimientos y</w:t>
      </w:r>
      <w:r w:rsidRPr="00B00FCB">
        <w:rPr>
          <w:rFonts w:ascii="Verdana" w:eastAsia="Calibri" w:hAnsi="Verdana" w:cs="Arial"/>
          <w:color w:val="auto"/>
        </w:rPr>
        <w:t xml:space="preserve"> empresas de mujeres</w:t>
      </w:r>
      <w:bookmarkEnd w:id="79"/>
    </w:p>
    <w:p w14:paraId="5446672E" w14:textId="77777777" w:rsidR="00780766" w:rsidRPr="00B00FCB" w:rsidRDefault="00780766" w:rsidP="00780766">
      <w:pPr>
        <w:pStyle w:val="Normal0"/>
        <w:spacing w:after="0"/>
        <w:contextualSpacing/>
        <w:rPr>
          <w:rFonts w:ascii="Verdana" w:hAnsi="Verdana" w:cs="Arial"/>
        </w:rPr>
      </w:pPr>
    </w:p>
    <w:p w14:paraId="2BF12A00" w14:textId="77777777" w:rsidR="00780766" w:rsidRPr="00B00FCB" w:rsidRDefault="00780766" w:rsidP="00780766">
      <w:pPr>
        <w:pStyle w:val="Normal0"/>
        <w:spacing w:after="0"/>
        <w:contextualSpacing/>
        <w:rPr>
          <w:rFonts w:ascii="Verdana" w:hAnsi="Verdana" w:cs="Arial"/>
        </w:rPr>
      </w:pPr>
      <w:r w:rsidRPr="00B00FCB">
        <w:rPr>
          <w:rFonts w:ascii="Verdana" w:hAnsi="Verdana" w:cs="Arial"/>
        </w:rPr>
        <w:t xml:space="preserve">El Decreto 1860 de 2021 que modifica el Decreto 1082 de 2015 reglamenta los puntajes adicionales, al señalar que teniendo en cuenta los criterios de clasificación empresarial, podrán establecerse puntajes adicionales para las Mipyme y emprendimientos y empresas de mujeres, los cuales no podrán superar el cero coma veinticinco por ciento (0,25%) del total de los puntos establecidos en el pliego de condiciones. </w:t>
      </w:r>
    </w:p>
    <w:p w14:paraId="5DE5171E" w14:textId="77777777" w:rsidR="00780766" w:rsidRPr="00B00FCB" w:rsidRDefault="00780766" w:rsidP="00780766">
      <w:pPr>
        <w:pStyle w:val="Normal0"/>
        <w:spacing w:after="0"/>
        <w:contextualSpacing/>
        <w:rPr>
          <w:rFonts w:ascii="Verdana" w:hAnsi="Verdana" w:cs="Arial"/>
        </w:rPr>
      </w:pPr>
    </w:p>
    <w:p w14:paraId="38B4C0ED" w14:textId="77777777" w:rsidR="00780766" w:rsidRPr="00B00FCB" w:rsidRDefault="00780766" w:rsidP="00780766">
      <w:pPr>
        <w:pStyle w:val="Normal0"/>
        <w:spacing w:after="0"/>
        <w:contextualSpacing/>
        <w:rPr>
          <w:rFonts w:ascii="Verdana" w:hAnsi="Verdana" w:cs="Arial"/>
        </w:rPr>
      </w:pPr>
    </w:p>
    <w:p w14:paraId="095A1493" w14:textId="77777777" w:rsidR="00780766" w:rsidRPr="00B00FCB" w:rsidRDefault="00780766" w:rsidP="00780766">
      <w:pPr>
        <w:pStyle w:val="Normal0"/>
        <w:spacing w:after="0"/>
        <w:contextualSpacing/>
        <w:rPr>
          <w:rFonts w:ascii="Verdana" w:hAnsi="Verdana" w:cs="Arial"/>
        </w:rPr>
      </w:pPr>
      <w:r w:rsidRPr="00B00FCB">
        <w:rPr>
          <w:rFonts w:ascii="Verdana" w:hAnsi="Verdana" w:cs="Arial"/>
        </w:rPr>
        <w:t>Bajo tal consideración, a continuación, se presentan la distribución del puntaje para las modalidades que se modifican actualmente de infraestructura de Transporte, de manera comparativa con la anterior versión en donde se puede ver, que los puntajes para los factores de Mipymes y empresas y Emprendimientos de Mujeres se mantienen.</w:t>
      </w:r>
    </w:p>
    <w:p w14:paraId="5FD40206" w14:textId="77777777" w:rsidR="00780766" w:rsidRPr="00B00FCB" w:rsidRDefault="00780766" w:rsidP="00780766">
      <w:pPr>
        <w:pStyle w:val="Normal0"/>
        <w:spacing w:after="0"/>
        <w:contextualSpacing/>
        <w:rPr>
          <w:rFonts w:ascii="Verdana" w:hAnsi="Verdana" w:cs="Arial"/>
        </w:rPr>
      </w:pPr>
    </w:p>
    <w:p w14:paraId="5351813C" w14:textId="4A0CBD16" w:rsidR="00EF1832" w:rsidRPr="00B00FCB" w:rsidRDefault="00EF1832" w:rsidP="00EF1832">
      <w:pPr>
        <w:pStyle w:val="Descripcin"/>
        <w:rPr>
          <w:rFonts w:ascii="Verdana" w:hAnsi="Verdana" w:cs="Arial"/>
          <w:sz w:val="22"/>
          <w:szCs w:val="22"/>
        </w:rPr>
      </w:pPr>
      <w:bookmarkStart w:id="80" w:name="_Toc180136840"/>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24</w:t>
      </w:r>
      <w:r w:rsidRPr="00B00FCB">
        <w:rPr>
          <w:rFonts w:ascii="Verdana" w:hAnsi="Verdana"/>
          <w:sz w:val="22"/>
          <w:szCs w:val="22"/>
        </w:rPr>
        <w:fldChar w:fldCharType="end"/>
      </w:r>
      <w:r w:rsidRPr="00B00FCB">
        <w:rPr>
          <w:rFonts w:ascii="Verdana" w:hAnsi="Verdana"/>
          <w:sz w:val="22"/>
          <w:szCs w:val="22"/>
        </w:rPr>
        <w:t>. Ponderación Modalidad Licitación Pública</w:t>
      </w:r>
      <w:bookmarkEnd w:id="80"/>
    </w:p>
    <w:p w14:paraId="3CE027F1" w14:textId="7EF787A1" w:rsidR="00780766" w:rsidRPr="00B00FCB" w:rsidRDefault="00A13D90" w:rsidP="00780766">
      <w:pPr>
        <w:pStyle w:val="Normal0"/>
        <w:spacing w:after="0"/>
        <w:contextualSpacing/>
        <w:rPr>
          <w:rFonts w:ascii="Verdana" w:hAnsi="Verdana" w:cs="Arial"/>
        </w:rPr>
      </w:pPr>
      <w:r w:rsidRPr="00B00FCB">
        <w:rPr>
          <w:noProof/>
        </w:rPr>
        <w:lastRenderedPageBreak/>
        <w:drawing>
          <wp:inline distT="0" distB="0" distL="0" distR="0" wp14:anchorId="38529C0A" wp14:editId="76FFA38E">
            <wp:extent cx="6119800" cy="3336967"/>
            <wp:effectExtent l="0" t="0" r="0" b="0"/>
            <wp:docPr id="81421898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45301" cy="3350872"/>
                    </a:xfrm>
                    <a:prstGeom prst="rect">
                      <a:avLst/>
                    </a:prstGeom>
                    <a:noFill/>
                    <a:ln>
                      <a:noFill/>
                    </a:ln>
                  </pic:spPr>
                </pic:pic>
              </a:graphicData>
            </a:graphic>
          </wp:inline>
        </w:drawing>
      </w:r>
    </w:p>
    <w:p w14:paraId="7E692682" w14:textId="0F62A81B" w:rsidR="00780766" w:rsidRPr="00B00FCB" w:rsidRDefault="00A13D90" w:rsidP="00A13D90">
      <w:pPr>
        <w:pStyle w:val="Normal0"/>
        <w:spacing w:after="0"/>
        <w:contextualSpacing/>
        <w:jc w:val="center"/>
        <w:rPr>
          <w:rFonts w:ascii="Verdana" w:hAnsi="Verdana" w:cs="Arial"/>
          <w:sz w:val="16"/>
          <w:szCs w:val="16"/>
        </w:rPr>
      </w:pPr>
      <w:r w:rsidRPr="00B00FCB">
        <w:rPr>
          <w:rFonts w:ascii="Verdana" w:hAnsi="Verdana" w:cs="Arial"/>
          <w:sz w:val="16"/>
          <w:szCs w:val="16"/>
        </w:rPr>
        <w:t>Elaboración propia</w:t>
      </w:r>
    </w:p>
    <w:p w14:paraId="22F740E4" w14:textId="77777777" w:rsidR="00780766" w:rsidRPr="00B00FCB" w:rsidRDefault="00780766" w:rsidP="00780766">
      <w:pPr>
        <w:pStyle w:val="Normal0"/>
        <w:spacing w:after="0"/>
        <w:contextualSpacing/>
        <w:rPr>
          <w:rFonts w:ascii="Verdana" w:hAnsi="Verdana" w:cs="Arial"/>
        </w:rPr>
      </w:pPr>
    </w:p>
    <w:p w14:paraId="3973C013" w14:textId="208FB1D6" w:rsidR="00A13D90" w:rsidRPr="00B00FCB" w:rsidRDefault="00EA2BC6" w:rsidP="00EA2BC6">
      <w:pPr>
        <w:pStyle w:val="Descripcin"/>
        <w:rPr>
          <w:rFonts w:ascii="Verdana" w:hAnsi="Verdana" w:cs="Arial"/>
          <w:sz w:val="22"/>
          <w:szCs w:val="22"/>
        </w:rPr>
      </w:pPr>
      <w:bookmarkStart w:id="81" w:name="_Toc180136841"/>
      <w:r w:rsidRPr="00B00FCB">
        <w:rPr>
          <w:rFonts w:ascii="Verdana" w:hAnsi="Verdana"/>
          <w:sz w:val="22"/>
          <w:szCs w:val="22"/>
        </w:rPr>
        <w:t xml:space="preserve">Tabla </w:t>
      </w:r>
      <w:r w:rsidRPr="00B00FCB">
        <w:rPr>
          <w:rFonts w:ascii="Verdana" w:hAnsi="Verdana"/>
          <w:sz w:val="22"/>
          <w:szCs w:val="22"/>
        </w:rPr>
        <w:fldChar w:fldCharType="begin"/>
      </w:r>
      <w:r w:rsidRPr="00B00FCB">
        <w:rPr>
          <w:rFonts w:ascii="Verdana" w:hAnsi="Verdana"/>
          <w:sz w:val="22"/>
          <w:szCs w:val="22"/>
        </w:rPr>
        <w:instrText xml:space="preserve"> SEQ Tabla \* ARABIC </w:instrText>
      </w:r>
      <w:r w:rsidRPr="00B00FCB">
        <w:rPr>
          <w:rFonts w:ascii="Verdana" w:hAnsi="Verdana"/>
          <w:sz w:val="22"/>
          <w:szCs w:val="22"/>
        </w:rPr>
        <w:fldChar w:fldCharType="separate"/>
      </w:r>
      <w:r w:rsidR="00CF739E" w:rsidRPr="00B00FCB">
        <w:rPr>
          <w:rFonts w:ascii="Verdana" w:hAnsi="Verdana"/>
          <w:noProof/>
          <w:sz w:val="22"/>
          <w:szCs w:val="22"/>
        </w:rPr>
        <w:t>25</w:t>
      </w:r>
      <w:r w:rsidRPr="00B00FCB">
        <w:rPr>
          <w:rFonts w:ascii="Verdana" w:hAnsi="Verdana"/>
          <w:sz w:val="22"/>
          <w:szCs w:val="22"/>
        </w:rPr>
        <w:fldChar w:fldCharType="end"/>
      </w:r>
      <w:r w:rsidRPr="00B00FCB">
        <w:rPr>
          <w:rFonts w:ascii="Verdana" w:hAnsi="Verdana"/>
          <w:sz w:val="22"/>
          <w:szCs w:val="22"/>
        </w:rPr>
        <w:t>. Ponderación Modalidad Selección abreviada</w:t>
      </w:r>
      <w:bookmarkEnd w:id="81"/>
    </w:p>
    <w:p w14:paraId="6B942C9A" w14:textId="622BEDDD" w:rsidR="00A13D90" w:rsidRPr="00B00FCB" w:rsidRDefault="00E61FD2" w:rsidP="00780766">
      <w:pPr>
        <w:pStyle w:val="Normal0"/>
        <w:spacing w:after="0"/>
        <w:contextualSpacing/>
        <w:rPr>
          <w:rFonts w:ascii="Verdana" w:hAnsi="Verdana" w:cs="Arial"/>
        </w:rPr>
      </w:pPr>
      <w:r w:rsidRPr="00B00FCB">
        <w:rPr>
          <w:noProof/>
        </w:rPr>
        <w:lastRenderedPageBreak/>
        <w:drawing>
          <wp:inline distT="0" distB="0" distL="0" distR="0" wp14:anchorId="194D37D8" wp14:editId="29C00BB6">
            <wp:extent cx="6120339" cy="3087585"/>
            <wp:effectExtent l="0" t="0" r="0" b="0"/>
            <wp:docPr id="38827336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34816" cy="3094889"/>
                    </a:xfrm>
                    <a:prstGeom prst="rect">
                      <a:avLst/>
                    </a:prstGeom>
                    <a:noFill/>
                    <a:ln>
                      <a:noFill/>
                    </a:ln>
                  </pic:spPr>
                </pic:pic>
              </a:graphicData>
            </a:graphic>
          </wp:inline>
        </w:drawing>
      </w:r>
    </w:p>
    <w:p w14:paraId="35C4B5FC" w14:textId="77777777" w:rsidR="00E61FD2" w:rsidRPr="00B00FCB" w:rsidRDefault="00E61FD2" w:rsidP="00E61FD2">
      <w:pPr>
        <w:pStyle w:val="Normal0"/>
        <w:spacing w:after="0"/>
        <w:contextualSpacing/>
        <w:jc w:val="center"/>
        <w:rPr>
          <w:rFonts w:ascii="Verdana" w:hAnsi="Verdana" w:cs="Arial"/>
          <w:sz w:val="16"/>
          <w:szCs w:val="16"/>
        </w:rPr>
      </w:pPr>
      <w:r w:rsidRPr="00B00FCB">
        <w:rPr>
          <w:rFonts w:ascii="Verdana" w:hAnsi="Verdana" w:cs="Arial"/>
          <w:sz w:val="16"/>
          <w:szCs w:val="16"/>
        </w:rPr>
        <w:t>Elaboración propia</w:t>
      </w:r>
    </w:p>
    <w:p w14:paraId="4704ECE3" w14:textId="77777777" w:rsidR="00A13D90" w:rsidRPr="00B00FCB" w:rsidRDefault="00A13D90" w:rsidP="00780766">
      <w:pPr>
        <w:pStyle w:val="Normal0"/>
        <w:spacing w:after="0"/>
        <w:contextualSpacing/>
        <w:rPr>
          <w:rFonts w:ascii="Verdana" w:hAnsi="Verdana" w:cs="Arial"/>
        </w:rPr>
      </w:pPr>
    </w:p>
    <w:p w14:paraId="7B16297D" w14:textId="77777777" w:rsidR="003D46C6" w:rsidRPr="00B00FCB" w:rsidRDefault="003D46C6" w:rsidP="00780766">
      <w:pPr>
        <w:jc w:val="both"/>
        <w:rPr>
          <w:rFonts w:ascii="Verdana" w:eastAsia="Calibri" w:hAnsi="Verdana" w:cs="Arial"/>
          <w:sz w:val="22"/>
          <w:szCs w:val="22"/>
          <w:lang w:val="es-ES" w:eastAsia="es-CO"/>
        </w:rPr>
      </w:pPr>
    </w:p>
    <w:p w14:paraId="0640BE62" w14:textId="08677110" w:rsidR="003D46C6" w:rsidRPr="00B00FCB" w:rsidRDefault="00312A8E" w:rsidP="00312A8E">
      <w:pPr>
        <w:pStyle w:val="Descripcin"/>
        <w:jc w:val="center"/>
        <w:rPr>
          <w:rFonts w:ascii="Verdana" w:hAnsi="Verdana" w:cs="Arial"/>
          <w:sz w:val="24"/>
          <w:szCs w:val="24"/>
          <w:lang w:eastAsia="es-CO"/>
        </w:rPr>
      </w:pPr>
      <w:bookmarkStart w:id="82" w:name="_Toc180136816"/>
      <w:r w:rsidRPr="00B00FCB">
        <w:rPr>
          <w:rFonts w:ascii="Verdana" w:hAnsi="Verdana"/>
          <w:sz w:val="22"/>
          <w:szCs w:val="22"/>
        </w:rPr>
        <w:t xml:space="preserve">Gráfica </w:t>
      </w:r>
      <w:r w:rsidRPr="00B00FCB">
        <w:rPr>
          <w:rFonts w:ascii="Verdana" w:hAnsi="Verdana"/>
          <w:sz w:val="22"/>
          <w:szCs w:val="22"/>
        </w:rPr>
        <w:fldChar w:fldCharType="begin"/>
      </w:r>
      <w:r w:rsidRPr="00B00FCB">
        <w:rPr>
          <w:rFonts w:ascii="Verdana" w:hAnsi="Verdana"/>
          <w:sz w:val="22"/>
          <w:szCs w:val="22"/>
        </w:rPr>
        <w:instrText xml:space="preserve"> SEQ Gráfica \* ARABIC </w:instrText>
      </w:r>
      <w:r w:rsidRPr="00B00FCB">
        <w:rPr>
          <w:rFonts w:ascii="Verdana" w:hAnsi="Verdana"/>
          <w:sz w:val="22"/>
          <w:szCs w:val="22"/>
        </w:rPr>
        <w:fldChar w:fldCharType="separate"/>
      </w:r>
      <w:r w:rsidR="00BC476F" w:rsidRPr="00B00FCB">
        <w:rPr>
          <w:rFonts w:ascii="Verdana" w:hAnsi="Verdana"/>
          <w:noProof/>
          <w:sz w:val="22"/>
          <w:szCs w:val="22"/>
        </w:rPr>
        <w:t>50</w:t>
      </w:r>
      <w:r w:rsidRPr="00B00FCB">
        <w:rPr>
          <w:rFonts w:ascii="Verdana" w:hAnsi="Verdana"/>
          <w:sz w:val="22"/>
          <w:szCs w:val="22"/>
        </w:rPr>
        <w:fldChar w:fldCharType="end"/>
      </w:r>
      <w:r w:rsidRPr="00B00FCB">
        <w:rPr>
          <w:rFonts w:ascii="Verdana" w:hAnsi="Verdana"/>
          <w:sz w:val="22"/>
          <w:szCs w:val="22"/>
        </w:rPr>
        <w:t>. Cumplimiento criterios de evaluación</w:t>
      </w:r>
      <w:bookmarkEnd w:id="82"/>
    </w:p>
    <w:p w14:paraId="2C8693DA" w14:textId="77777777" w:rsidR="00780766" w:rsidRPr="00B00FCB" w:rsidRDefault="00780766" w:rsidP="00780766">
      <w:pPr>
        <w:contextualSpacing/>
        <w:jc w:val="center"/>
        <w:rPr>
          <w:rFonts w:ascii="Verdana" w:eastAsia="Calibri" w:hAnsi="Verdana" w:cs="Arial"/>
          <w:sz w:val="22"/>
          <w:szCs w:val="22"/>
          <w:lang w:val="es-ES" w:eastAsia="es-CO"/>
        </w:rPr>
      </w:pPr>
      <w:r w:rsidRPr="00B00FCB">
        <w:rPr>
          <w:rFonts w:ascii="Verdana" w:hAnsi="Verdana" w:cs="Arial"/>
          <w:noProof/>
          <w:sz w:val="22"/>
          <w:szCs w:val="22"/>
        </w:rPr>
        <w:drawing>
          <wp:inline distT="0" distB="0" distL="0" distR="0" wp14:anchorId="4FD0A78B" wp14:editId="12B85C43">
            <wp:extent cx="5513098" cy="2369430"/>
            <wp:effectExtent l="25400" t="0" r="11430" b="18415"/>
            <wp:docPr id="1005469194" name="Gráfico 1">
              <a:extLst xmlns:a="http://schemas.openxmlformats.org/drawingml/2006/main">
                <a:ext uri="{FF2B5EF4-FFF2-40B4-BE49-F238E27FC236}">
                  <a16:creationId xmlns:a16="http://schemas.microsoft.com/office/drawing/2014/main" id="{34D689DC-094D-F45D-A949-D1DC954BBC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2A8F553" w14:textId="5C6AD5E6" w:rsidR="000A6BB8" w:rsidRPr="00B00FCB" w:rsidRDefault="00312A8E" w:rsidP="00931A7F">
      <w:pPr>
        <w:jc w:val="center"/>
        <w:rPr>
          <w:rFonts w:ascii="Verdana" w:hAnsi="Verdana" w:cs="Arial"/>
          <w:sz w:val="16"/>
          <w:szCs w:val="16"/>
        </w:rPr>
      </w:pPr>
      <w:r w:rsidRPr="00B00FCB">
        <w:rPr>
          <w:rFonts w:ascii="Verdana" w:hAnsi="Verdana" w:cs="Arial"/>
          <w:sz w:val="16"/>
          <w:szCs w:val="16"/>
        </w:rPr>
        <w:t xml:space="preserve">Elaboración propia con base en información del </w:t>
      </w:r>
      <w:r w:rsidR="0097749F" w:rsidRPr="00B00FCB">
        <w:rPr>
          <w:rFonts w:ascii="Verdana" w:hAnsi="Verdana" w:cs="Arial"/>
          <w:sz w:val="16"/>
          <w:szCs w:val="16"/>
        </w:rPr>
        <w:t>Sistema electrónico para la contratación pública</w:t>
      </w:r>
    </w:p>
    <w:p w14:paraId="37EFF97C" w14:textId="77777777" w:rsidR="000A6BB8" w:rsidRPr="00B00FCB" w:rsidRDefault="000A6BB8" w:rsidP="000A6BB8">
      <w:pPr>
        <w:rPr>
          <w:rFonts w:ascii="Verdana" w:hAnsi="Verdana" w:cs="Arial"/>
          <w:sz w:val="22"/>
          <w:szCs w:val="22"/>
        </w:rPr>
      </w:pPr>
    </w:p>
    <w:p w14:paraId="1D6A1C05" w14:textId="24E53688" w:rsidR="7BB0063E" w:rsidRPr="00B00FCB" w:rsidRDefault="7BB0063E" w:rsidP="331720D0">
      <w:pPr>
        <w:jc w:val="both"/>
        <w:rPr>
          <w:rFonts w:ascii="Verdana" w:hAnsi="Verdana" w:cs="Arial"/>
          <w:sz w:val="22"/>
          <w:szCs w:val="22"/>
        </w:rPr>
      </w:pPr>
      <w:r w:rsidRPr="00B00FCB">
        <w:rPr>
          <w:rFonts w:ascii="Verdana" w:hAnsi="Verdana" w:cs="Arial"/>
          <w:sz w:val="22"/>
          <w:szCs w:val="22"/>
        </w:rPr>
        <w:lastRenderedPageBreak/>
        <w:t xml:space="preserve">La gráfica </w:t>
      </w:r>
      <w:r w:rsidR="009730A0" w:rsidRPr="00B00FCB">
        <w:rPr>
          <w:rFonts w:ascii="Verdana" w:hAnsi="Verdana" w:cs="Arial"/>
          <w:sz w:val="22"/>
          <w:szCs w:val="22"/>
        </w:rPr>
        <w:t>40</w:t>
      </w:r>
      <w:r w:rsidRPr="00B00FCB">
        <w:rPr>
          <w:rFonts w:ascii="Verdana" w:hAnsi="Verdana" w:cs="Arial"/>
          <w:sz w:val="22"/>
          <w:szCs w:val="22"/>
        </w:rPr>
        <w:t xml:space="preserve"> – Cumplimiento de Criterios de Evaluación, </w:t>
      </w:r>
      <w:r w:rsidR="063E8692" w:rsidRPr="00B00FCB">
        <w:rPr>
          <w:rFonts w:ascii="Verdana" w:hAnsi="Verdana" w:cs="Arial"/>
          <w:sz w:val="22"/>
          <w:szCs w:val="22"/>
        </w:rPr>
        <w:t>se obtuvo como resultado</w:t>
      </w:r>
      <w:r w:rsidRPr="00B00FCB">
        <w:rPr>
          <w:rFonts w:ascii="Verdana" w:hAnsi="Verdana" w:cs="Arial"/>
          <w:sz w:val="22"/>
          <w:szCs w:val="22"/>
        </w:rPr>
        <w:t xml:space="preserve"> de un análisis sobre </w:t>
      </w:r>
      <w:r w:rsidR="00A20847" w:rsidRPr="00B00FCB">
        <w:rPr>
          <w:rFonts w:ascii="Verdana" w:hAnsi="Verdana" w:cs="Arial"/>
          <w:sz w:val="22"/>
          <w:szCs w:val="22"/>
        </w:rPr>
        <w:t>una muestra</w:t>
      </w:r>
      <w:r w:rsidRPr="00B00FCB">
        <w:rPr>
          <w:rFonts w:ascii="Verdana" w:hAnsi="Verdana" w:cs="Arial"/>
          <w:sz w:val="22"/>
          <w:szCs w:val="22"/>
        </w:rPr>
        <w:t xml:space="preserve"> de </w:t>
      </w:r>
      <w:r w:rsidR="1D347D59" w:rsidRPr="00B00FCB">
        <w:rPr>
          <w:rFonts w:ascii="Verdana" w:hAnsi="Verdana" w:cs="Arial"/>
          <w:sz w:val="22"/>
          <w:szCs w:val="22"/>
        </w:rPr>
        <w:t>P</w:t>
      </w:r>
      <w:r w:rsidRPr="00B00FCB">
        <w:rPr>
          <w:rFonts w:ascii="Verdana" w:hAnsi="Verdana" w:cs="Arial"/>
          <w:sz w:val="22"/>
          <w:szCs w:val="22"/>
        </w:rPr>
        <w:t xml:space="preserve">rocesos </w:t>
      </w:r>
      <w:r w:rsidR="7D5D4732" w:rsidRPr="00B00FCB">
        <w:rPr>
          <w:rFonts w:ascii="Verdana" w:hAnsi="Verdana" w:cs="Arial"/>
          <w:sz w:val="22"/>
          <w:szCs w:val="22"/>
        </w:rPr>
        <w:t xml:space="preserve">de Contratación </w:t>
      </w:r>
      <w:r w:rsidRPr="00B00FCB">
        <w:rPr>
          <w:rFonts w:ascii="Verdana" w:hAnsi="Verdana" w:cs="Arial"/>
          <w:sz w:val="22"/>
          <w:szCs w:val="22"/>
        </w:rPr>
        <w:t>analizados de</w:t>
      </w:r>
      <w:r w:rsidR="3F7FB927" w:rsidRPr="00B00FCB">
        <w:rPr>
          <w:rFonts w:ascii="Verdana" w:hAnsi="Verdana" w:cs="Arial"/>
          <w:sz w:val="22"/>
          <w:szCs w:val="22"/>
        </w:rPr>
        <w:t>l</w:t>
      </w:r>
      <w:r w:rsidRPr="00B00FCB">
        <w:rPr>
          <w:rFonts w:ascii="Verdana" w:hAnsi="Verdana" w:cs="Arial"/>
          <w:sz w:val="22"/>
          <w:szCs w:val="22"/>
        </w:rPr>
        <w:t xml:space="preserve"> S</w:t>
      </w:r>
      <w:r w:rsidR="132823E7" w:rsidRPr="00B00FCB">
        <w:rPr>
          <w:rFonts w:ascii="Verdana" w:hAnsi="Verdana" w:cs="Arial"/>
          <w:sz w:val="22"/>
          <w:szCs w:val="22"/>
        </w:rPr>
        <w:t xml:space="preserve">ECOP </w:t>
      </w:r>
      <w:r w:rsidRPr="00B00FCB">
        <w:rPr>
          <w:rFonts w:ascii="Verdana" w:hAnsi="Verdana" w:cs="Arial"/>
          <w:sz w:val="22"/>
          <w:szCs w:val="22"/>
        </w:rPr>
        <w:t>I y II, en donde se busca determinar el comp</w:t>
      </w:r>
      <w:r w:rsidR="00D0337F" w:rsidRPr="00B00FCB">
        <w:rPr>
          <w:rFonts w:ascii="Verdana" w:hAnsi="Verdana" w:cs="Arial"/>
          <w:sz w:val="22"/>
          <w:szCs w:val="22"/>
        </w:rPr>
        <w:t>ortamiento</w:t>
      </w:r>
      <w:r w:rsidRPr="00B00FCB">
        <w:rPr>
          <w:rFonts w:ascii="Verdana" w:hAnsi="Verdana" w:cs="Arial"/>
          <w:sz w:val="22"/>
          <w:szCs w:val="22"/>
        </w:rPr>
        <w:t xml:space="preserve">, </w:t>
      </w:r>
      <w:r w:rsidR="00A20847" w:rsidRPr="00B00FCB">
        <w:rPr>
          <w:rFonts w:ascii="Verdana" w:hAnsi="Verdana" w:cs="Arial"/>
          <w:sz w:val="22"/>
          <w:szCs w:val="22"/>
        </w:rPr>
        <w:t>específicamente</w:t>
      </w:r>
      <w:r w:rsidR="34740C5F" w:rsidRPr="00B00FCB">
        <w:rPr>
          <w:rFonts w:ascii="Verdana" w:hAnsi="Verdana" w:cs="Arial"/>
          <w:sz w:val="22"/>
          <w:szCs w:val="22"/>
        </w:rPr>
        <w:t xml:space="preserve"> </w:t>
      </w:r>
      <w:r w:rsidRPr="00B00FCB">
        <w:rPr>
          <w:rFonts w:ascii="Verdana" w:hAnsi="Verdana" w:cs="Arial"/>
          <w:sz w:val="22"/>
          <w:szCs w:val="22"/>
        </w:rPr>
        <w:t>procesos de construcción, mantenimiento, en actividades como vías urbanas, vías terciarias, secundarias y puentes</w:t>
      </w:r>
      <w:r w:rsidR="158CF8A7" w:rsidRPr="00B00FCB">
        <w:rPr>
          <w:rFonts w:ascii="Verdana" w:hAnsi="Verdana" w:cs="Arial"/>
          <w:sz w:val="22"/>
          <w:szCs w:val="22"/>
        </w:rPr>
        <w:t>. Frente al particular se</w:t>
      </w:r>
      <w:r w:rsidR="00A20847" w:rsidRPr="00B00FCB">
        <w:rPr>
          <w:rFonts w:ascii="Verdana" w:hAnsi="Verdana" w:cs="Arial"/>
          <w:sz w:val="22"/>
          <w:szCs w:val="22"/>
        </w:rPr>
        <w:t xml:space="preserve"> </w:t>
      </w:r>
      <w:r w:rsidRPr="00B00FCB">
        <w:rPr>
          <w:rFonts w:ascii="Verdana" w:hAnsi="Verdana" w:cs="Arial"/>
          <w:sz w:val="22"/>
          <w:szCs w:val="22"/>
        </w:rPr>
        <w:t xml:space="preserve">encontró que </w:t>
      </w:r>
      <w:r w:rsidR="5D98A3C0" w:rsidRPr="00B00FCB">
        <w:rPr>
          <w:rFonts w:ascii="Verdana" w:hAnsi="Verdana" w:cs="Arial"/>
          <w:sz w:val="22"/>
          <w:szCs w:val="22"/>
        </w:rPr>
        <w:t>aquellos</w:t>
      </w:r>
      <w:r w:rsidR="355D74D8" w:rsidRPr="00B00FCB">
        <w:rPr>
          <w:rFonts w:ascii="Verdana" w:hAnsi="Verdana" w:cs="Arial"/>
          <w:sz w:val="22"/>
          <w:szCs w:val="22"/>
        </w:rPr>
        <w:t xml:space="preserve"> procesos en</w:t>
      </w:r>
      <w:r w:rsidR="5D98A3C0" w:rsidRPr="00B00FCB">
        <w:rPr>
          <w:rFonts w:ascii="Verdana" w:hAnsi="Verdana" w:cs="Arial"/>
          <w:sz w:val="22"/>
          <w:szCs w:val="22"/>
        </w:rPr>
        <w:t xml:space="preserve"> donde se han aplicado </w:t>
      </w:r>
      <w:r w:rsidRPr="00B00FCB">
        <w:rPr>
          <w:rFonts w:ascii="Verdana" w:hAnsi="Verdana" w:cs="Arial"/>
          <w:sz w:val="22"/>
          <w:szCs w:val="22"/>
        </w:rPr>
        <w:t>Documentos Tipo vigen</w:t>
      </w:r>
      <w:r w:rsidR="3D7F6D80" w:rsidRPr="00B00FCB">
        <w:rPr>
          <w:rFonts w:ascii="Verdana" w:hAnsi="Verdana" w:cs="Arial"/>
          <w:sz w:val="22"/>
          <w:szCs w:val="22"/>
        </w:rPr>
        <w:t>te</w:t>
      </w:r>
      <w:r w:rsidRPr="00B00FCB">
        <w:rPr>
          <w:rFonts w:ascii="Verdana" w:hAnsi="Verdana" w:cs="Arial"/>
          <w:sz w:val="22"/>
          <w:szCs w:val="22"/>
        </w:rPr>
        <w:t>.</w:t>
      </w:r>
    </w:p>
    <w:p w14:paraId="02EFFA3C" w14:textId="5974FC7D" w:rsidR="331720D0" w:rsidRPr="00B00FCB" w:rsidRDefault="331720D0" w:rsidP="00FE2C92">
      <w:pPr>
        <w:jc w:val="both"/>
        <w:rPr>
          <w:rFonts w:ascii="Verdana" w:hAnsi="Verdana" w:cs="Arial"/>
          <w:sz w:val="22"/>
          <w:szCs w:val="22"/>
        </w:rPr>
      </w:pPr>
    </w:p>
    <w:p w14:paraId="20FA66CE" w14:textId="66BF069D" w:rsidR="34BE4E28" w:rsidRPr="00B00FCB" w:rsidRDefault="34BE4E28" w:rsidP="00FE2C92">
      <w:pPr>
        <w:jc w:val="both"/>
        <w:rPr>
          <w:rFonts w:ascii="Verdana" w:hAnsi="Verdana" w:cs="Arial"/>
          <w:sz w:val="22"/>
          <w:szCs w:val="22"/>
        </w:rPr>
      </w:pPr>
      <w:r w:rsidRPr="00B00FCB">
        <w:rPr>
          <w:rFonts w:ascii="Verdana" w:hAnsi="Verdana" w:cs="Arial"/>
          <w:sz w:val="22"/>
          <w:szCs w:val="22"/>
        </w:rPr>
        <w:t xml:space="preserve">Esta Agencia consideró relevante mantener </w:t>
      </w:r>
      <w:r w:rsidR="19995B4F" w:rsidRPr="00B00FCB">
        <w:rPr>
          <w:rFonts w:ascii="Verdana" w:hAnsi="Verdana" w:cs="Arial"/>
          <w:sz w:val="22"/>
          <w:szCs w:val="22"/>
        </w:rPr>
        <w:t xml:space="preserve">dichos criterios en la nueva versión de </w:t>
      </w:r>
      <w:r w:rsidRPr="00B00FCB">
        <w:rPr>
          <w:rFonts w:ascii="Verdana" w:hAnsi="Verdana" w:cs="Arial"/>
          <w:sz w:val="22"/>
          <w:szCs w:val="22"/>
        </w:rPr>
        <w:t xml:space="preserve">los documentos tipo y sobre los cuales recae este estudio los puntajes adicionales tanto para los oferentes que ostenten la calidad de Mipyme como para los proponentes que ostenten la calidad de emprendimiento y/o empresa de mujeres por la importancia que revisten estos sujetos para la reactivación económica del país.  </w:t>
      </w:r>
    </w:p>
    <w:p w14:paraId="5EF815D7" w14:textId="1FC982F5" w:rsidR="34BE4E28" w:rsidRPr="00B00FCB" w:rsidRDefault="34BE4E28" w:rsidP="00FE2C92">
      <w:pPr>
        <w:jc w:val="both"/>
        <w:rPr>
          <w:rFonts w:ascii="Verdana" w:hAnsi="Verdana" w:cs="Arial"/>
          <w:sz w:val="22"/>
          <w:szCs w:val="22"/>
        </w:rPr>
      </w:pPr>
      <w:r w:rsidRPr="00B00FCB">
        <w:rPr>
          <w:rFonts w:ascii="Verdana" w:hAnsi="Verdana" w:cs="Arial"/>
          <w:sz w:val="22"/>
          <w:szCs w:val="22"/>
        </w:rPr>
        <w:t xml:space="preserve"> </w:t>
      </w:r>
    </w:p>
    <w:p w14:paraId="4262A132" w14:textId="5E2C42DB" w:rsidR="34BE4E28" w:rsidRPr="00A81BAA" w:rsidRDefault="4C3B796D" w:rsidP="00FE2C92">
      <w:pPr>
        <w:jc w:val="both"/>
        <w:rPr>
          <w:rFonts w:ascii="Verdana" w:hAnsi="Verdana" w:cs="Arial"/>
          <w:sz w:val="22"/>
          <w:szCs w:val="22"/>
        </w:rPr>
      </w:pPr>
      <w:r w:rsidRPr="00B00FCB">
        <w:rPr>
          <w:rFonts w:ascii="Verdana" w:hAnsi="Verdana" w:cs="Arial"/>
          <w:sz w:val="22"/>
          <w:szCs w:val="22"/>
        </w:rPr>
        <w:t>Así mismo,</w:t>
      </w:r>
      <w:r w:rsidR="34BE4E28" w:rsidRPr="00B00FCB">
        <w:rPr>
          <w:rFonts w:ascii="Verdana" w:hAnsi="Verdana" w:cs="Arial"/>
          <w:sz w:val="22"/>
          <w:szCs w:val="22"/>
        </w:rPr>
        <w:t xml:space="preserve"> la incorporación de puntajes adicionales no solo promueve una mayor participación de las Mipyme y los emprendimientos y empresas de mujeres en el sistema de compras públicas, sino que además incrementa las posibilidades de que estos actores del mercado sean proveedores del Estado, ya que les otorga una ventaja significativa para que sean adjudicatarios de los procesos de selección.</w:t>
      </w:r>
      <w:r w:rsidR="34BE4E28" w:rsidRPr="00A81BAA">
        <w:rPr>
          <w:rFonts w:ascii="Verdana" w:hAnsi="Verdana" w:cs="Arial"/>
          <w:sz w:val="22"/>
          <w:szCs w:val="22"/>
        </w:rPr>
        <w:t xml:space="preserve">  </w:t>
      </w:r>
    </w:p>
    <w:p w14:paraId="317FA7A0" w14:textId="7CBE5FAE" w:rsidR="34BE4E28" w:rsidRPr="00A81BAA" w:rsidRDefault="34BE4E28" w:rsidP="00FE2C92">
      <w:pPr>
        <w:jc w:val="both"/>
        <w:rPr>
          <w:rFonts w:ascii="Verdana" w:hAnsi="Verdana" w:cs="Arial"/>
          <w:sz w:val="22"/>
          <w:szCs w:val="22"/>
        </w:rPr>
      </w:pPr>
      <w:r w:rsidRPr="00A81BAA">
        <w:rPr>
          <w:rFonts w:ascii="Verdana" w:hAnsi="Verdana" w:cs="Arial"/>
          <w:sz w:val="22"/>
          <w:szCs w:val="22"/>
        </w:rPr>
        <w:t xml:space="preserve"> </w:t>
      </w:r>
    </w:p>
    <w:p w14:paraId="34E1D4EB" w14:textId="2FCD3577" w:rsidR="34BE4E28" w:rsidRPr="00A81BAA" w:rsidRDefault="34BE4E28" w:rsidP="00FE2C92">
      <w:pPr>
        <w:jc w:val="both"/>
        <w:rPr>
          <w:rFonts w:ascii="Verdana" w:hAnsi="Verdana" w:cs="Arial"/>
          <w:sz w:val="22"/>
          <w:szCs w:val="22"/>
        </w:rPr>
      </w:pPr>
      <w:r w:rsidRPr="00A81BAA">
        <w:rPr>
          <w:rFonts w:ascii="Verdana" w:hAnsi="Verdana" w:cs="Arial"/>
          <w:sz w:val="22"/>
          <w:szCs w:val="22"/>
        </w:rPr>
        <w:t xml:space="preserve"> </w:t>
      </w:r>
    </w:p>
    <w:p w14:paraId="1A716D4A" w14:textId="52515EFE" w:rsidR="34BE4E28" w:rsidRDefault="34BE4E28" w:rsidP="00FE2C92">
      <w:pPr>
        <w:jc w:val="both"/>
        <w:rPr>
          <w:rFonts w:ascii="Verdana" w:hAnsi="Verdana" w:cs="Arial"/>
          <w:sz w:val="22"/>
          <w:szCs w:val="22"/>
        </w:rPr>
      </w:pPr>
      <w:r w:rsidRPr="00A81BAA">
        <w:rPr>
          <w:rFonts w:ascii="Verdana" w:hAnsi="Verdana" w:cs="Arial"/>
          <w:sz w:val="22"/>
          <w:szCs w:val="22"/>
        </w:rPr>
        <w:t xml:space="preserve"> </w:t>
      </w:r>
    </w:p>
    <w:p w14:paraId="585BA1BD" w14:textId="77777777" w:rsidR="005F1714" w:rsidRDefault="005F1714" w:rsidP="00FE2C92">
      <w:pPr>
        <w:jc w:val="both"/>
        <w:rPr>
          <w:rFonts w:ascii="Verdana" w:hAnsi="Verdana" w:cs="Arial"/>
          <w:sz w:val="22"/>
          <w:szCs w:val="22"/>
        </w:rPr>
      </w:pPr>
    </w:p>
    <w:p w14:paraId="0CB3724D" w14:textId="77777777" w:rsidR="005F1714" w:rsidRDefault="005F1714" w:rsidP="00FE2C92">
      <w:pPr>
        <w:jc w:val="both"/>
        <w:rPr>
          <w:rFonts w:ascii="Verdana" w:hAnsi="Verdana" w:cs="Arial"/>
          <w:sz w:val="22"/>
          <w:szCs w:val="22"/>
        </w:rPr>
      </w:pPr>
    </w:p>
    <w:p w14:paraId="3532F47D" w14:textId="77777777" w:rsidR="005F1714" w:rsidRDefault="005F1714" w:rsidP="00FE2C92">
      <w:pPr>
        <w:jc w:val="both"/>
        <w:rPr>
          <w:rFonts w:ascii="Verdana" w:hAnsi="Verdana" w:cs="Arial"/>
          <w:sz w:val="22"/>
          <w:szCs w:val="22"/>
        </w:rPr>
      </w:pPr>
    </w:p>
    <w:p w14:paraId="56AFB803" w14:textId="77777777" w:rsidR="005F1714" w:rsidRDefault="005F1714" w:rsidP="00FE2C92">
      <w:pPr>
        <w:jc w:val="both"/>
        <w:rPr>
          <w:rFonts w:ascii="Verdana" w:hAnsi="Verdana" w:cs="Arial"/>
          <w:sz w:val="22"/>
          <w:szCs w:val="22"/>
        </w:rPr>
      </w:pPr>
    </w:p>
    <w:p w14:paraId="1983F5E8" w14:textId="77777777" w:rsidR="005F1714" w:rsidRDefault="005F1714" w:rsidP="00FE2C92">
      <w:pPr>
        <w:jc w:val="both"/>
        <w:rPr>
          <w:rFonts w:ascii="Verdana" w:hAnsi="Verdana" w:cs="Arial"/>
          <w:sz w:val="22"/>
          <w:szCs w:val="22"/>
        </w:rPr>
      </w:pPr>
    </w:p>
    <w:p w14:paraId="3138D024" w14:textId="77777777" w:rsidR="005F1714" w:rsidRDefault="005F1714" w:rsidP="00FE2C92">
      <w:pPr>
        <w:jc w:val="both"/>
        <w:rPr>
          <w:rFonts w:ascii="Verdana" w:hAnsi="Verdana" w:cs="Arial"/>
          <w:sz w:val="22"/>
          <w:szCs w:val="22"/>
        </w:rPr>
      </w:pPr>
    </w:p>
    <w:p w14:paraId="5766B059" w14:textId="77777777" w:rsidR="005F1714" w:rsidRDefault="005F1714" w:rsidP="00FE2C92">
      <w:pPr>
        <w:jc w:val="both"/>
        <w:rPr>
          <w:rFonts w:ascii="Verdana" w:hAnsi="Verdana" w:cs="Arial"/>
          <w:sz w:val="22"/>
          <w:szCs w:val="22"/>
        </w:rPr>
      </w:pPr>
    </w:p>
    <w:p w14:paraId="4CDA67DB" w14:textId="77777777" w:rsidR="005F1714" w:rsidRDefault="005F1714" w:rsidP="00FE2C92">
      <w:pPr>
        <w:jc w:val="both"/>
        <w:rPr>
          <w:rFonts w:ascii="Verdana" w:hAnsi="Verdana" w:cs="Arial"/>
          <w:sz w:val="22"/>
          <w:szCs w:val="22"/>
        </w:rPr>
      </w:pPr>
    </w:p>
    <w:p w14:paraId="41C435FF" w14:textId="77777777" w:rsidR="005F1714" w:rsidRDefault="005F1714" w:rsidP="00FE2C92">
      <w:pPr>
        <w:jc w:val="both"/>
        <w:rPr>
          <w:rFonts w:ascii="Verdana" w:hAnsi="Verdana" w:cs="Arial"/>
          <w:sz w:val="22"/>
          <w:szCs w:val="22"/>
        </w:rPr>
      </w:pPr>
    </w:p>
    <w:p w14:paraId="09F97DA4" w14:textId="77777777" w:rsidR="005F1714" w:rsidRDefault="005F1714" w:rsidP="00FE2C92">
      <w:pPr>
        <w:jc w:val="both"/>
        <w:rPr>
          <w:rFonts w:ascii="Verdana" w:hAnsi="Verdana" w:cs="Arial"/>
          <w:sz w:val="22"/>
          <w:szCs w:val="22"/>
        </w:rPr>
      </w:pPr>
    </w:p>
    <w:p w14:paraId="6A0A504D" w14:textId="77777777" w:rsidR="005F1714" w:rsidRDefault="005F1714" w:rsidP="00FE2C92">
      <w:pPr>
        <w:jc w:val="both"/>
        <w:rPr>
          <w:rFonts w:ascii="Verdana" w:hAnsi="Verdana" w:cs="Arial"/>
          <w:sz w:val="22"/>
          <w:szCs w:val="22"/>
        </w:rPr>
      </w:pPr>
    </w:p>
    <w:p w14:paraId="21BC296C" w14:textId="77777777" w:rsidR="005F1714" w:rsidRPr="00A81BAA" w:rsidRDefault="005F1714" w:rsidP="00FE2C92">
      <w:pPr>
        <w:jc w:val="both"/>
        <w:rPr>
          <w:rFonts w:ascii="Verdana" w:hAnsi="Verdana" w:cs="Arial"/>
          <w:sz w:val="22"/>
          <w:szCs w:val="22"/>
        </w:rPr>
      </w:pPr>
    </w:p>
    <w:p w14:paraId="3AA3750F" w14:textId="7318BF25" w:rsidR="008C1D08" w:rsidRPr="00A81BAA" w:rsidRDefault="008C1D08" w:rsidP="331720D0">
      <w:pPr>
        <w:contextualSpacing/>
        <w:rPr>
          <w:rFonts w:ascii="Verdana" w:eastAsia="Calibri" w:hAnsi="Verdana" w:cs="Arial"/>
          <w:sz w:val="22"/>
          <w:szCs w:val="22"/>
        </w:rPr>
      </w:pPr>
    </w:p>
    <w:p w14:paraId="6873BF3B" w14:textId="77777777" w:rsidR="008C1D08" w:rsidRPr="00A81BAA" w:rsidRDefault="008C1D08" w:rsidP="008C1D08">
      <w:pPr>
        <w:rPr>
          <w:rFonts w:ascii="Verdana" w:eastAsia="Calibri" w:hAnsi="Verdana" w:cs="Arial"/>
          <w:sz w:val="22"/>
          <w:szCs w:val="22"/>
        </w:rPr>
      </w:pPr>
    </w:p>
    <w:p w14:paraId="1EACE609" w14:textId="615605AC" w:rsidR="331720D0" w:rsidRPr="00A81BAA" w:rsidRDefault="331720D0" w:rsidP="331720D0">
      <w:pPr>
        <w:contextualSpacing/>
        <w:rPr>
          <w:rFonts w:ascii="Verdana" w:eastAsia="Calibri" w:hAnsi="Verdana" w:cs="Arial"/>
          <w:sz w:val="22"/>
          <w:szCs w:val="22"/>
        </w:rPr>
      </w:pPr>
    </w:p>
    <w:p w14:paraId="496D9360" w14:textId="1DDC46D2" w:rsidR="331720D0" w:rsidRPr="00A81BAA" w:rsidRDefault="331720D0" w:rsidP="331720D0">
      <w:pPr>
        <w:jc w:val="both"/>
        <w:rPr>
          <w:rFonts w:ascii="Verdana" w:eastAsia="Calibri" w:hAnsi="Verdana" w:cs="Arial"/>
          <w:sz w:val="22"/>
          <w:szCs w:val="22"/>
        </w:rPr>
      </w:pPr>
    </w:p>
    <w:p w14:paraId="26AC394D" w14:textId="7220CCFE" w:rsidR="331720D0" w:rsidRPr="00A81BAA" w:rsidRDefault="331720D0" w:rsidP="331720D0">
      <w:pPr>
        <w:jc w:val="both"/>
        <w:rPr>
          <w:rFonts w:ascii="Verdana" w:eastAsia="Calibri" w:hAnsi="Verdana" w:cs="Arial"/>
          <w:sz w:val="22"/>
          <w:szCs w:val="22"/>
        </w:rPr>
      </w:pPr>
    </w:p>
    <w:p w14:paraId="34573127" w14:textId="1F8A3D9A" w:rsidR="331720D0" w:rsidRPr="00A81BAA" w:rsidRDefault="331720D0" w:rsidP="331720D0">
      <w:pPr>
        <w:jc w:val="both"/>
        <w:rPr>
          <w:rFonts w:ascii="Verdana" w:eastAsia="Calibri" w:hAnsi="Verdana" w:cs="Arial"/>
          <w:sz w:val="22"/>
          <w:szCs w:val="22"/>
        </w:rPr>
      </w:pPr>
    </w:p>
    <w:p w14:paraId="114BAA92" w14:textId="5B1A9E00" w:rsidR="331720D0" w:rsidRPr="00A81BAA" w:rsidRDefault="331720D0" w:rsidP="331720D0">
      <w:pPr>
        <w:jc w:val="both"/>
        <w:rPr>
          <w:rFonts w:ascii="Verdana" w:eastAsia="Calibri" w:hAnsi="Verdana" w:cs="Arial"/>
          <w:sz w:val="22"/>
          <w:szCs w:val="22"/>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00" w:firstRow="0" w:lastRow="0" w:firstColumn="0" w:lastColumn="0" w:noHBand="0" w:noVBand="1"/>
      </w:tblPr>
      <w:tblGrid>
        <w:gridCol w:w="3676"/>
        <w:gridCol w:w="5391"/>
      </w:tblGrid>
      <w:tr w:rsidR="000C6E1B" w:rsidRPr="00CE7705" w14:paraId="561055A1" w14:textId="77777777" w:rsidTr="000C6E1B">
        <w:trPr>
          <w:trHeight w:val="270"/>
        </w:trPr>
        <w:tc>
          <w:tcPr>
            <w:tcW w:w="9067" w:type="dxa"/>
            <w:gridSpan w:val="2"/>
            <w:shd w:val="clear" w:color="auto" w:fill="AEAAAA" w:themeFill="background2" w:themeFillShade="BF"/>
            <w:vAlign w:val="center"/>
            <w:hideMark/>
          </w:tcPr>
          <w:p w14:paraId="16EB25A8" w14:textId="5DBAEDB3" w:rsidR="000C6E1B" w:rsidRPr="00CE7705" w:rsidRDefault="000C6E1B" w:rsidP="0044671B">
            <w:pPr>
              <w:spacing w:line="276" w:lineRule="auto"/>
              <w:rPr>
                <w:rFonts w:ascii="Verdana" w:eastAsia="Arial Nova" w:hAnsi="Verdana" w:cs="Arial Nova"/>
                <w:bCs/>
                <w:sz w:val="18"/>
                <w:szCs w:val="18"/>
              </w:rPr>
            </w:pPr>
            <w:bookmarkStart w:id="83" w:name="_Hlk109133003"/>
            <w:r w:rsidRPr="00CE7705">
              <w:rPr>
                <w:rFonts w:ascii="Verdana" w:hAnsi="Verdana" w:cs="Calibri"/>
                <w:b/>
                <w:bCs/>
                <w:sz w:val="18"/>
                <w:szCs w:val="18"/>
              </w:rPr>
              <w:t>IDENTIFICACIÓN Y UBICACIÓN</w:t>
            </w:r>
          </w:p>
        </w:tc>
      </w:tr>
      <w:tr w:rsidR="000C6E1B" w:rsidRPr="00CE7705" w14:paraId="3FB79E4B" w14:textId="77777777" w:rsidTr="000C6E1B">
        <w:trPr>
          <w:trHeight w:val="260"/>
        </w:trPr>
        <w:tc>
          <w:tcPr>
            <w:tcW w:w="3676" w:type="dxa"/>
            <w:shd w:val="clear" w:color="auto" w:fill="AEAAAA" w:themeFill="background2" w:themeFillShade="BF"/>
            <w:vAlign w:val="center"/>
            <w:hideMark/>
          </w:tcPr>
          <w:p w14:paraId="4BB1D2C9"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Título del documento:</w:t>
            </w:r>
          </w:p>
        </w:tc>
        <w:tc>
          <w:tcPr>
            <w:tcW w:w="5391" w:type="dxa"/>
            <w:vAlign w:val="center"/>
            <w:hideMark/>
          </w:tcPr>
          <w:p w14:paraId="7FF045ED" w14:textId="77777777" w:rsidR="000C6E1B" w:rsidRPr="00CE7705" w:rsidRDefault="000C6E1B" w:rsidP="0044671B">
            <w:pPr>
              <w:pStyle w:val="destacado"/>
              <w:spacing w:before="0" w:after="0" w:line="276" w:lineRule="auto"/>
              <w:ind w:right="48"/>
              <w:jc w:val="both"/>
              <w:rPr>
                <w:rFonts w:ascii="Verdana" w:eastAsia="Arial Nova" w:hAnsi="Verdana" w:cs="Arial Nova"/>
                <w:sz w:val="18"/>
                <w:szCs w:val="18"/>
              </w:rPr>
            </w:pPr>
          </w:p>
        </w:tc>
      </w:tr>
      <w:tr w:rsidR="000C6E1B" w:rsidRPr="00CE7705" w14:paraId="25EA5055" w14:textId="77777777" w:rsidTr="000C6E1B">
        <w:trPr>
          <w:trHeight w:val="260"/>
        </w:trPr>
        <w:tc>
          <w:tcPr>
            <w:tcW w:w="3676" w:type="dxa"/>
            <w:shd w:val="clear" w:color="auto" w:fill="AEAAAA" w:themeFill="background2" w:themeFillShade="BF"/>
            <w:vAlign w:val="center"/>
            <w:hideMark/>
          </w:tcPr>
          <w:p w14:paraId="02406D34"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Fecha de aprobación:</w:t>
            </w:r>
          </w:p>
        </w:tc>
        <w:tc>
          <w:tcPr>
            <w:tcW w:w="5391" w:type="dxa"/>
            <w:vAlign w:val="center"/>
            <w:hideMark/>
          </w:tcPr>
          <w:p w14:paraId="7CAA2214" w14:textId="77777777" w:rsidR="000C6E1B" w:rsidRPr="00CE7705" w:rsidRDefault="000C6E1B" w:rsidP="0044671B">
            <w:pPr>
              <w:spacing w:line="276" w:lineRule="auto"/>
              <w:rPr>
                <w:rFonts w:ascii="Verdana" w:eastAsia="Arial Nova" w:hAnsi="Verdana" w:cs="Arial Nova"/>
                <w:bCs/>
                <w:sz w:val="18"/>
                <w:szCs w:val="18"/>
              </w:rPr>
            </w:pPr>
          </w:p>
        </w:tc>
      </w:tr>
      <w:tr w:rsidR="000C6E1B" w:rsidRPr="00CE7705" w14:paraId="33A17EA4" w14:textId="77777777" w:rsidTr="000C6E1B">
        <w:trPr>
          <w:trHeight w:val="260"/>
        </w:trPr>
        <w:tc>
          <w:tcPr>
            <w:tcW w:w="3676" w:type="dxa"/>
            <w:shd w:val="clear" w:color="auto" w:fill="AEAAAA" w:themeFill="background2" w:themeFillShade="BF"/>
            <w:vAlign w:val="center"/>
            <w:hideMark/>
          </w:tcPr>
          <w:p w14:paraId="2918890C"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Área / Dependencia de autoría:</w:t>
            </w:r>
          </w:p>
        </w:tc>
        <w:tc>
          <w:tcPr>
            <w:tcW w:w="5391" w:type="dxa"/>
            <w:vAlign w:val="center"/>
            <w:hideMark/>
          </w:tcPr>
          <w:p w14:paraId="2D4E65BB" w14:textId="77777777" w:rsidR="000C6E1B" w:rsidRPr="00CE7705" w:rsidRDefault="000C6E1B" w:rsidP="0044671B">
            <w:pPr>
              <w:spacing w:line="276" w:lineRule="auto"/>
              <w:rPr>
                <w:rFonts w:ascii="Verdana" w:eastAsia="Arial Nova" w:hAnsi="Verdana" w:cs="Arial Nova"/>
                <w:sz w:val="18"/>
                <w:szCs w:val="18"/>
              </w:rPr>
            </w:pPr>
          </w:p>
        </w:tc>
      </w:tr>
      <w:tr w:rsidR="000C6E1B" w:rsidRPr="00CE7705" w14:paraId="0E7DEE67" w14:textId="77777777" w:rsidTr="000C6E1B">
        <w:trPr>
          <w:trHeight w:val="260"/>
        </w:trPr>
        <w:tc>
          <w:tcPr>
            <w:tcW w:w="3676" w:type="dxa"/>
            <w:shd w:val="clear" w:color="auto" w:fill="AEAAAA" w:themeFill="background2" w:themeFillShade="BF"/>
            <w:vAlign w:val="center"/>
          </w:tcPr>
          <w:p w14:paraId="55842CE6"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Resumen / Objetivo de contenido:</w:t>
            </w:r>
          </w:p>
        </w:tc>
        <w:tc>
          <w:tcPr>
            <w:tcW w:w="5391" w:type="dxa"/>
            <w:vAlign w:val="center"/>
          </w:tcPr>
          <w:p w14:paraId="4ABB4CCB" w14:textId="77777777" w:rsidR="000C6E1B" w:rsidRPr="00CE7705" w:rsidRDefault="000C6E1B" w:rsidP="0044671B">
            <w:pPr>
              <w:spacing w:line="276" w:lineRule="auto"/>
              <w:rPr>
                <w:rFonts w:ascii="Verdana" w:eastAsia="Arial Nova" w:hAnsi="Verdana" w:cs="Arial Nova"/>
                <w:sz w:val="18"/>
                <w:szCs w:val="18"/>
              </w:rPr>
            </w:pPr>
          </w:p>
        </w:tc>
      </w:tr>
      <w:tr w:rsidR="000C6E1B" w:rsidRPr="00CE7705" w14:paraId="217B6634" w14:textId="77777777" w:rsidTr="000C6E1B">
        <w:trPr>
          <w:trHeight w:val="260"/>
        </w:trPr>
        <w:tc>
          <w:tcPr>
            <w:tcW w:w="3676" w:type="dxa"/>
            <w:shd w:val="clear" w:color="auto" w:fill="AEAAAA" w:themeFill="background2" w:themeFillShade="BF"/>
            <w:vAlign w:val="center"/>
            <w:hideMark/>
          </w:tcPr>
          <w:p w14:paraId="102F930D"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Código de estandarización:</w:t>
            </w:r>
          </w:p>
        </w:tc>
        <w:tc>
          <w:tcPr>
            <w:tcW w:w="5391" w:type="dxa"/>
            <w:vAlign w:val="center"/>
            <w:hideMark/>
          </w:tcPr>
          <w:p w14:paraId="0C2924F4" w14:textId="77777777" w:rsidR="000C6E1B" w:rsidRPr="00CE7705" w:rsidRDefault="000C6E1B" w:rsidP="0044671B">
            <w:pPr>
              <w:spacing w:line="276" w:lineRule="auto"/>
              <w:rPr>
                <w:rFonts w:ascii="Verdana" w:eastAsia="Arial Nova" w:hAnsi="Verdana" w:cs="Arial Nova"/>
                <w:bCs/>
                <w:sz w:val="18"/>
                <w:szCs w:val="18"/>
              </w:rPr>
            </w:pPr>
          </w:p>
        </w:tc>
      </w:tr>
      <w:tr w:rsidR="000C6E1B" w:rsidRPr="00CE7705" w14:paraId="4F324A4E" w14:textId="77777777" w:rsidTr="000C6E1B">
        <w:trPr>
          <w:trHeight w:val="260"/>
        </w:trPr>
        <w:tc>
          <w:tcPr>
            <w:tcW w:w="3676" w:type="dxa"/>
            <w:shd w:val="clear" w:color="auto" w:fill="AEAAAA" w:themeFill="background2" w:themeFillShade="BF"/>
            <w:vAlign w:val="center"/>
            <w:hideMark/>
          </w:tcPr>
          <w:p w14:paraId="160CB043"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Categoría / Tipo de documento:</w:t>
            </w:r>
          </w:p>
        </w:tc>
        <w:tc>
          <w:tcPr>
            <w:tcW w:w="5391" w:type="dxa"/>
            <w:vAlign w:val="center"/>
            <w:hideMark/>
          </w:tcPr>
          <w:p w14:paraId="7FD2A5DF" w14:textId="77777777" w:rsidR="000C6E1B" w:rsidRPr="00CE7705" w:rsidRDefault="000C6E1B" w:rsidP="0044671B">
            <w:pPr>
              <w:spacing w:line="276" w:lineRule="auto"/>
              <w:rPr>
                <w:rFonts w:ascii="Verdana" w:eastAsia="Arial Nova" w:hAnsi="Verdana" w:cs="Arial Nova"/>
                <w:sz w:val="18"/>
                <w:szCs w:val="18"/>
              </w:rPr>
            </w:pPr>
          </w:p>
        </w:tc>
      </w:tr>
      <w:tr w:rsidR="000C6E1B" w:rsidRPr="00CE7705" w14:paraId="3B4A2037" w14:textId="77777777" w:rsidTr="000C6E1B">
        <w:trPr>
          <w:trHeight w:val="260"/>
        </w:trPr>
        <w:tc>
          <w:tcPr>
            <w:tcW w:w="3676" w:type="dxa"/>
            <w:shd w:val="clear" w:color="auto" w:fill="AEAAAA" w:themeFill="background2" w:themeFillShade="BF"/>
            <w:vAlign w:val="center"/>
            <w:hideMark/>
          </w:tcPr>
          <w:p w14:paraId="57597A8F"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Aprobación por:</w:t>
            </w:r>
          </w:p>
        </w:tc>
        <w:tc>
          <w:tcPr>
            <w:tcW w:w="5391" w:type="dxa"/>
            <w:vAlign w:val="center"/>
            <w:hideMark/>
          </w:tcPr>
          <w:p w14:paraId="1EBFB331" w14:textId="77777777" w:rsidR="000C6E1B" w:rsidRPr="00CE7705" w:rsidRDefault="000C6E1B" w:rsidP="0044671B">
            <w:pPr>
              <w:spacing w:line="276" w:lineRule="auto"/>
              <w:rPr>
                <w:rFonts w:ascii="Verdana" w:eastAsia="Arial Nova" w:hAnsi="Verdana" w:cs="Arial Nova"/>
                <w:sz w:val="18"/>
                <w:szCs w:val="18"/>
              </w:rPr>
            </w:pPr>
          </w:p>
        </w:tc>
      </w:tr>
      <w:tr w:rsidR="000C6E1B" w:rsidRPr="00CE7705" w14:paraId="26DE54B4" w14:textId="77777777" w:rsidTr="000C6E1B">
        <w:trPr>
          <w:trHeight w:val="260"/>
        </w:trPr>
        <w:tc>
          <w:tcPr>
            <w:tcW w:w="3676" w:type="dxa"/>
            <w:shd w:val="clear" w:color="auto" w:fill="AEAAAA" w:themeFill="background2" w:themeFillShade="BF"/>
            <w:vAlign w:val="center"/>
          </w:tcPr>
          <w:p w14:paraId="25C2A76A"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Información adicional:</w:t>
            </w:r>
          </w:p>
        </w:tc>
        <w:tc>
          <w:tcPr>
            <w:tcW w:w="5391" w:type="dxa"/>
            <w:vAlign w:val="center"/>
          </w:tcPr>
          <w:p w14:paraId="379D4149" w14:textId="77777777" w:rsidR="000C6E1B" w:rsidRPr="00CE7705" w:rsidRDefault="000C6E1B" w:rsidP="0044671B">
            <w:pPr>
              <w:spacing w:line="276" w:lineRule="auto"/>
              <w:rPr>
                <w:rFonts w:ascii="Verdana" w:eastAsia="Arial Nova" w:hAnsi="Verdana" w:cs="Arial Nova"/>
                <w:sz w:val="18"/>
                <w:szCs w:val="18"/>
              </w:rPr>
            </w:pPr>
          </w:p>
        </w:tc>
      </w:tr>
      <w:bookmarkEnd w:id="83"/>
      <w:tr w:rsidR="000C6E1B" w:rsidRPr="00CE7705" w14:paraId="24DF1DE9" w14:textId="77777777" w:rsidTr="000C6E1B">
        <w:trPr>
          <w:trHeight w:val="260"/>
        </w:trPr>
        <w:tc>
          <w:tcPr>
            <w:tcW w:w="3676" w:type="dxa"/>
            <w:shd w:val="clear" w:color="auto" w:fill="AEAAAA" w:themeFill="background2" w:themeFillShade="BF"/>
            <w:vAlign w:val="center"/>
            <w:hideMark/>
          </w:tcPr>
          <w:p w14:paraId="3A64464C"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Serie documental según TRD</w:t>
            </w:r>
          </w:p>
        </w:tc>
        <w:tc>
          <w:tcPr>
            <w:tcW w:w="5391" w:type="dxa"/>
            <w:vAlign w:val="center"/>
            <w:hideMark/>
          </w:tcPr>
          <w:p w14:paraId="33E9A156" w14:textId="77777777" w:rsidR="000C6E1B" w:rsidRPr="00CE7705" w:rsidRDefault="000C6E1B" w:rsidP="0044671B">
            <w:pPr>
              <w:spacing w:line="276" w:lineRule="auto"/>
              <w:rPr>
                <w:rFonts w:ascii="Verdana" w:eastAsia="Arial Nova" w:hAnsi="Verdana" w:cs="Arial Nova"/>
                <w:sz w:val="18"/>
                <w:szCs w:val="18"/>
              </w:rPr>
            </w:pPr>
          </w:p>
        </w:tc>
      </w:tr>
      <w:tr w:rsidR="000C6E1B" w:rsidRPr="00CE7705" w14:paraId="7722F9C4" w14:textId="77777777" w:rsidTr="000C6E1B">
        <w:trPr>
          <w:trHeight w:val="740"/>
        </w:trPr>
        <w:tc>
          <w:tcPr>
            <w:tcW w:w="3676" w:type="dxa"/>
            <w:shd w:val="clear" w:color="auto" w:fill="AEAAAA" w:themeFill="background2" w:themeFillShade="BF"/>
            <w:vAlign w:val="center"/>
            <w:hideMark/>
          </w:tcPr>
          <w:p w14:paraId="1E8B39EE" w14:textId="77777777" w:rsidR="000C6E1B" w:rsidRPr="00CE7705" w:rsidRDefault="000C6E1B" w:rsidP="0044671B">
            <w:pPr>
              <w:spacing w:line="276" w:lineRule="auto"/>
              <w:rPr>
                <w:rFonts w:ascii="Verdana" w:hAnsi="Verdana" w:cs="Calibri"/>
                <w:b/>
                <w:bCs/>
                <w:sz w:val="18"/>
                <w:szCs w:val="18"/>
              </w:rPr>
            </w:pPr>
            <w:r w:rsidRPr="00CE7705">
              <w:rPr>
                <w:rFonts w:ascii="Verdana" w:hAnsi="Verdana" w:cs="Calibri"/>
                <w:b/>
                <w:bCs/>
                <w:sz w:val="18"/>
                <w:szCs w:val="18"/>
              </w:rPr>
              <w:t>Enlace de ubicación original del documento (especifique donde se aloja o reposa el documento)</w:t>
            </w:r>
          </w:p>
        </w:tc>
        <w:tc>
          <w:tcPr>
            <w:tcW w:w="5391" w:type="dxa"/>
            <w:vAlign w:val="center"/>
            <w:hideMark/>
          </w:tcPr>
          <w:p w14:paraId="5E3A2179" w14:textId="77777777" w:rsidR="000C6E1B" w:rsidRPr="00CE7705" w:rsidRDefault="000C6E1B" w:rsidP="0044671B">
            <w:pPr>
              <w:spacing w:line="276" w:lineRule="auto"/>
              <w:rPr>
                <w:rFonts w:ascii="Verdana" w:eastAsia="Arial Nova" w:hAnsi="Verdana" w:cs="Arial Nova"/>
                <w:color w:val="404343"/>
                <w:sz w:val="18"/>
                <w:szCs w:val="18"/>
              </w:rPr>
            </w:pPr>
          </w:p>
        </w:tc>
      </w:tr>
    </w:tbl>
    <w:p w14:paraId="138BB79F" w14:textId="77777777" w:rsidR="000C6E1B" w:rsidRPr="00CE7705" w:rsidRDefault="000C6E1B" w:rsidP="000C6E1B">
      <w:pPr>
        <w:spacing w:line="276" w:lineRule="auto"/>
        <w:rPr>
          <w:rFonts w:ascii="Verdana" w:hAnsi="Verdana"/>
          <w:color w:val="404343"/>
        </w:rPr>
      </w:pPr>
    </w:p>
    <w:tbl>
      <w:tblPr>
        <w:tblW w:w="9072"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CellMar>
          <w:left w:w="70" w:type="dxa"/>
          <w:right w:w="70" w:type="dxa"/>
        </w:tblCellMar>
        <w:tblLook w:val="04A0" w:firstRow="1" w:lastRow="0" w:firstColumn="1" w:lastColumn="0" w:noHBand="0" w:noVBand="1"/>
      </w:tblPr>
      <w:tblGrid>
        <w:gridCol w:w="970"/>
        <w:gridCol w:w="1943"/>
        <w:gridCol w:w="1079"/>
        <w:gridCol w:w="908"/>
        <w:gridCol w:w="2384"/>
        <w:gridCol w:w="1788"/>
      </w:tblGrid>
      <w:tr w:rsidR="000C6E1B" w:rsidRPr="00CE7705" w14:paraId="6DA553A3" w14:textId="77777777" w:rsidTr="000C6E1B">
        <w:trPr>
          <w:trHeight w:val="300"/>
        </w:trPr>
        <w:tc>
          <w:tcPr>
            <w:tcW w:w="9072" w:type="dxa"/>
            <w:gridSpan w:val="6"/>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EAAAA" w:themeFill="background2" w:themeFillShade="BF"/>
            <w:vAlign w:val="center"/>
            <w:hideMark/>
          </w:tcPr>
          <w:p w14:paraId="72101292" w14:textId="5573CD2C" w:rsidR="000C6E1B" w:rsidRPr="00CE7705" w:rsidRDefault="000C6E1B" w:rsidP="0044671B">
            <w:pPr>
              <w:jc w:val="center"/>
              <w:rPr>
                <w:rFonts w:ascii="Verdana" w:hAnsi="Verdana" w:cs="Calibri"/>
                <w:b/>
                <w:bCs/>
                <w:sz w:val="16"/>
                <w:szCs w:val="16"/>
                <w:lang w:eastAsia="es-CO"/>
              </w:rPr>
            </w:pPr>
            <w:r w:rsidRPr="00CE7705">
              <w:rPr>
                <w:rFonts w:ascii="Verdana" w:hAnsi="Verdana" w:cs="Calibri"/>
                <w:b/>
                <w:bCs/>
                <w:sz w:val="16"/>
                <w:szCs w:val="16"/>
                <w:lang w:eastAsia="es-CO"/>
              </w:rPr>
              <w:t>CONTROL DE CAMBIOS DEL DOCUMENTO</w:t>
            </w:r>
          </w:p>
        </w:tc>
      </w:tr>
      <w:tr w:rsidR="00BB27FE" w:rsidRPr="00CE7705" w14:paraId="7EBD57F5" w14:textId="77777777" w:rsidTr="000C6E1B">
        <w:trPr>
          <w:trHeight w:val="300"/>
        </w:trPr>
        <w:tc>
          <w:tcPr>
            <w:tcW w:w="810" w:type="dxa"/>
            <w:shd w:val="clear" w:color="auto" w:fill="AEAAAA" w:themeFill="background2" w:themeFillShade="BF"/>
            <w:vAlign w:val="center"/>
            <w:hideMark/>
          </w:tcPr>
          <w:p w14:paraId="7A8683EE" w14:textId="77777777" w:rsidR="000C6E1B" w:rsidRPr="00CE7705" w:rsidRDefault="000C6E1B" w:rsidP="0044671B">
            <w:pPr>
              <w:jc w:val="center"/>
              <w:rPr>
                <w:rFonts w:ascii="Verdana" w:hAnsi="Verdana" w:cs="Calibri"/>
                <w:b/>
                <w:bCs/>
                <w:sz w:val="16"/>
                <w:szCs w:val="16"/>
                <w:lang w:eastAsia="es-CO"/>
              </w:rPr>
            </w:pPr>
            <w:r w:rsidRPr="00CE7705">
              <w:rPr>
                <w:rFonts w:ascii="Verdana" w:hAnsi="Verdana" w:cs="Calibri"/>
                <w:b/>
                <w:bCs/>
                <w:sz w:val="16"/>
                <w:szCs w:val="16"/>
                <w:lang w:eastAsia="es-CO"/>
              </w:rPr>
              <w:t>VERSION</w:t>
            </w:r>
          </w:p>
        </w:tc>
        <w:tc>
          <w:tcPr>
            <w:tcW w:w="1994" w:type="dxa"/>
            <w:shd w:val="clear" w:color="auto" w:fill="AEAAAA" w:themeFill="background2" w:themeFillShade="BF"/>
            <w:vAlign w:val="center"/>
            <w:hideMark/>
          </w:tcPr>
          <w:p w14:paraId="15803B13" w14:textId="77777777" w:rsidR="000C6E1B" w:rsidRPr="00CE7705" w:rsidRDefault="000C6E1B" w:rsidP="0044671B">
            <w:pPr>
              <w:jc w:val="center"/>
              <w:rPr>
                <w:rFonts w:ascii="Verdana" w:hAnsi="Verdana" w:cs="Calibri"/>
                <w:b/>
                <w:bCs/>
                <w:sz w:val="16"/>
                <w:szCs w:val="16"/>
                <w:lang w:eastAsia="es-CO"/>
              </w:rPr>
            </w:pPr>
            <w:r w:rsidRPr="00CE7705">
              <w:rPr>
                <w:rFonts w:ascii="Verdana" w:hAnsi="Verdana" w:cs="Calibri"/>
                <w:b/>
                <w:bCs/>
                <w:sz w:val="16"/>
                <w:szCs w:val="16"/>
                <w:lang w:eastAsia="es-CO"/>
              </w:rPr>
              <w:t>AJUSTES</w:t>
            </w:r>
          </w:p>
        </w:tc>
        <w:tc>
          <w:tcPr>
            <w:tcW w:w="1096" w:type="dxa"/>
            <w:shd w:val="clear" w:color="auto" w:fill="AEAAAA" w:themeFill="background2" w:themeFillShade="BF"/>
            <w:vAlign w:val="center"/>
            <w:hideMark/>
          </w:tcPr>
          <w:p w14:paraId="7366F3E2" w14:textId="77777777" w:rsidR="000C6E1B" w:rsidRPr="00CE7705" w:rsidRDefault="000C6E1B" w:rsidP="0044671B">
            <w:pPr>
              <w:jc w:val="center"/>
              <w:rPr>
                <w:rFonts w:ascii="Verdana" w:hAnsi="Verdana" w:cs="Calibri"/>
                <w:b/>
                <w:bCs/>
                <w:sz w:val="16"/>
                <w:szCs w:val="16"/>
                <w:lang w:eastAsia="es-CO"/>
              </w:rPr>
            </w:pPr>
            <w:r w:rsidRPr="00CE7705">
              <w:rPr>
                <w:rFonts w:ascii="Verdana" w:hAnsi="Verdana" w:cs="Calibri"/>
                <w:b/>
                <w:bCs/>
                <w:sz w:val="16"/>
                <w:szCs w:val="16"/>
                <w:lang w:eastAsia="es-CO"/>
              </w:rPr>
              <w:t>FECHA</w:t>
            </w:r>
          </w:p>
        </w:tc>
        <w:tc>
          <w:tcPr>
            <w:tcW w:w="3342" w:type="dxa"/>
            <w:gridSpan w:val="2"/>
            <w:shd w:val="clear" w:color="auto" w:fill="AEAAAA" w:themeFill="background2" w:themeFillShade="BF"/>
            <w:vAlign w:val="center"/>
            <w:hideMark/>
          </w:tcPr>
          <w:p w14:paraId="4FA716D8" w14:textId="77777777" w:rsidR="000C6E1B" w:rsidRPr="00CE7705" w:rsidRDefault="000C6E1B" w:rsidP="0044671B">
            <w:pPr>
              <w:jc w:val="center"/>
              <w:rPr>
                <w:rFonts w:ascii="Verdana" w:hAnsi="Verdana" w:cs="Calibri"/>
                <w:b/>
                <w:bCs/>
                <w:sz w:val="16"/>
                <w:szCs w:val="16"/>
                <w:lang w:eastAsia="es-CO"/>
              </w:rPr>
            </w:pPr>
            <w:r w:rsidRPr="00CE7705">
              <w:rPr>
                <w:rFonts w:ascii="Verdana" w:hAnsi="Verdana" w:cs="Calibri"/>
                <w:b/>
                <w:bCs/>
                <w:sz w:val="16"/>
                <w:szCs w:val="16"/>
                <w:lang w:eastAsia="es-CO"/>
              </w:rPr>
              <w:t>VERSIÓN</w:t>
            </w:r>
            <w:r w:rsidRPr="00CE7705">
              <w:rPr>
                <w:rFonts w:ascii="Verdana" w:hAnsi="Verdana" w:cs="Calibri"/>
                <w:b/>
                <w:bCs/>
                <w:sz w:val="16"/>
                <w:szCs w:val="16"/>
              </w:rPr>
              <w:t xml:space="preserve"> VIGENTE DEL FORMATO</w:t>
            </w:r>
          </w:p>
        </w:tc>
        <w:tc>
          <w:tcPr>
            <w:tcW w:w="1830" w:type="dxa"/>
            <w:shd w:val="clear" w:color="000000" w:fill="FFFFFF"/>
            <w:vAlign w:val="center"/>
            <w:hideMark/>
          </w:tcPr>
          <w:p w14:paraId="58242C1E" w14:textId="67E1F4C0" w:rsidR="000C6E1B" w:rsidRPr="00CE7705" w:rsidRDefault="000C6E1B" w:rsidP="0044671B">
            <w:pPr>
              <w:jc w:val="center"/>
              <w:rPr>
                <w:rFonts w:ascii="Verdana" w:hAnsi="Verdana" w:cs="Calibri"/>
                <w:b/>
                <w:bCs/>
                <w:color w:val="46589C"/>
                <w:sz w:val="16"/>
                <w:szCs w:val="16"/>
                <w:lang w:eastAsia="es-CO"/>
              </w:rPr>
            </w:pPr>
            <w:r w:rsidRPr="000C6E1B">
              <w:rPr>
                <w:rFonts w:ascii="Verdana" w:hAnsi="Verdana" w:cs="Calibri"/>
                <w:b/>
                <w:bCs/>
                <w:sz w:val="16"/>
                <w:szCs w:val="16"/>
                <w:lang w:eastAsia="es-CO"/>
              </w:rPr>
              <w:t>01</w:t>
            </w:r>
          </w:p>
        </w:tc>
      </w:tr>
      <w:tr w:rsidR="000C6E1B" w:rsidRPr="00CE7705" w14:paraId="22700C59" w14:textId="77777777" w:rsidTr="000C6E1B">
        <w:trPr>
          <w:trHeight w:val="445"/>
        </w:trPr>
        <w:tc>
          <w:tcPr>
            <w:tcW w:w="810" w:type="dxa"/>
            <w:vMerge w:val="restart"/>
            <w:shd w:val="clear" w:color="auto" w:fill="auto"/>
            <w:vAlign w:val="center"/>
            <w:hideMark/>
          </w:tcPr>
          <w:p w14:paraId="40E442C5" w14:textId="77777777" w:rsidR="000C6E1B" w:rsidRPr="00CE7705" w:rsidRDefault="000C6E1B" w:rsidP="0044671B">
            <w:pPr>
              <w:jc w:val="center"/>
              <w:rPr>
                <w:rFonts w:ascii="Verdana" w:hAnsi="Verdana" w:cs="Calibri"/>
                <w:color w:val="404040"/>
                <w:sz w:val="18"/>
                <w:szCs w:val="18"/>
                <w:lang w:eastAsia="es-CO"/>
              </w:rPr>
            </w:pPr>
            <w:r w:rsidRPr="00CE7705">
              <w:rPr>
                <w:rFonts w:ascii="Verdana" w:eastAsia="Geo" w:hAnsi="Verdana" w:cs="Geo"/>
                <w:color w:val="000000"/>
                <w:sz w:val="18"/>
                <w:szCs w:val="18"/>
              </w:rPr>
              <w:t>01</w:t>
            </w:r>
          </w:p>
        </w:tc>
        <w:tc>
          <w:tcPr>
            <w:tcW w:w="1994" w:type="dxa"/>
            <w:vMerge w:val="restart"/>
            <w:shd w:val="clear" w:color="auto" w:fill="auto"/>
            <w:vAlign w:val="center"/>
            <w:hideMark/>
          </w:tcPr>
          <w:p w14:paraId="0FE267A5" w14:textId="77777777" w:rsidR="000C6E1B" w:rsidRPr="00CE7705" w:rsidRDefault="000C6E1B" w:rsidP="0044671B">
            <w:pPr>
              <w:rPr>
                <w:rFonts w:ascii="Verdana" w:hAnsi="Verdana" w:cs="Calibri"/>
                <w:color w:val="404040"/>
                <w:sz w:val="18"/>
                <w:szCs w:val="18"/>
                <w:lang w:eastAsia="es-CO"/>
              </w:rPr>
            </w:pPr>
          </w:p>
        </w:tc>
        <w:tc>
          <w:tcPr>
            <w:tcW w:w="1096" w:type="dxa"/>
            <w:vMerge w:val="restart"/>
            <w:shd w:val="clear" w:color="auto" w:fill="auto"/>
            <w:vAlign w:val="center"/>
            <w:hideMark/>
          </w:tcPr>
          <w:p w14:paraId="7BAEE3E1"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7F691EC1"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Elaboró</w:t>
            </w:r>
          </w:p>
        </w:tc>
        <w:tc>
          <w:tcPr>
            <w:tcW w:w="2494" w:type="dxa"/>
            <w:shd w:val="clear" w:color="auto" w:fill="auto"/>
            <w:vAlign w:val="center"/>
            <w:hideMark/>
          </w:tcPr>
          <w:p w14:paraId="7ECDC13A" w14:textId="77777777" w:rsidR="000C6E1B" w:rsidRPr="00CE7705" w:rsidRDefault="000C6E1B" w:rsidP="0044671B">
            <w:pPr>
              <w:spacing w:line="256" w:lineRule="auto"/>
              <w:jc w:val="center"/>
              <w:rPr>
                <w:rFonts w:ascii="Verdana" w:hAnsi="Verdana"/>
                <w:color w:val="404343"/>
                <w:sz w:val="18"/>
                <w:szCs w:val="18"/>
              </w:rPr>
            </w:pPr>
          </w:p>
        </w:tc>
        <w:tc>
          <w:tcPr>
            <w:tcW w:w="1830" w:type="dxa"/>
            <w:shd w:val="clear" w:color="auto" w:fill="auto"/>
            <w:vAlign w:val="center"/>
            <w:hideMark/>
          </w:tcPr>
          <w:p w14:paraId="367ADCA9" w14:textId="77777777" w:rsidR="000C6E1B" w:rsidRPr="00CE7705" w:rsidRDefault="000C6E1B" w:rsidP="0044671B">
            <w:pPr>
              <w:spacing w:line="256" w:lineRule="auto"/>
              <w:jc w:val="center"/>
              <w:rPr>
                <w:rFonts w:ascii="Verdana" w:hAnsi="Verdana" w:cs="Calibri"/>
                <w:color w:val="404040"/>
                <w:sz w:val="18"/>
                <w:szCs w:val="18"/>
                <w:lang w:eastAsia="es-CO"/>
              </w:rPr>
            </w:pPr>
            <w:r w:rsidRPr="00CE7705">
              <w:rPr>
                <w:rFonts w:ascii="Verdana" w:hAnsi="Verdana" w:cs="Calibri"/>
                <w:color w:val="404040"/>
                <w:sz w:val="18"/>
                <w:szCs w:val="18"/>
                <w:lang w:eastAsia="es-CO"/>
              </w:rPr>
              <w:t>Cargo de quien o quienes elaboran</w:t>
            </w:r>
          </w:p>
        </w:tc>
      </w:tr>
      <w:tr w:rsidR="000C6E1B" w:rsidRPr="00CE7705" w14:paraId="7EA9FE71" w14:textId="77777777" w:rsidTr="000C6E1B">
        <w:trPr>
          <w:trHeight w:val="347"/>
        </w:trPr>
        <w:tc>
          <w:tcPr>
            <w:tcW w:w="810" w:type="dxa"/>
            <w:vMerge/>
            <w:vAlign w:val="center"/>
            <w:hideMark/>
          </w:tcPr>
          <w:p w14:paraId="3F967AB7" w14:textId="77777777" w:rsidR="000C6E1B" w:rsidRPr="00CE7705" w:rsidRDefault="000C6E1B" w:rsidP="0044671B">
            <w:pPr>
              <w:jc w:val="center"/>
              <w:rPr>
                <w:rFonts w:ascii="Verdana" w:hAnsi="Verdana" w:cs="Calibri"/>
                <w:color w:val="404040"/>
                <w:sz w:val="18"/>
                <w:szCs w:val="18"/>
                <w:lang w:eastAsia="es-CO"/>
              </w:rPr>
            </w:pPr>
          </w:p>
        </w:tc>
        <w:tc>
          <w:tcPr>
            <w:tcW w:w="1994" w:type="dxa"/>
            <w:vMerge/>
            <w:vAlign w:val="center"/>
            <w:hideMark/>
          </w:tcPr>
          <w:p w14:paraId="0AEE83CB" w14:textId="77777777" w:rsidR="000C6E1B" w:rsidRPr="00CE7705" w:rsidRDefault="000C6E1B" w:rsidP="0044671B">
            <w:pPr>
              <w:rPr>
                <w:rFonts w:ascii="Verdana" w:hAnsi="Verdana" w:cs="Calibri"/>
                <w:color w:val="404040"/>
                <w:sz w:val="18"/>
                <w:szCs w:val="18"/>
                <w:lang w:eastAsia="es-CO"/>
              </w:rPr>
            </w:pPr>
          </w:p>
        </w:tc>
        <w:tc>
          <w:tcPr>
            <w:tcW w:w="1096" w:type="dxa"/>
            <w:vMerge/>
            <w:vAlign w:val="center"/>
            <w:hideMark/>
          </w:tcPr>
          <w:p w14:paraId="7B42B6E5"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496F5937"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Revisó</w:t>
            </w:r>
          </w:p>
        </w:tc>
        <w:tc>
          <w:tcPr>
            <w:tcW w:w="2494" w:type="dxa"/>
            <w:shd w:val="clear" w:color="auto" w:fill="auto"/>
            <w:vAlign w:val="center"/>
            <w:hideMark/>
          </w:tcPr>
          <w:p w14:paraId="4FBE6DB8" w14:textId="77777777" w:rsidR="000C6E1B" w:rsidRPr="00CE7705" w:rsidRDefault="000C6E1B" w:rsidP="0044671B">
            <w:pPr>
              <w:jc w:val="center"/>
              <w:rPr>
                <w:rFonts w:ascii="Verdana" w:hAnsi="Verdana"/>
                <w:color w:val="404343"/>
                <w:sz w:val="18"/>
                <w:szCs w:val="18"/>
              </w:rPr>
            </w:pPr>
          </w:p>
        </w:tc>
        <w:tc>
          <w:tcPr>
            <w:tcW w:w="1830" w:type="dxa"/>
            <w:shd w:val="clear" w:color="auto" w:fill="auto"/>
            <w:vAlign w:val="center"/>
            <w:hideMark/>
          </w:tcPr>
          <w:p w14:paraId="57840468" w14:textId="77777777" w:rsidR="000C6E1B" w:rsidRPr="00CE7705" w:rsidRDefault="000C6E1B" w:rsidP="0044671B">
            <w:pPr>
              <w:rPr>
                <w:rFonts w:ascii="Verdana" w:hAnsi="Verdana" w:cs="Calibri"/>
                <w:color w:val="404040"/>
                <w:sz w:val="18"/>
                <w:szCs w:val="18"/>
                <w:lang w:eastAsia="es-CO"/>
              </w:rPr>
            </w:pPr>
            <w:r w:rsidRPr="00CE7705">
              <w:rPr>
                <w:rFonts w:ascii="Verdana" w:hAnsi="Verdana" w:cs="Calibri"/>
                <w:color w:val="404040"/>
                <w:sz w:val="18"/>
                <w:szCs w:val="18"/>
                <w:lang w:eastAsia="es-CO"/>
              </w:rPr>
              <w:t>Cargo de quien o quienes revisan</w:t>
            </w:r>
          </w:p>
        </w:tc>
      </w:tr>
      <w:tr w:rsidR="000C6E1B" w:rsidRPr="00CE7705" w14:paraId="6989BCEB" w14:textId="77777777" w:rsidTr="000C6E1B">
        <w:trPr>
          <w:trHeight w:val="231"/>
        </w:trPr>
        <w:tc>
          <w:tcPr>
            <w:tcW w:w="810" w:type="dxa"/>
            <w:vMerge/>
            <w:vAlign w:val="center"/>
            <w:hideMark/>
          </w:tcPr>
          <w:p w14:paraId="5A932E22" w14:textId="77777777" w:rsidR="000C6E1B" w:rsidRPr="00CE7705" w:rsidRDefault="000C6E1B" w:rsidP="0044671B">
            <w:pPr>
              <w:jc w:val="center"/>
              <w:rPr>
                <w:rFonts w:ascii="Verdana" w:hAnsi="Verdana" w:cs="Calibri"/>
                <w:color w:val="404040"/>
                <w:sz w:val="18"/>
                <w:szCs w:val="18"/>
                <w:lang w:eastAsia="es-CO"/>
              </w:rPr>
            </w:pPr>
          </w:p>
        </w:tc>
        <w:tc>
          <w:tcPr>
            <w:tcW w:w="1994" w:type="dxa"/>
            <w:vMerge/>
            <w:vAlign w:val="center"/>
            <w:hideMark/>
          </w:tcPr>
          <w:p w14:paraId="5B5DBC92" w14:textId="77777777" w:rsidR="000C6E1B" w:rsidRPr="00CE7705" w:rsidRDefault="000C6E1B" w:rsidP="0044671B">
            <w:pPr>
              <w:rPr>
                <w:rFonts w:ascii="Verdana" w:hAnsi="Verdana" w:cs="Calibri"/>
                <w:color w:val="404040"/>
                <w:sz w:val="18"/>
                <w:szCs w:val="18"/>
                <w:lang w:eastAsia="es-CO"/>
              </w:rPr>
            </w:pPr>
          </w:p>
        </w:tc>
        <w:tc>
          <w:tcPr>
            <w:tcW w:w="1096" w:type="dxa"/>
            <w:vMerge/>
            <w:vAlign w:val="center"/>
            <w:hideMark/>
          </w:tcPr>
          <w:p w14:paraId="36180E4C"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53E94A9B"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Aprobó</w:t>
            </w:r>
          </w:p>
        </w:tc>
        <w:tc>
          <w:tcPr>
            <w:tcW w:w="2494" w:type="dxa"/>
            <w:shd w:val="clear" w:color="auto" w:fill="auto"/>
            <w:vAlign w:val="center"/>
            <w:hideMark/>
          </w:tcPr>
          <w:p w14:paraId="37E003B6" w14:textId="77777777" w:rsidR="000C6E1B" w:rsidRPr="00CE7705" w:rsidRDefault="000C6E1B" w:rsidP="0044671B">
            <w:pPr>
              <w:spacing w:line="276" w:lineRule="auto"/>
              <w:jc w:val="center"/>
              <w:rPr>
                <w:rFonts w:ascii="Verdana" w:hAnsi="Verdana"/>
                <w:bCs/>
                <w:color w:val="404040" w:themeColor="text1" w:themeTint="BF"/>
                <w:sz w:val="18"/>
                <w:szCs w:val="18"/>
              </w:rPr>
            </w:pPr>
          </w:p>
        </w:tc>
        <w:tc>
          <w:tcPr>
            <w:tcW w:w="1830" w:type="dxa"/>
            <w:shd w:val="clear" w:color="auto" w:fill="auto"/>
            <w:vAlign w:val="center"/>
            <w:hideMark/>
          </w:tcPr>
          <w:p w14:paraId="27FB2A12" w14:textId="321EFAF5" w:rsidR="000C6E1B" w:rsidRPr="00CE7705" w:rsidRDefault="000C6E1B" w:rsidP="0044671B">
            <w:pPr>
              <w:pBdr>
                <w:top w:val="nil"/>
                <w:left w:val="nil"/>
                <w:bottom w:val="nil"/>
                <w:right w:val="nil"/>
                <w:between w:val="nil"/>
              </w:pBdr>
              <w:rPr>
                <w:rFonts w:ascii="Verdana" w:hAnsi="Verdana"/>
                <w:sz w:val="18"/>
                <w:szCs w:val="18"/>
              </w:rPr>
            </w:pPr>
            <w:r w:rsidRPr="00CE7705">
              <w:rPr>
                <w:rFonts w:ascii="Verdana" w:hAnsi="Verdana" w:cs="Calibri"/>
                <w:color w:val="404040"/>
                <w:sz w:val="18"/>
                <w:szCs w:val="18"/>
                <w:lang w:eastAsia="es-CO"/>
              </w:rPr>
              <w:t xml:space="preserve">Cargo de </w:t>
            </w:r>
            <w:r w:rsidR="00AE5C22" w:rsidRPr="00CE7705">
              <w:rPr>
                <w:rFonts w:ascii="Verdana" w:hAnsi="Verdana" w:cs="Calibri"/>
                <w:color w:val="404040"/>
                <w:sz w:val="18"/>
                <w:szCs w:val="18"/>
                <w:lang w:eastAsia="es-CO"/>
              </w:rPr>
              <w:t>quien aprueba</w:t>
            </w:r>
          </w:p>
        </w:tc>
      </w:tr>
      <w:tr w:rsidR="000C6E1B" w:rsidRPr="00CE7705" w14:paraId="7475F77B" w14:textId="77777777" w:rsidTr="000C6E1B">
        <w:trPr>
          <w:trHeight w:val="445"/>
        </w:trPr>
        <w:tc>
          <w:tcPr>
            <w:tcW w:w="810" w:type="dxa"/>
            <w:vMerge w:val="restart"/>
            <w:shd w:val="clear" w:color="auto" w:fill="auto"/>
            <w:vAlign w:val="center"/>
            <w:hideMark/>
          </w:tcPr>
          <w:p w14:paraId="64216F0B" w14:textId="77777777" w:rsidR="000C6E1B" w:rsidRPr="00CE7705" w:rsidRDefault="000C6E1B" w:rsidP="0044671B">
            <w:pPr>
              <w:jc w:val="center"/>
              <w:rPr>
                <w:rFonts w:ascii="Verdana" w:hAnsi="Verdana" w:cs="Calibri"/>
                <w:color w:val="404040"/>
                <w:sz w:val="18"/>
                <w:szCs w:val="18"/>
                <w:lang w:eastAsia="es-CO"/>
              </w:rPr>
            </w:pPr>
            <w:r w:rsidRPr="00CE7705">
              <w:rPr>
                <w:rFonts w:ascii="Verdana" w:eastAsia="Geo" w:hAnsi="Verdana" w:cs="Geo"/>
                <w:color w:val="000000"/>
                <w:sz w:val="18"/>
                <w:szCs w:val="18"/>
              </w:rPr>
              <w:t>02</w:t>
            </w:r>
          </w:p>
        </w:tc>
        <w:tc>
          <w:tcPr>
            <w:tcW w:w="1994" w:type="dxa"/>
            <w:vMerge w:val="restart"/>
            <w:shd w:val="clear" w:color="auto" w:fill="auto"/>
            <w:vAlign w:val="center"/>
            <w:hideMark/>
          </w:tcPr>
          <w:p w14:paraId="71ADD382" w14:textId="77777777" w:rsidR="000C6E1B" w:rsidRPr="00CE7705" w:rsidRDefault="000C6E1B" w:rsidP="0044671B">
            <w:pPr>
              <w:rPr>
                <w:rFonts w:ascii="Verdana" w:hAnsi="Verdana" w:cs="Calibri"/>
                <w:color w:val="404040"/>
                <w:sz w:val="18"/>
                <w:szCs w:val="18"/>
                <w:lang w:eastAsia="es-CO"/>
              </w:rPr>
            </w:pPr>
          </w:p>
        </w:tc>
        <w:tc>
          <w:tcPr>
            <w:tcW w:w="1096" w:type="dxa"/>
            <w:vMerge w:val="restart"/>
            <w:shd w:val="clear" w:color="auto" w:fill="auto"/>
            <w:vAlign w:val="center"/>
            <w:hideMark/>
          </w:tcPr>
          <w:p w14:paraId="34980C40"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481ACDFD"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Elaboró</w:t>
            </w:r>
          </w:p>
        </w:tc>
        <w:tc>
          <w:tcPr>
            <w:tcW w:w="2494" w:type="dxa"/>
            <w:shd w:val="clear" w:color="auto" w:fill="auto"/>
            <w:vAlign w:val="center"/>
            <w:hideMark/>
          </w:tcPr>
          <w:p w14:paraId="475D3B7A" w14:textId="77777777" w:rsidR="000C6E1B" w:rsidRPr="00CE7705" w:rsidRDefault="000C6E1B" w:rsidP="0044671B">
            <w:pPr>
              <w:spacing w:line="256" w:lineRule="auto"/>
              <w:jc w:val="center"/>
              <w:rPr>
                <w:rFonts w:ascii="Verdana" w:hAnsi="Verdana"/>
                <w:color w:val="404343"/>
                <w:sz w:val="18"/>
                <w:szCs w:val="18"/>
              </w:rPr>
            </w:pPr>
          </w:p>
        </w:tc>
        <w:tc>
          <w:tcPr>
            <w:tcW w:w="1830" w:type="dxa"/>
            <w:shd w:val="clear" w:color="auto" w:fill="auto"/>
            <w:vAlign w:val="center"/>
            <w:hideMark/>
          </w:tcPr>
          <w:p w14:paraId="5EBF859E" w14:textId="77777777" w:rsidR="000C6E1B" w:rsidRPr="00CE7705" w:rsidRDefault="000C6E1B" w:rsidP="0044671B">
            <w:pPr>
              <w:spacing w:line="256" w:lineRule="auto"/>
              <w:jc w:val="center"/>
              <w:rPr>
                <w:rFonts w:ascii="Verdana" w:hAnsi="Verdana" w:cs="Calibri"/>
                <w:color w:val="404040"/>
                <w:sz w:val="18"/>
                <w:szCs w:val="18"/>
                <w:lang w:eastAsia="es-CO"/>
              </w:rPr>
            </w:pPr>
          </w:p>
        </w:tc>
      </w:tr>
      <w:tr w:rsidR="000C6E1B" w:rsidRPr="00CE7705" w14:paraId="3FB1D4D3" w14:textId="77777777" w:rsidTr="000C6E1B">
        <w:trPr>
          <w:trHeight w:val="347"/>
        </w:trPr>
        <w:tc>
          <w:tcPr>
            <w:tcW w:w="810" w:type="dxa"/>
            <w:vMerge/>
            <w:vAlign w:val="center"/>
            <w:hideMark/>
          </w:tcPr>
          <w:p w14:paraId="6CA417E7" w14:textId="77777777" w:rsidR="000C6E1B" w:rsidRPr="00CE7705" w:rsidRDefault="000C6E1B" w:rsidP="0044671B">
            <w:pPr>
              <w:jc w:val="center"/>
              <w:rPr>
                <w:rFonts w:ascii="Verdana" w:hAnsi="Verdana" w:cs="Calibri"/>
                <w:color w:val="404040"/>
                <w:sz w:val="18"/>
                <w:szCs w:val="18"/>
                <w:lang w:eastAsia="es-CO"/>
              </w:rPr>
            </w:pPr>
          </w:p>
        </w:tc>
        <w:tc>
          <w:tcPr>
            <w:tcW w:w="1994" w:type="dxa"/>
            <w:vMerge/>
            <w:vAlign w:val="center"/>
            <w:hideMark/>
          </w:tcPr>
          <w:p w14:paraId="6E35DA3F" w14:textId="77777777" w:rsidR="000C6E1B" w:rsidRPr="00CE7705" w:rsidRDefault="000C6E1B" w:rsidP="0044671B">
            <w:pPr>
              <w:rPr>
                <w:rFonts w:ascii="Verdana" w:hAnsi="Verdana" w:cs="Calibri"/>
                <w:color w:val="404040"/>
                <w:sz w:val="18"/>
                <w:szCs w:val="18"/>
                <w:lang w:eastAsia="es-CO"/>
              </w:rPr>
            </w:pPr>
          </w:p>
        </w:tc>
        <w:tc>
          <w:tcPr>
            <w:tcW w:w="1096" w:type="dxa"/>
            <w:vMerge/>
            <w:vAlign w:val="center"/>
            <w:hideMark/>
          </w:tcPr>
          <w:p w14:paraId="2302A14B"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36F27E35"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Revisó</w:t>
            </w:r>
          </w:p>
        </w:tc>
        <w:tc>
          <w:tcPr>
            <w:tcW w:w="2494" w:type="dxa"/>
            <w:shd w:val="clear" w:color="auto" w:fill="auto"/>
            <w:vAlign w:val="center"/>
            <w:hideMark/>
          </w:tcPr>
          <w:p w14:paraId="0FE0876E" w14:textId="77777777" w:rsidR="000C6E1B" w:rsidRPr="00CE7705" w:rsidRDefault="000C6E1B" w:rsidP="0044671B">
            <w:pPr>
              <w:jc w:val="center"/>
              <w:rPr>
                <w:rFonts w:ascii="Verdana" w:hAnsi="Verdana"/>
                <w:color w:val="404343"/>
                <w:sz w:val="18"/>
                <w:szCs w:val="18"/>
                <w:lang w:val="es-MX"/>
              </w:rPr>
            </w:pPr>
          </w:p>
        </w:tc>
        <w:tc>
          <w:tcPr>
            <w:tcW w:w="1830" w:type="dxa"/>
            <w:shd w:val="clear" w:color="auto" w:fill="auto"/>
            <w:vAlign w:val="center"/>
            <w:hideMark/>
          </w:tcPr>
          <w:p w14:paraId="33B84813" w14:textId="77777777" w:rsidR="000C6E1B" w:rsidRPr="00CE7705" w:rsidRDefault="000C6E1B" w:rsidP="0044671B">
            <w:pPr>
              <w:rPr>
                <w:rFonts w:ascii="Verdana" w:hAnsi="Verdana" w:cs="Calibri"/>
                <w:color w:val="404040"/>
                <w:sz w:val="18"/>
                <w:szCs w:val="18"/>
                <w:lang w:eastAsia="es-CO"/>
              </w:rPr>
            </w:pPr>
          </w:p>
        </w:tc>
      </w:tr>
      <w:tr w:rsidR="000C6E1B" w:rsidRPr="00CE7705" w14:paraId="19316412" w14:textId="77777777" w:rsidTr="000C6E1B">
        <w:trPr>
          <w:trHeight w:val="231"/>
        </w:trPr>
        <w:tc>
          <w:tcPr>
            <w:tcW w:w="810" w:type="dxa"/>
            <w:vMerge/>
            <w:vAlign w:val="center"/>
            <w:hideMark/>
          </w:tcPr>
          <w:p w14:paraId="243E66EA" w14:textId="77777777" w:rsidR="000C6E1B" w:rsidRPr="00CE7705" w:rsidRDefault="000C6E1B" w:rsidP="0044671B">
            <w:pPr>
              <w:jc w:val="center"/>
              <w:rPr>
                <w:rFonts w:ascii="Verdana" w:hAnsi="Verdana" w:cs="Calibri"/>
                <w:color w:val="404040"/>
                <w:sz w:val="18"/>
                <w:szCs w:val="18"/>
                <w:lang w:eastAsia="es-CO"/>
              </w:rPr>
            </w:pPr>
          </w:p>
        </w:tc>
        <w:tc>
          <w:tcPr>
            <w:tcW w:w="1994" w:type="dxa"/>
            <w:vMerge/>
            <w:vAlign w:val="center"/>
            <w:hideMark/>
          </w:tcPr>
          <w:p w14:paraId="08FEE4B2" w14:textId="77777777" w:rsidR="000C6E1B" w:rsidRPr="00CE7705" w:rsidRDefault="000C6E1B" w:rsidP="0044671B">
            <w:pPr>
              <w:rPr>
                <w:rFonts w:ascii="Verdana" w:hAnsi="Verdana" w:cs="Calibri"/>
                <w:color w:val="404040"/>
                <w:sz w:val="18"/>
                <w:szCs w:val="18"/>
                <w:lang w:eastAsia="es-CO"/>
              </w:rPr>
            </w:pPr>
          </w:p>
        </w:tc>
        <w:tc>
          <w:tcPr>
            <w:tcW w:w="1096" w:type="dxa"/>
            <w:vMerge/>
            <w:vAlign w:val="center"/>
            <w:hideMark/>
          </w:tcPr>
          <w:p w14:paraId="3598314B" w14:textId="77777777" w:rsidR="000C6E1B" w:rsidRPr="00CE7705" w:rsidRDefault="000C6E1B" w:rsidP="0044671B">
            <w:pPr>
              <w:jc w:val="center"/>
              <w:rPr>
                <w:rFonts w:ascii="Verdana" w:hAnsi="Verdana" w:cs="Calibri"/>
                <w:color w:val="404040"/>
                <w:sz w:val="18"/>
                <w:szCs w:val="18"/>
                <w:lang w:eastAsia="es-CO"/>
              </w:rPr>
            </w:pPr>
          </w:p>
        </w:tc>
        <w:tc>
          <w:tcPr>
            <w:tcW w:w="848" w:type="dxa"/>
            <w:shd w:val="clear" w:color="auto" w:fill="AEAAAA" w:themeFill="background2" w:themeFillShade="BF"/>
            <w:vAlign w:val="center"/>
            <w:hideMark/>
          </w:tcPr>
          <w:p w14:paraId="2AA7DFAA" w14:textId="77777777" w:rsidR="000C6E1B" w:rsidRPr="00CE7705" w:rsidRDefault="000C6E1B" w:rsidP="0044671B">
            <w:pPr>
              <w:jc w:val="center"/>
              <w:rPr>
                <w:rFonts w:ascii="Verdana" w:hAnsi="Verdana" w:cs="Calibri"/>
                <w:b/>
                <w:bCs/>
                <w:sz w:val="18"/>
                <w:szCs w:val="18"/>
                <w:lang w:eastAsia="es-CO"/>
              </w:rPr>
            </w:pPr>
            <w:r w:rsidRPr="00CE7705">
              <w:rPr>
                <w:rFonts w:ascii="Verdana" w:hAnsi="Verdana" w:cs="Calibri"/>
                <w:b/>
                <w:bCs/>
                <w:sz w:val="18"/>
                <w:szCs w:val="18"/>
                <w:lang w:eastAsia="es-CO"/>
              </w:rPr>
              <w:t>Aprobó</w:t>
            </w:r>
          </w:p>
        </w:tc>
        <w:tc>
          <w:tcPr>
            <w:tcW w:w="2494" w:type="dxa"/>
            <w:shd w:val="clear" w:color="auto" w:fill="auto"/>
            <w:vAlign w:val="center"/>
            <w:hideMark/>
          </w:tcPr>
          <w:p w14:paraId="053C594C" w14:textId="77777777" w:rsidR="000C6E1B" w:rsidRPr="00CE7705" w:rsidRDefault="000C6E1B" w:rsidP="0044671B">
            <w:pPr>
              <w:ind w:right="474"/>
              <w:rPr>
                <w:rFonts w:ascii="Verdana" w:hAnsi="Verdana"/>
                <w:bCs/>
                <w:color w:val="404040" w:themeColor="text1" w:themeTint="BF"/>
                <w:sz w:val="18"/>
                <w:szCs w:val="18"/>
              </w:rPr>
            </w:pPr>
          </w:p>
        </w:tc>
        <w:tc>
          <w:tcPr>
            <w:tcW w:w="1830" w:type="dxa"/>
            <w:shd w:val="clear" w:color="auto" w:fill="auto"/>
            <w:vAlign w:val="center"/>
            <w:hideMark/>
          </w:tcPr>
          <w:p w14:paraId="773A7898" w14:textId="77777777" w:rsidR="000C6E1B" w:rsidRPr="00CE7705" w:rsidRDefault="000C6E1B" w:rsidP="0044671B">
            <w:pPr>
              <w:pBdr>
                <w:top w:val="nil"/>
                <w:left w:val="nil"/>
                <w:bottom w:val="nil"/>
                <w:right w:val="nil"/>
                <w:between w:val="nil"/>
              </w:pBdr>
              <w:jc w:val="center"/>
              <w:rPr>
                <w:rFonts w:ascii="Verdana" w:hAnsi="Verdana"/>
                <w:sz w:val="18"/>
                <w:szCs w:val="18"/>
                <w:lang w:val="it-IT"/>
              </w:rPr>
            </w:pPr>
          </w:p>
        </w:tc>
      </w:tr>
    </w:tbl>
    <w:p w14:paraId="16D8BBF7" w14:textId="77777777" w:rsidR="000C6E1B" w:rsidRPr="00CE7705" w:rsidRDefault="000C6E1B" w:rsidP="000C6E1B">
      <w:pPr>
        <w:spacing w:line="276" w:lineRule="auto"/>
        <w:jc w:val="center"/>
        <w:rPr>
          <w:rFonts w:ascii="Verdana" w:hAnsi="Verdana"/>
          <w:color w:val="404343"/>
        </w:rPr>
      </w:pPr>
      <w:r w:rsidRPr="00CE7705">
        <w:rPr>
          <w:rFonts w:ascii="Verdana" w:hAnsi="Verdana"/>
          <w:bCs/>
          <w:color w:val="000000" w:themeColor="text1"/>
          <w:sz w:val="18"/>
          <w:szCs w:val="18"/>
          <w:u w:val="single"/>
        </w:rPr>
        <w:t>Nota: El control de cambios en el documento, se refiere a cualquier ajuste que se efectúe sobre el documento</w:t>
      </w:r>
      <w:r w:rsidRPr="00CE7705">
        <w:rPr>
          <w:rFonts w:ascii="Verdana" w:hAnsi="Verdana"/>
          <w:bCs/>
          <w:color w:val="000000" w:themeColor="text1"/>
          <w:sz w:val="16"/>
          <w:szCs w:val="20"/>
          <w:u w:val="single"/>
        </w:rPr>
        <w:t xml:space="preserve"> que describe ficha técnica del presente documento</w:t>
      </w:r>
    </w:p>
    <w:p w14:paraId="13AFB9C4" w14:textId="77777777" w:rsidR="000C6E1B" w:rsidRPr="00CE7705" w:rsidRDefault="000C6E1B" w:rsidP="000C6E1B">
      <w:pPr>
        <w:spacing w:line="276" w:lineRule="auto"/>
        <w:rPr>
          <w:rFonts w:ascii="Verdana" w:hAnsi="Verdana"/>
          <w:color w:val="404343"/>
        </w:rPr>
      </w:pPr>
    </w:p>
    <w:p w14:paraId="76C2878D" w14:textId="7CBE6452" w:rsidR="331720D0" w:rsidRPr="00A81BAA" w:rsidRDefault="331720D0" w:rsidP="331720D0">
      <w:pPr>
        <w:jc w:val="both"/>
        <w:rPr>
          <w:rFonts w:ascii="Verdana" w:eastAsia="Calibri" w:hAnsi="Verdana" w:cs="Arial"/>
          <w:sz w:val="22"/>
          <w:szCs w:val="22"/>
        </w:rPr>
      </w:pPr>
    </w:p>
    <w:p w14:paraId="2C197464" w14:textId="3F2C50C7" w:rsidR="331720D0" w:rsidRPr="00A81BAA" w:rsidRDefault="331720D0" w:rsidP="331720D0">
      <w:pPr>
        <w:jc w:val="both"/>
        <w:rPr>
          <w:rFonts w:ascii="Verdana" w:eastAsia="Calibri" w:hAnsi="Verdana" w:cs="Arial"/>
          <w:sz w:val="22"/>
          <w:szCs w:val="22"/>
        </w:rPr>
      </w:pPr>
    </w:p>
    <w:p w14:paraId="41BF1CE2" w14:textId="17864A64" w:rsidR="331720D0" w:rsidRPr="00A81BAA" w:rsidRDefault="331720D0" w:rsidP="331720D0">
      <w:pPr>
        <w:jc w:val="both"/>
        <w:rPr>
          <w:rFonts w:ascii="Verdana" w:eastAsia="Calibri" w:hAnsi="Verdana" w:cs="Arial"/>
          <w:sz w:val="22"/>
          <w:szCs w:val="22"/>
        </w:rPr>
      </w:pPr>
    </w:p>
    <w:p w14:paraId="4A6500A1" w14:textId="64C3B93C" w:rsidR="331720D0" w:rsidRPr="00A81BAA" w:rsidRDefault="331720D0" w:rsidP="331720D0">
      <w:pPr>
        <w:jc w:val="both"/>
        <w:rPr>
          <w:rFonts w:ascii="Verdana" w:eastAsia="Calibri" w:hAnsi="Verdana" w:cs="Arial"/>
          <w:sz w:val="22"/>
          <w:szCs w:val="22"/>
        </w:rPr>
      </w:pPr>
    </w:p>
    <w:p w14:paraId="0FAEEA0B" w14:textId="032B655F" w:rsidR="331720D0" w:rsidRPr="00A81BAA" w:rsidRDefault="331720D0" w:rsidP="331720D0">
      <w:pPr>
        <w:jc w:val="both"/>
        <w:rPr>
          <w:rFonts w:ascii="Verdana" w:eastAsia="Calibri" w:hAnsi="Verdana" w:cs="Arial"/>
          <w:sz w:val="22"/>
          <w:szCs w:val="22"/>
        </w:rPr>
      </w:pPr>
    </w:p>
    <w:sectPr w:rsidR="331720D0" w:rsidRPr="00A81BAA" w:rsidSect="00EB5E57">
      <w:headerReference w:type="default" r:id="rId103"/>
      <w:footerReference w:type="even" r:id="rId104"/>
      <w:footerReference w:type="default" r:id="rId105"/>
      <w:headerReference w:type="first" r:id="rId106"/>
      <w:footerReference w:type="first" r:id="rId107"/>
      <w:pgSz w:w="12242" w:h="15842"/>
      <w:pgMar w:top="1701" w:right="1327" w:bottom="2252" w:left="1276" w:header="709" w:footer="709"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0BFF40" w14:textId="77777777" w:rsidR="005945AC" w:rsidRDefault="005945AC">
      <w:r>
        <w:separator/>
      </w:r>
    </w:p>
  </w:endnote>
  <w:endnote w:type="continuationSeparator" w:id="0">
    <w:p w14:paraId="64660899" w14:textId="77777777" w:rsidR="005945AC" w:rsidRDefault="005945AC">
      <w:r>
        <w:continuationSeparator/>
      </w:r>
    </w:p>
  </w:endnote>
  <w:endnote w:type="continuationNotice" w:id="1">
    <w:p w14:paraId="6BC0B952" w14:textId="77777777" w:rsidR="005945AC" w:rsidRDefault="005945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Sans-Serif">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manist Bold">
    <w:altName w:val="Calibri"/>
    <w:panose1 w:val="00000000000000000000"/>
    <w:charset w:val="00"/>
    <w:family w:val="modern"/>
    <w:notTrueType/>
    <w:pitch w:val="variable"/>
    <w:sig w:usb0="A000002F" w:usb1="1000004A" w:usb2="00000000" w:usb3="00000000" w:csb0="00000193" w:csb1="00000000"/>
  </w:font>
  <w:font w:name="Geomanist Light">
    <w:altName w:val="Calibri"/>
    <w:panose1 w:val="00000000000000000000"/>
    <w:charset w:val="00"/>
    <w:family w:val="modern"/>
    <w:notTrueType/>
    <w:pitch w:val="variable"/>
    <w:sig w:usb0="A000002F" w:usb1="1000004A" w:usb2="00000000" w:usb3="00000000" w:csb0="00000193"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Verdana Pro">
    <w:charset w:val="00"/>
    <w:family w:val="swiss"/>
    <w:pitch w:val="variable"/>
    <w:sig w:usb0="80000287" w:usb1="00000043" w:usb2="00000000" w:usb3="00000000" w:csb0="0000009F" w:csb1="00000000"/>
  </w:font>
  <w:font w:name="Yu Mincho">
    <w:altName w:val="游明朝"/>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Nova">
    <w:charset w:val="00"/>
    <w:family w:val="swiss"/>
    <w:pitch w:val="variable"/>
    <w:sig w:usb0="0000028F" w:usb1="00000002" w:usb2="00000000" w:usb3="00000000" w:csb0="0000019F" w:csb1="00000000"/>
  </w:font>
  <w:font w:name="Geo">
    <w:altName w:val="Calibri"/>
    <w:charset w:val="00"/>
    <w:family w:val="auto"/>
    <w:pitch w:val="variable"/>
    <w:sig w:usb0="8000002F" w:usb1="40000048"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8" w14:textId="77777777" w:rsidR="00B44DC1" w:rsidRDefault="00B44DC1">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5A0F2" w14:textId="77777777" w:rsidR="00EB5E57" w:rsidRDefault="00EB5E57" w:rsidP="007B63C8">
    <w:pPr>
      <w:pBdr>
        <w:top w:val="single" w:sz="4" w:space="1" w:color="auto"/>
      </w:pBdr>
      <w:spacing w:line="276" w:lineRule="auto"/>
      <w:rPr>
        <w:rFonts w:ascii="Verdana" w:hAnsi="Verdana"/>
        <w:b/>
        <w:bCs/>
        <w:sz w:val="20"/>
        <w:szCs w:val="20"/>
      </w:rPr>
    </w:pPr>
    <w:r w:rsidRPr="008E4D59">
      <w:rPr>
        <w:rFonts w:ascii="Verdana" w:hAnsi="Verdana"/>
        <w:b/>
        <w:bCs/>
        <w:sz w:val="20"/>
        <w:szCs w:val="20"/>
      </w:rPr>
      <w:t>Agencia Nacional de Contratación</w:t>
    </w:r>
    <w:r>
      <w:rPr>
        <w:rFonts w:ascii="Verdana" w:hAnsi="Verdana"/>
        <w:b/>
        <w:bCs/>
        <w:sz w:val="20"/>
        <w:szCs w:val="20"/>
      </w:rPr>
      <w:t xml:space="preserve"> </w:t>
    </w:r>
    <w:r w:rsidRPr="008E4D59">
      <w:rPr>
        <w:rFonts w:ascii="Verdana" w:hAnsi="Verdana"/>
        <w:b/>
        <w:bCs/>
        <w:sz w:val="20"/>
        <w:szCs w:val="20"/>
      </w:rPr>
      <w:t>Pública</w:t>
    </w:r>
    <w:r>
      <w:rPr>
        <w:rFonts w:ascii="Verdana" w:hAnsi="Verdana"/>
        <w:b/>
        <w:bCs/>
        <w:sz w:val="20"/>
        <w:szCs w:val="20"/>
      </w:rPr>
      <w:t xml:space="preserve">                                                  </w:t>
    </w:r>
    <w:r w:rsidRPr="00EF48FB">
      <w:rPr>
        <w:rFonts w:ascii="Verdana" w:hAnsi="Verdana"/>
        <w:b/>
        <w:bCs/>
        <w:sz w:val="16"/>
        <w:szCs w:val="16"/>
      </w:rPr>
      <w:t xml:space="preserve">  </w:t>
    </w:r>
    <w:r w:rsidRPr="00EF48FB">
      <w:rPr>
        <w:rFonts w:ascii="Verdana" w:eastAsiaTheme="majorEastAsia" w:hAnsi="Verdana" w:cstheme="majorBidi"/>
        <w:b/>
        <w:bCs/>
        <w:sz w:val="16"/>
        <w:szCs w:val="16"/>
      </w:rPr>
      <w:t xml:space="preserve">pág. </w:t>
    </w:r>
    <w:r w:rsidRPr="00EF48FB">
      <w:rPr>
        <w:rFonts w:ascii="Verdana" w:eastAsiaTheme="minorEastAsia" w:hAnsi="Verdana" w:cstheme="minorBidi"/>
        <w:b/>
        <w:bCs/>
        <w:sz w:val="16"/>
        <w:szCs w:val="16"/>
      </w:rPr>
      <w:fldChar w:fldCharType="begin"/>
    </w:r>
    <w:r w:rsidRPr="00EF48FB">
      <w:rPr>
        <w:rFonts w:ascii="Verdana" w:hAnsi="Verdana"/>
        <w:b/>
        <w:bCs/>
        <w:sz w:val="16"/>
        <w:szCs w:val="16"/>
      </w:rPr>
      <w:instrText>PAGE    \* MERGEFORMAT</w:instrText>
    </w:r>
    <w:r w:rsidRPr="00EF48FB">
      <w:rPr>
        <w:rFonts w:ascii="Verdana" w:eastAsiaTheme="minorEastAsia" w:hAnsi="Verdana" w:cstheme="minorBidi"/>
        <w:b/>
        <w:bCs/>
        <w:sz w:val="16"/>
        <w:szCs w:val="16"/>
      </w:rPr>
      <w:fldChar w:fldCharType="separate"/>
    </w:r>
    <w:r>
      <w:rPr>
        <w:rFonts w:ascii="Verdana" w:eastAsiaTheme="minorEastAsia" w:hAnsi="Verdana" w:cstheme="minorBidi"/>
        <w:b/>
        <w:bCs/>
        <w:sz w:val="16"/>
        <w:szCs w:val="16"/>
      </w:rPr>
      <w:t>1</w:t>
    </w:r>
    <w:r w:rsidRPr="00EF48FB">
      <w:rPr>
        <w:rFonts w:ascii="Verdana" w:eastAsiaTheme="majorEastAsia" w:hAnsi="Verdana" w:cstheme="majorBidi"/>
        <w:b/>
        <w:bCs/>
        <w:sz w:val="16"/>
        <w:szCs w:val="16"/>
      </w:rPr>
      <w:fldChar w:fldCharType="end"/>
    </w:r>
  </w:p>
  <w:p w14:paraId="13AC477F" w14:textId="77777777" w:rsidR="00EB5E57" w:rsidRPr="00174B77" w:rsidRDefault="00EB5E57" w:rsidP="00EB5E57">
    <w:pPr>
      <w:spacing w:line="276" w:lineRule="auto"/>
      <w:rPr>
        <w:rFonts w:ascii="Verdana" w:hAnsi="Verdana"/>
        <w:b/>
        <w:bCs/>
        <w:sz w:val="20"/>
        <w:szCs w:val="20"/>
      </w:rPr>
    </w:pPr>
    <w:r w:rsidRPr="008E4D59">
      <w:rPr>
        <w:rFonts w:ascii="Verdana" w:hAnsi="Verdana"/>
        <w:b/>
        <w:bCs/>
        <w:sz w:val="20"/>
        <w:szCs w:val="20"/>
      </w:rPr>
      <w:t>Colombia Compra Eficiente</w:t>
    </w:r>
    <w:r>
      <w:rPr>
        <w:rFonts w:ascii="Verdana" w:hAnsi="Verdana"/>
        <w:b/>
        <w:bCs/>
        <w:sz w:val="20"/>
        <w:szCs w:val="20"/>
      </w:rPr>
      <w:t xml:space="preserve">      </w:t>
    </w:r>
  </w:p>
  <w:p w14:paraId="533F95F9" w14:textId="77777777" w:rsidR="00EB5E57" w:rsidRDefault="00EB5E57" w:rsidP="00EB5E57">
    <w:pPr>
      <w:spacing w:line="276" w:lineRule="auto"/>
      <w:jc w:val="both"/>
      <w:rPr>
        <w:rFonts w:ascii="Verdana" w:hAnsi="Verdana"/>
        <w:sz w:val="18"/>
        <w:szCs w:val="18"/>
      </w:rPr>
    </w:pPr>
    <w:r w:rsidRPr="00E41027">
      <w:rPr>
        <w:rFonts w:ascii="Verdana" w:hAnsi="Verdana"/>
        <w:sz w:val="18"/>
        <w:szCs w:val="18"/>
      </w:rPr>
      <w:t>Dirección: Carrera 7 # 26 – 20 - Bogotá, Colombia</w:t>
    </w:r>
  </w:p>
  <w:p w14:paraId="49694C32" w14:textId="77777777" w:rsidR="00EB5E57" w:rsidRPr="00E41027" w:rsidRDefault="00EB5E57" w:rsidP="00EB5E57">
    <w:pPr>
      <w:spacing w:line="276" w:lineRule="auto"/>
      <w:jc w:val="both"/>
      <w:rPr>
        <w:rFonts w:ascii="Verdana" w:hAnsi="Verdana"/>
        <w:sz w:val="18"/>
        <w:szCs w:val="18"/>
      </w:rPr>
    </w:pPr>
    <w:r w:rsidRPr="00E41027">
      <w:rPr>
        <w:rFonts w:ascii="Verdana" w:hAnsi="Verdana"/>
        <w:sz w:val="18"/>
        <w:szCs w:val="18"/>
      </w:rPr>
      <w:t>Mesa de servicio: (+57) 601 7456788</w:t>
    </w:r>
  </w:p>
  <w:p w14:paraId="000000C7" w14:textId="512FB91B" w:rsidR="00B44DC1" w:rsidRPr="00EB5E57" w:rsidRDefault="248CD797" w:rsidP="00EB5E57">
    <w:pPr>
      <w:pStyle w:val="Encabezado"/>
      <w:rPr>
        <w:rFonts w:ascii="Century Gothic" w:hAnsi="Century Gothic"/>
        <w:sz w:val="16"/>
        <w:szCs w:val="16"/>
      </w:rPr>
    </w:pPr>
    <w:r w:rsidRPr="248CD797">
      <w:rPr>
        <w:rFonts w:ascii="Verdana" w:hAnsi="Verdana"/>
        <w:sz w:val="18"/>
        <w:szCs w:val="18"/>
      </w:rPr>
      <w:t>Atención al ciudadano: (+57) 601 7956600</w:t>
    </w:r>
    <w:r w:rsidRPr="248CD797">
      <w:rPr>
        <w:rFonts w:ascii="Verdana" w:hAnsi="Verdana"/>
        <w:sz w:val="20"/>
        <w:szCs w:val="20"/>
      </w:rPr>
      <w:t xml:space="preserve">    </w:t>
    </w:r>
    <w:r w:rsidRPr="248CD797">
      <w:rPr>
        <w:rFonts w:ascii="Verdana" w:hAnsi="Verdana"/>
        <w:sz w:val="16"/>
        <w:szCs w:val="16"/>
      </w:rPr>
      <w:t xml:space="preserve">Código: CCE-EICP-IDI-57 </w:t>
    </w:r>
    <w:r w:rsidRPr="248CD797">
      <w:rPr>
        <w:rFonts w:ascii="Verdana" w:eastAsia="Arial" w:hAnsi="Verdana" w:cs="Arial"/>
        <w:sz w:val="16"/>
        <w:szCs w:val="16"/>
      </w:rPr>
      <w:t xml:space="preserve">Versión: </w:t>
    </w:r>
    <w:r w:rsidRPr="248CD797">
      <w:rPr>
        <w:rFonts w:ascii="Verdana" w:hAnsi="Verdana"/>
        <w:sz w:val="16"/>
        <w:szCs w:val="16"/>
      </w:rPr>
      <w:t>01 Fecha: 29-08-2024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9" w14:textId="77777777" w:rsidR="00B44DC1" w:rsidRDefault="00B44DC1">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AB0D28" w14:textId="77777777" w:rsidR="005945AC" w:rsidRDefault="005945AC">
      <w:r>
        <w:separator/>
      </w:r>
    </w:p>
  </w:footnote>
  <w:footnote w:type="continuationSeparator" w:id="0">
    <w:p w14:paraId="35970CFA" w14:textId="77777777" w:rsidR="005945AC" w:rsidRDefault="005945AC">
      <w:r>
        <w:continuationSeparator/>
      </w:r>
    </w:p>
  </w:footnote>
  <w:footnote w:type="continuationNotice" w:id="1">
    <w:p w14:paraId="7C018C42" w14:textId="77777777" w:rsidR="005945AC" w:rsidRDefault="005945AC"/>
  </w:footnote>
  <w:footnote w:id="2">
    <w:p w14:paraId="17CE53E1" w14:textId="77777777" w:rsidR="008D7CE6" w:rsidRPr="00A50270" w:rsidRDefault="008D7CE6" w:rsidP="008D7CE6">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Marco Nacional de Cualificaciones. Contextualización del sector de la Construcción. Producto del convenio de asociación No. 201 de 2019 suscrito en el Ministerio de educación y Camacol. Octubre de 2019. Disponible en: </w:t>
      </w:r>
      <w:hyperlink r:id="rId1" w:history="1">
        <w:r w:rsidRPr="00A50270">
          <w:rPr>
            <w:rStyle w:val="Hipervnculo"/>
            <w:rFonts w:ascii="Verdana" w:hAnsi="Verdana" w:cs="Arial"/>
            <w:sz w:val="16"/>
            <w:szCs w:val="16"/>
          </w:rPr>
          <w:t>https://www.colombiaaprende.edu.co/sites/default/files/files_public/2021-08/caracterizacion-sector-construccion.pdf</w:t>
        </w:r>
      </w:hyperlink>
      <w:r w:rsidRPr="00A50270">
        <w:rPr>
          <w:rFonts w:ascii="Verdana" w:hAnsi="Verdana" w:cs="Arial"/>
          <w:sz w:val="16"/>
          <w:szCs w:val="16"/>
        </w:rPr>
        <w:t xml:space="preserve">  </w:t>
      </w:r>
    </w:p>
  </w:footnote>
  <w:footnote w:id="3">
    <w:p w14:paraId="6174AA7D" w14:textId="77777777" w:rsidR="008D7CE6" w:rsidRPr="00A50270" w:rsidRDefault="008D7CE6" w:rsidP="008D7CE6">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Ibidem. Pg. 45.</w:t>
      </w:r>
    </w:p>
  </w:footnote>
  <w:footnote w:id="4">
    <w:p w14:paraId="46026687" w14:textId="77777777" w:rsidR="008D38C8" w:rsidRPr="00A50270" w:rsidRDefault="008D38C8" w:rsidP="008D38C8">
      <w:pPr>
        <w:pStyle w:val="Textonotapie"/>
        <w:rPr>
          <w:rFonts w:ascii="Verdana" w:hAnsi="Verdana" w:cs="Arial"/>
          <w:sz w:val="16"/>
          <w:szCs w:val="16"/>
        </w:rPr>
      </w:pPr>
      <w:r w:rsidRPr="00A50270">
        <w:rPr>
          <w:rStyle w:val="Refdenotaalpie"/>
          <w:rFonts w:ascii="Verdana" w:hAnsi="Verdana" w:cs="Arial"/>
          <w:sz w:val="16"/>
          <w:szCs w:val="16"/>
        </w:rPr>
        <w:footnoteRef/>
      </w:r>
      <w:r w:rsidRPr="00A50270">
        <w:rPr>
          <w:rFonts w:ascii="Verdana" w:hAnsi="Verdana" w:cs="Arial"/>
          <w:sz w:val="16"/>
          <w:szCs w:val="16"/>
        </w:rPr>
        <w:t xml:space="preserve"> Boletín de Crecimiento del PIB. Secretaría Distrital del Hábitat. Agosto 2024. Disponible en: </w:t>
      </w:r>
      <w:hyperlink r:id="rId2" w:history="1">
        <w:r w:rsidRPr="00A50270">
          <w:rPr>
            <w:rStyle w:val="Hipervnculo"/>
            <w:rFonts w:ascii="Verdana" w:hAnsi="Verdana" w:cs="Arial"/>
            <w:sz w:val="16"/>
            <w:szCs w:val="16"/>
          </w:rPr>
          <w:t>https://observatoriohabitat.org/wp-content/uploads/2024/08/PIB_Marzo_2024.pdf</w:t>
        </w:r>
      </w:hyperlink>
      <w:r w:rsidRPr="00A50270">
        <w:rPr>
          <w:rFonts w:ascii="Verdana" w:hAnsi="Verdana" w:cs="Arial"/>
          <w:sz w:val="16"/>
          <w:szCs w:val="16"/>
        </w:rPr>
        <w:t xml:space="preserve"> </w:t>
      </w:r>
    </w:p>
  </w:footnote>
  <w:footnote w:id="5">
    <w:p w14:paraId="65243217" w14:textId="77777777" w:rsidR="008D38C8" w:rsidRPr="00B00FCB" w:rsidRDefault="008D38C8" w:rsidP="008D38C8">
      <w:pPr>
        <w:pStyle w:val="Textonotapie"/>
        <w:rPr>
          <w:rFonts w:ascii="Verdana" w:hAnsi="Verdana" w:cs="Arial"/>
          <w:sz w:val="16"/>
          <w:szCs w:val="16"/>
          <w:lang w:val="pt-PT"/>
        </w:rPr>
      </w:pPr>
      <w:r w:rsidRPr="00A50270">
        <w:rPr>
          <w:rStyle w:val="Refdenotaalpie"/>
          <w:rFonts w:ascii="Verdana" w:hAnsi="Verdana" w:cs="Arial"/>
          <w:sz w:val="16"/>
          <w:szCs w:val="16"/>
        </w:rPr>
        <w:footnoteRef/>
      </w:r>
      <w:r w:rsidRPr="00B00FCB">
        <w:rPr>
          <w:rFonts w:ascii="Verdana" w:hAnsi="Verdana" w:cs="Arial"/>
          <w:sz w:val="16"/>
          <w:szCs w:val="16"/>
          <w:lang w:val="pt-PT"/>
        </w:rPr>
        <w:t xml:space="preserve"> </w:t>
      </w:r>
      <w:r w:rsidRPr="00B00FCB">
        <w:rPr>
          <w:rFonts w:ascii="Verdana" w:hAnsi="Verdana" w:cs="Arial"/>
          <w:sz w:val="16"/>
          <w:szCs w:val="16"/>
          <w:lang w:val="pt-PT"/>
        </w:rPr>
        <w:t xml:space="preserve">Ídem. </w:t>
      </w:r>
    </w:p>
  </w:footnote>
  <w:footnote w:id="6">
    <w:p w14:paraId="38A28F85" w14:textId="77777777" w:rsidR="008D38C8" w:rsidRPr="00A50270" w:rsidRDefault="008D38C8" w:rsidP="008D38C8">
      <w:pPr>
        <w:pStyle w:val="Textonotapie"/>
        <w:rPr>
          <w:rFonts w:ascii="Verdana" w:hAnsi="Verdana"/>
          <w:sz w:val="16"/>
          <w:szCs w:val="16"/>
        </w:rPr>
      </w:pPr>
      <w:r w:rsidRPr="00A50270">
        <w:rPr>
          <w:rStyle w:val="Refdenotaalpie"/>
          <w:rFonts w:ascii="Verdana" w:hAnsi="Verdana"/>
          <w:sz w:val="16"/>
          <w:szCs w:val="16"/>
        </w:rPr>
        <w:footnoteRef/>
      </w:r>
      <w:r w:rsidRPr="00B00FCB">
        <w:rPr>
          <w:rFonts w:ascii="Verdana" w:hAnsi="Verdana"/>
          <w:sz w:val="16"/>
          <w:szCs w:val="16"/>
          <w:lang w:val="pt-PT"/>
        </w:rPr>
        <w:t xml:space="preserve"> </w:t>
      </w:r>
      <w:r w:rsidRPr="00B00FCB">
        <w:rPr>
          <w:rFonts w:ascii="Verdana" w:hAnsi="Verdana" w:cs="Arial"/>
          <w:sz w:val="16"/>
          <w:szCs w:val="16"/>
          <w:lang w:val="pt-PT"/>
        </w:rPr>
        <w:t>Departamento Administrativo Nacional de Estadística (DANE). Boletín Técnico PIB 2024 II trimestre 2024 preliminar. Disponible en:</w:t>
      </w:r>
      <w:r w:rsidRPr="00B00FCB">
        <w:rPr>
          <w:rFonts w:ascii="Verdana" w:hAnsi="Verdana"/>
          <w:sz w:val="16"/>
          <w:szCs w:val="16"/>
          <w:lang w:val="pt-PT"/>
        </w:rPr>
        <w:t xml:space="preserve"> </w:t>
      </w:r>
      <w:hyperlink r:id="rId3" w:history="1">
        <w:r w:rsidRPr="00B00FCB">
          <w:rPr>
            <w:rStyle w:val="Hipervnculo"/>
            <w:rFonts w:ascii="Verdana" w:hAnsi="Verdana" w:cs="Arial"/>
            <w:sz w:val="16"/>
            <w:szCs w:val="16"/>
            <w:lang w:val="pt-PT"/>
          </w:rPr>
          <w:t>https://www.dane.gov.co/files/operaciones/PIB/bol-PIB-IItrim2024.pdf</w:t>
        </w:r>
      </w:hyperlink>
      <w:r w:rsidRPr="00B00FCB">
        <w:rPr>
          <w:rFonts w:ascii="Verdana" w:hAnsi="Verdana" w:cs="Arial"/>
          <w:sz w:val="16"/>
          <w:szCs w:val="16"/>
          <w:lang w:val="pt-PT"/>
        </w:rPr>
        <w:t xml:space="preserve">. </w:t>
      </w:r>
      <w:r w:rsidRPr="00A50270">
        <w:rPr>
          <w:rFonts w:ascii="Verdana" w:hAnsi="Verdana" w:cs="Arial"/>
          <w:sz w:val="16"/>
          <w:szCs w:val="16"/>
        </w:rPr>
        <w:t xml:space="preserve">Fecha de consulta: </w:t>
      </w:r>
      <w:proofErr w:type="gramStart"/>
      <w:r w:rsidRPr="00A50270">
        <w:rPr>
          <w:rFonts w:ascii="Verdana" w:hAnsi="Verdana" w:cs="Arial"/>
          <w:sz w:val="16"/>
          <w:szCs w:val="16"/>
        </w:rPr>
        <w:t>Octubre</w:t>
      </w:r>
      <w:proofErr w:type="gramEnd"/>
      <w:r w:rsidRPr="00A50270">
        <w:rPr>
          <w:rFonts w:ascii="Verdana" w:hAnsi="Verdana" w:cs="Arial"/>
          <w:sz w:val="16"/>
          <w:szCs w:val="16"/>
        </w:rPr>
        <w:t xml:space="preserve"> 2024.</w:t>
      </w:r>
    </w:p>
  </w:footnote>
  <w:footnote w:id="7">
    <w:p w14:paraId="4F68C220" w14:textId="77777777" w:rsidR="008D38C8" w:rsidRPr="00A50270" w:rsidRDefault="008D38C8" w:rsidP="008D38C8">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Ídem. </w:t>
      </w:r>
    </w:p>
  </w:footnote>
  <w:footnote w:id="8">
    <w:p w14:paraId="00EC132E" w14:textId="77777777" w:rsidR="008D38C8" w:rsidRPr="00A50270" w:rsidRDefault="008D38C8" w:rsidP="008D38C8">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w:t>
      </w:r>
      <w:r w:rsidRPr="00A50270">
        <w:rPr>
          <w:rFonts w:ascii="Verdana" w:eastAsia="Arial Narrow" w:hAnsi="Verdana" w:cs="Arial"/>
          <w:bCs/>
          <w:sz w:val="16"/>
          <w:szCs w:val="16"/>
        </w:rPr>
        <w:t xml:space="preserve">Informe trimestral de dinámica Sectorial – Edificaciones. Corficolombiana. Investigaciones económicas. Septiembre de 2024. Disponible en: </w:t>
      </w:r>
      <w:hyperlink r:id="rId4" w:history="1">
        <w:r w:rsidRPr="00A50270">
          <w:rPr>
            <w:rStyle w:val="Hipervnculo"/>
            <w:rFonts w:ascii="Verdana" w:eastAsia="Arial Narrow" w:hAnsi="Verdana" w:cs="Arial"/>
            <w:bCs/>
            <w:sz w:val="16"/>
            <w:szCs w:val="16"/>
          </w:rPr>
          <w:t>https://investigaciones.corfi.com/documents/38211/0/27-08-2024-Informe-de-dinamica-sectorial-Edificaciones.pdf/94ac6c83-1304-7b3e-f419-b8850c3b459f?t=1726501371481</w:t>
        </w:r>
      </w:hyperlink>
      <w:r w:rsidRPr="00A50270">
        <w:rPr>
          <w:rFonts w:ascii="Verdana" w:eastAsia="Arial Narrow" w:hAnsi="Verdana" w:cs="Arial"/>
          <w:bCs/>
          <w:sz w:val="16"/>
          <w:szCs w:val="16"/>
        </w:rPr>
        <w:t xml:space="preserve"> </w:t>
      </w:r>
    </w:p>
  </w:footnote>
  <w:footnote w:id="9">
    <w:p w14:paraId="7BA87F1C" w14:textId="77777777" w:rsidR="008D38C8" w:rsidRPr="00A50270" w:rsidRDefault="008D38C8" w:rsidP="008D38C8">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w:t>
      </w:r>
      <w:r w:rsidRPr="00A50270">
        <w:rPr>
          <w:rFonts w:ascii="Verdana" w:eastAsia="Arial Narrow" w:hAnsi="Verdana" w:cs="Arial"/>
          <w:bCs/>
          <w:sz w:val="16"/>
          <w:szCs w:val="16"/>
        </w:rPr>
        <w:t xml:space="preserve">Informe trimestral de dinámica Sectorial – Edificaciones. Corficolombiana. Investigaciones económicas. Septiembre de 2024. Disponible en: </w:t>
      </w:r>
      <w:hyperlink r:id="rId5" w:history="1">
        <w:r w:rsidRPr="00A50270">
          <w:rPr>
            <w:rStyle w:val="Hipervnculo"/>
            <w:rFonts w:ascii="Verdana" w:eastAsia="Arial Narrow" w:hAnsi="Verdana" w:cs="Arial"/>
            <w:bCs/>
            <w:sz w:val="16"/>
            <w:szCs w:val="16"/>
          </w:rPr>
          <w:t>https://investigaciones.corfi.com/documents/38211/0/27-08-2024-Informe-de-dinamica-sectorial-Edificaciones.pdf/94ac6c83-1304-7b3e-f419-b8850c3b459f?t=1726501371481</w:t>
        </w:r>
      </w:hyperlink>
      <w:r w:rsidRPr="00A50270">
        <w:rPr>
          <w:rFonts w:ascii="Verdana" w:eastAsia="Arial Narrow" w:hAnsi="Verdana" w:cs="Arial"/>
          <w:bCs/>
          <w:sz w:val="16"/>
          <w:szCs w:val="16"/>
        </w:rPr>
        <w:t xml:space="preserve"> </w:t>
      </w:r>
    </w:p>
  </w:footnote>
  <w:footnote w:id="10">
    <w:p w14:paraId="0A21463E" w14:textId="77777777" w:rsidR="008D38C8" w:rsidRPr="00A50270" w:rsidRDefault="008D38C8" w:rsidP="008D38C8">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Departamento Administrativo Nacional de Estadística (DANE). Boletín Técnico Indicadores Económicos Alrededor de la Construcción (IEAC) del 9 de septiembre de 2024. Disponible en:</w:t>
      </w:r>
      <w:r w:rsidRPr="00A50270">
        <w:rPr>
          <w:rFonts w:ascii="Verdana" w:hAnsi="Verdana"/>
          <w:sz w:val="16"/>
          <w:szCs w:val="16"/>
        </w:rPr>
        <w:t xml:space="preserve"> </w:t>
      </w:r>
      <w:hyperlink r:id="rId6" w:history="1">
        <w:r w:rsidRPr="00A50270">
          <w:rPr>
            <w:rStyle w:val="Hipervnculo"/>
            <w:rFonts w:ascii="Verdana" w:hAnsi="Verdana" w:cs="Arial"/>
            <w:sz w:val="16"/>
            <w:szCs w:val="16"/>
          </w:rPr>
          <w:t>https://www.dane.gov.co/files/operaciones/IEAC/bol-IEAC-IItrim2024.pdf</w:t>
        </w:r>
      </w:hyperlink>
      <w:r w:rsidRPr="00A50270">
        <w:rPr>
          <w:rFonts w:ascii="Verdana" w:hAnsi="Verdana" w:cs="Arial"/>
          <w:sz w:val="16"/>
          <w:szCs w:val="16"/>
        </w:rPr>
        <w:t xml:space="preserve"> Fecha de consulta: octubre de 2024.</w:t>
      </w:r>
    </w:p>
  </w:footnote>
  <w:footnote w:id="11">
    <w:p w14:paraId="39907B49" w14:textId="77777777" w:rsidR="008D38C8" w:rsidRPr="00A50270" w:rsidRDefault="008D38C8" w:rsidP="008D38C8">
      <w:pPr>
        <w:pStyle w:val="Textonotapie"/>
        <w:rPr>
          <w:rFonts w:ascii="Verdana" w:hAnsi="Verdana" w:cs="Arial"/>
          <w:sz w:val="16"/>
          <w:szCs w:val="16"/>
        </w:rPr>
      </w:pPr>
      <w:r w:rsidRPr="00A50270">
        <w:rPr>
          <w:rStyle w:val="Refdenotaalpie"/>
          <w:rFonts w:ascii="Verdana" w:hAnsi="Verdana" w:cs="Arial"/>
          <w:sz w:val="16"/>
          <w:szCs w:val="16"/>
        </w:rPr>
        <w:footnoteRef/>
      </w:r>
      <w:r w:rsidRPr="00A50270">
        <w:rPr>
          <w:rFonts w:ascii="Verdana" w:hAnsi="Verdana" w:cs="Arial"/>
          <w:sz w:val="16"/>
          <w:szCs w:val="16"/>
        </w:rPr>
        <w:t xml:space="preserve"> Es un indicador que permite conocer la variación promedio mensual de los precios de una canasta representativa de los insumos requeridos en la construcción de edificaciones en el país.</w:t>
      </w:r>
    </w:p>
  </w:footnote>
  <w:footnote w:id="12">
    <w:p w14:paraId="76D67349" w14:textId="77777777" w:rsidR="008D38C8" w:rsidRPr="00A50270" w:rsidRDefault="008D38C8" w:rsidP="008D38C8">
      <w:pPr>
        <w:pStyle w:val="Textonotapie"/>
        <w:rPr>
          <w:rFonts w:ascii="Verdana" w:hAnsi="Verdana"/>
          <w:sz w:val="16"/>
          <w:szCs w:val="16"/>
          <w:lang w:val="es-ES"/>
        </w:rPr>
      </w:pPr>
      <w:r w:rsidRPr="00A50270">
        <w:rPr>
          <w:rStyle w:val="Refdenotaalpie"/>
          <w:rFonts w:ascii="Verdana" w:hAnsi="Verdana"/>
          <w:sz w:val="16"/>
          <w:szCs w:val="16"/>
        </w:rPr>
        <w:footnoteRef/>
      </w:r>
      <w:r w:rsidRPr="00A50270">
        <w:rPr>
          <w:rFonts w:ascii="Verdana" w:hAnsi="Verdana"/>
          <w:sz w:val="16"/>
          <w:szCs w:val="16"/>
        </w:rPr>
        <w:t xml:space="preserve"> </w:t>
      </w:r>
      <w:r w:rsidRPr="00A50270">
        <w:rPr>
          <w:rFonts w:ascii="Verdana" w:hAnsi="Verdana" w:cs="Arial"/>
          <w:sz w:val="16"/>
          <w:szCs w:val="16"/>
        </w:rPr>
        <w:t>Departamento Administrativo Nacional de Estadística (DANE). Boletín Técnico Indicadores Económicos Alrededor de la Construcción (IEAC) del 9 de septiembre de 2024. Disponible en:</w:t>
      </w:r>
      <w:r w:rsidRPr="00A50270">
        <w:rPr>
          <w:rFonts w:ascii="Verdana" w:hAnsi="Verdana"/>
          <w:sz w:val="16"/>
          <w:szCs w:val="16"/>
        </w:rPr>
        <w:t xml:space="preserve"> </w:t>
      </w:r>
      <w:hyperlink r:id="rId7" w:history="1">
        <w:r w:rsidRPr="00A50270">
          <w:rPr>
            <w:rStyle w:val="Hipervnculo"/>
            <w:rFonts w:ascii="Verdana" w:hAnsi="Verdana" w:cs="Arial"/>
            <w:sz w:val="16"/>
            <w:szCs w:val="16"/>
          </w:rPr>
          <w:t>https://www.dane.gov.co/files/operaciones/IEAC/bol-IEAC-IItrim2024.pdf</w:t>
        </w:r>
      </w:hyperlink>
      <w:r w:rsidRPr="00A50270">
        <w:rPr>
          <w:rFonts w:ascii="Verdana" w:hAnsi="Verdana" w:cs="Arial"/>
          <w:sz w:val="16"/>
          <w:szCs w:val="16"/>
        </w:rPr>
        <w:t xml:space="preserve"> Fecha de consulta: octubre de 2024.</w:t>
      </w:r>
    </w:p>
  </w:footnote>
  <w:footnote w:id="13">
    <w:p w14:paraId="26A02C42" w14:textId="7ED03E31" w:rsidR="009D5291" w:rsidRPr="00B00FCB" w:rsidRDefault="009D5291">
      <w:pPr>
        <w:pStyle w:val="Textonotapie"/>
        <w:rPr>
          <w:rFonts w:ascii="Verdana" w:hAnsi="Verdana"/>
          <w:sz w:val="16"/>
          <w:szCs w:val="16"/>
          <w:lang w:val="pt-PT"/>
        </w:rPr>
      </w:pPr>
      <w:r w:rsidRPr="00A50270">
        <w:rPr>
          <w:rStyle w:val="Refdenotaalpie"/>
          <w:rFonts w:ascii="Verdana" w:hAnsi="Verdana"/>
          <w:sz w:val="16"/>
          <w:szCs w:val="16"/>
        </w:rPr>
        <w:footnoteRef/>
      </w:r>
      <w:r w:rsidRPr="00B00FCB">
        <w:rPr>
          <w:rFonts w:ascii="Verdana" w:hAnsi="Verdana"/>
          <w:sz w:val="16"/>
          <w:szCs w:val="16"/>
          <w:lang w:val="pt-PT"/>
        </w:rPr>
        <w:t xml:space="preserve"> </w:t>
      </w:r>
      <w:r w:rsidRPr="00B00FCB">
        <w:rPr>
          <w:rFonts w:ascii="Verdana" w:hAnsi="Verdana"/>
          <w:sz w:val="16"/>
          <w:szCs w:val="16"/>
          <w:lang w:val="pt-PT"/>
        </w:rPr>
        <w:t>Ídem.</w:t>
      </w:r>
    </w:p>
  </w:footnote>
  <w:footnote w:id="14">
    <w:p w14:paraId="70C6639C" w14:textId="3BB07987" w:rsidR="0036117E" w:rsidRPr="00B00FCB" w:rsidRDefault="0036117E">
      <w:pPr>
        <w:pStyle w:val="Textonotapie"/>
        <w:rPr>
          <w:rFonts w:ascii="Verdana" w:hAnsi="Verdana"/>
          <w:sz w:val="16"/>
          <w:szCs w:val="16"/>
          <w:lang w:val="pt-PT"/>
        </w:rPr>
      </w:pPr>
      <w:r w:rsidRPr="00A50270">
        <w:rPr>
          <w:rStyle w:val="Refdenotaalpie"/>
          <w:rFonts w:ascii="Verdana" w:hAnsi="Verdana"/>
          <w:sz w:val="16"/>
          <w:szCs w:val="16"/>
        </w:rPr>
        <w:footnoteRef/>
      </w:r>
      <w:r w:rsidRPr="00B00FCB">
        <w:rPr>
          <w:rFonts w:ascii="Verdana" w:hAnsi="Verdana"/>
          <w:sz w:val="16"/>
          <w:szCs w:val="16"/>
          <w:lang w:val="pt-PT"/>
        </w:rPr>
        <w:t xml:space="preserve"> </w:t>
      </w:r>
      <w:r w:rsidRPr="00B00FCB">
        <w:rPr>
          <w:rFonts w:ascii="Verdana" w:hAnsi="Verdana"/>
          <w:sz w:val="16"/>
          <w:szCs w:val="16"/>
          <w:lang w:val="pt-PT"/>
        </w:rPr>
        <w:t>Ídem.</w:t>
      </w:r>
    </w:p>
  </w:footnote>
  <w:footnote w:id="15">
    <w:p w14:paraId="0B256F68" w14:textId="77777777" w:rsidR="00536047" w:rsidRPr="00A50270" w:rsidRDefault="00536047" w:rsidP="00536047">
      <w:pPr>
        <w:pStyle w:val="Textonotapie"/>
        <w:rPr>
          <w:rFonts w:ascii="Verdana" w:hAnsi="Verdana"/>
          <w:sz w:val="16"/>
          <w:szCs w:val="16"/>
          <w:lang w:val="es-ES"/>
        </w:rPr>
      </w:pPr>
      <w:r w:rsidRPr="00A50270">
        <w:rPr>
          <w:rStyle w:val="Refdenotaalpie"/>
          <w:rFonts w:ascii="Verdana" w:hAnsi="Verdana"/>
          <w:sz w:val="16"/>
          <w:szCs w:val="16"/>
        </w:rPr>
        <w:footnoteRef/>
      </w:r>
      <w:r w:rsidRPr="00B00FCB">
        <w:rPr>
          <w:rFonts w:ascii="Verdana" w:hAnsi="Verdana"/>
          <w:sz w:val="16"/>
          <w:szCs w:val="16"/>
          <w:lang w:val="pt-PT"/>
        </w:rPr>
        <w:t xml:space="preserve"> </w:t>
      </w:r>
      <w:r w:rsidRPr="00B00FCB">
        <w:rPr>
          <w:rFonts w:ascii="Verdana" w:hAnsi="Verdana"/>
          <w:sz w:val="16"/>
          <w:szCs w:val="16"/>
          <w:lang w:val="pt-PT"/>
        </w:rPr>
        <w:t xml:space="preserve">Departamento Administrativo Nacional de Estadística (DANE). </w:t>
      </w:r>
      <w:r w:rsidRPr="00A50270">
        <w:rPr>
          <w:rFonts w:ascii="Verdana" w:hAnsi="Verdana"/>
          <w:sz w:val="16"/>
          <w:szCs w:val="16"/>
        </w:rPr>
        <w:t xml:space="preserve">Boletín Técnico Indicadores Económicos Alrededor de la Construcción (IEAC) del 7 de junio de 2024. Disponible en: </w:t>
      </w:r>
      <w:hyperlink r:id="rId8" w:history="1">
        <w:r w:rsidRPr="00A50270">
          <w:rPr>
            <w:rFonts w:ascii="Verdana" w:hAnsi="Verdana"/>
            <w:sz w:val="16"/>
            <w:szCs w:val="16"/>
          </w:rPr>
          <w:t xml:space="preserve"> </w:t>
        </w:r>
        <w:r w:rsidRPr="00A50270">
          <w:rPr>
            <w:rStyle w:val="Hipervnculo"/>
            <w:rFonts w:ascii="Verdana" w:hAnsi="Verdana"/>
            <w:sz w:val="16"/>
            <w:szCs w:val="16"/>
          </w:rPr>
          <w:t>https://www.dane.gov.co/files/operaciones/IEAC/bol-IEAC-Itrim2024.pdf</w:t>
        </w:r>
      </w:hyperlink>
      <w:r w:rsidRPr="00A50270">
        <w:rPr>
          <w:rFonts w:ascii="Verdana" w:hAnsi="Verdana"/>
          <w:sz w:val="16"/>
          <w:szCs w:val="16"/>
        </w:rPr>
        <w:t>. Fecha de consulta: julio 2024.</w:t>
      </w:r>
    </w:p>
  </w:footnote>
  <w:footnote w:id="16">
    <w:p w14:paraId="362F9943" w14:textId="77777777" w:rsidR="00536047" w:rsidRPr="00A50270" w:rsidRDefault="00536047" w:rsidP="00536047">
      <w:pPr>
        <w:pStyle w:val="Textonotapie"/>
        <w:rPr>
          <w:rFonts w:ascii="Verdana" w:hAnsi="Verdana"/>
          <w:sz w:val="16"/>
          <w:szCs w:val="16"/>
          <w:lang w:val="es-ES"/>
        </w:rPr>
      </w:pPr>
      <w:r w:rsidRPr="00A50270">
        <w:rPr>
          <w:rStyle w:val="Refdenotaalpie"/>
          <w:rFonts w:ascii="Verdana" w:hAnsi="Verdana"/>
          <w:sz w:val="16"/>
          <w:szCs w:val="16"/>
        </w:rPr>
        <w:footnoteRef/>
      </w:r>
      <w:r w:rsidRPr="00A50270">
        <w:rPr>
          <w:rFonts w:ascii="Verdana" w:hAnsi="Verdana"/>
          <w:sz w:val="16"/>
          <w:szCs w:val="16"/>
        </w:rPr>
        <w:t xml:space="preserve"> Departamento Administrativo Nacional de Estadística (DANE). Boletín Técnico Principales indicadores del mercado laboral </w:t>
      </w:r>
      <w:proofErr w:type="gramStart"/>
      <w:r w:rsidRPr="00A50270">
        <w:rPr>
          <w:rFonts w:ascii="Verdana" w:hAnsi="Verdana"/>
          <w:sz w:val="16"/>
          <w:szCs w:val="16"/>
        </w:rPr>
        <w:t>Mayo</w:t>
      </w:r>
      <w:proofErr w:type="gramEnd"/>
      <w:r w:rsidRPr="00A50270">
        <w:rPr>
          <w:rFonts w:ascii="Verdana" w:hAnsi="Verdana"/>
          <w:sz w:val="16"/>
          <w:szCs w:val="16"/>
        </w:rPr>
        <w:t xml:space="preserve"> de 2024. Disponible en: </w:t>
      </w:r>
      <w:hyperlink r:id="rId9" w:history="1">
        <w:r w:rsidRPr="00A50270">
          <w:rPr>
            <w:rFonts w:ascii="Verdana" w:hAnsi="Verdana"/>
            <w:sz w:val="16"/>
            <w:szCs w:val="16"/>
          </w:rPr>
          <w:t xml:space="preserve"> </w:t>
        </w:r>
        <w:r w:rsidRPr="00A50270">
          <w:rPr>
            <w:rStyle w:val="Hipervnculo"/>
            <w:rFonts w:ascii="Verdana" w:hAnsi="Verdana"/>
            <w:sz w:val="16"/>
            <w:szCs w:val="16"/>
          </w:rPr>
          <w:t>https://www.dane.gov.co/files/operaciones/GEIH/bol-GEIH-may2024.pdf</w:t>
        </w:r>
      </w:hyperlink>
      <w:r w:rsidRPr="00A50270">
        <w:rPr>
          <w:rFonts w:ascii="Verdana" w:hAnsi="Verdana"/>
          <w:sz w:val="16"/>
          <w:szCs w:val="16"/>
        </w:rPr>
        <w:t>. Fecha de consulta: julio 2024.</w:t>
      </w:r>
    </w:p>
  </w:footnote>
  <w:footnote w:id="17">
    <w:p w14:paraId="5B1766D2" w14:textId="77777777" w:rsidR="00536047" w:rsidRPr="00A50270" w:rsidRDefault="00536047" w:rsidP="00536047">
      <w:pPr>
        <w:pStyle w:val="Textonotapie"/>
        <w:rPr>
          <w:rFonts w:ascii="Verdana" w:hAnsi="Verdana"/>
          <w:sz w:val="16"/>
          <w:szCs w:val="16"/>
          <w:lang w:val="es-ES"/>
        </w:rPr>
      </w:pPr>
      <w:r w:rsidRPr="00A50270">
        <w:rPr>
          <w:rStyle w:val="Refdenotaalpie"/>
          <w:rFonts w:ascii="Verdana" w:hAnsi="Verdana"/>
          <w:sz w:val="16"/>
          <w:szCs w:val="16"/>
        </w:rPr>
        <w:footnoteRef/>
      </w:r>
      <w:r w:rsidRPr="00A50270">
        <w:rPr>
          <w:rFonts w:ascii="Verdana" w:hAnsi="Verdana"/>
          <w:sz w:val="16"/>
          <w:szCs w:val="16"/>
        </w:rPr>
        <w:t xml:space="preserve"> Departamento Administrativo Nacional de Estadística (DANE). Boletín Técnico Principales indicadores del mercado laboral </w:t>
      </w:r>
      <w:proofErr w:type="gramStart"/>
      <w:r w:rsidRPr="00A50270">
        <w:rPr>
          <w:rFonts w:ascii="Verdana" w:hAnsi="Verdana"/>
          <w:sz w:val="16"/>
          <w:szCs w:val="16"/>
        </w:rPr>
        <w:t>Mayo</w:t>
      </w:r>
      <w:proofErr w:type="gramEnd"/>
      <w:r w:rsidRPr="00A50270">
        <w:rPr>
          <w:rFonts w:ascii="Verdana" w:hAnsi="Verdana"/>
          <w:sz w:val="16"/>
          <w:szCs w:val="16"/>
        </w:rPr>
        <w:t xml:space="preserve"> de 2024. Disponible en: </w:t>
      </w:r>
      <w:hyperlink r:id="rId10" w:history="1">
        <w:r w:rsidRPr="00A50270">
          <w:rPr>
            <w:rFonts w:ascii="Verdana" w:hAnsi="Verdana"/>
            <w:sz w:val="16"/>
            <w:szCs w:val="16"/>
          </w:rPr>
          <w:t xml:space="preserve"> </w:t>
        </w:r>
        <w:r w:rsidRPr="00A50270">
          <w:rPr>
            <w:rStyle w:val="Hipervnculo"/>
            <w:rFonts w:ascii="Verdana" w:hAnsi="Verdana"/>
            <w:sz w:val="16"/>
            <w:szCs w:val="16"/>
          </w:rPr>
          <w:t>https://www.dane.gov.co/files/operaciones/GEIH/bol-GEIH-may2024.pdf</w:t>
        </w:r>
      </w:hyperlink>
      <w:r w:rsidRPr="00A50270">
        <w:rPr>
          <w:rFonts w:ascii="Verdana" w:hAnsi="Verdana"/>
          <w:sz w:val="16"/>
          <w:szCs w:val="16"/>
        </w:rPr>
        <w:t>. Fecha de consulta: julio 2024.</w:t>
      </w:r>
    </w:p>
  </w:footnote>
  <w:footnote w:id="18">
    <w:p w14:paraId="2BD06B12" w14:textId="77777777" w:rsidR="00536047" w:rsidRPr="00A50270" w:rsidRDefault="00536047" w:rsidP="00536047">
      <w:pPr>
        <w:pStyle w:val="Textonotapie"/>
        <w:rPr>
          <w:rFonts w:ascii="Verdana" w:hAnsi="Verdana"/>
          <w:sz w:val="16"/>
          <w:szCs w:val="16"/>
          <w:lang w:val="es-ES"/>
        </w:rPr>
      </w:pPr>
      <w:r w:rsidRPr="00A50270">
        <w:rPr>
          <w:rStyle w:val="Refdenotaalpie"/>
          <w:rFonts w:ascii="Verdana" w:hAnsi="Verdana"/>
          <w:sz w:val="16"/>
          <w:szCs w:val="16"/>
        </w:rPr>
        <w:footnoteRef/>
      </w:r>
      <w:r w:rsidRPr="00A50270">
        <w:rPr>
          <w:rFonts w:ascii="Verdana" w:hAnsi="Verdana"/>
          <w:sz w:val="16"/>
          <w:szCs w:val="16"/>
        </w:rPr>
        <w:t xml:space="preserve"> Departamento Administrativo Nacional de Estadística (DANE). Boletín Técnico Principales indicadores del mercado laboral </w:t>
      </w:r>
      <w:proofErr w:type="gramStart"/>
      <w:r w:rsidRPr="00A50270">
        <w:rPr>
          <w:rFonts w:ascii="Verdana" w:hAnsi="Verdana"/>
          <w:sz w:val="16"/>
          <w:szCs w:val="16"/>
        </w:rPr>
        <w:t>Mayo</w:t>
      </w:r>
      <w:proofErr w:type="gramEnd"/>
      <w:r w:rsidRPr="00A50270">
        <w:rPr>
          <w:rFonts w:ascii="Verdana" w:hAnsi="Verdana"/>
          <w:sz w:val="16"/>
          <w:szCs w:val="16"/>
        </w:rPr>
        <w:t xml:space="preserve"> de 2024. Disponible en: </w:t>
      </w:r>
      <w:hyperlink r:id="rId11" w:history="1">
        <w:r w:rsidRPr="00A50270">
          <w:rPr>
            <w:rFonts w:ascii="Verdana" w:hAnsi="Verdana"/>
            <w:sz w:val="16"/>
            <w:szCs w:val="16"/>
          </w:rPr>
          <w:t xml:space="preserve"> </w:t>
        </w:r>
        <w:r w:rsidRPr="00A50270">
          <w:rPr>
            <w:rStyle w:val="Hipervnculo"/>
            <w:rFonts w:ascii="Verdana" w:hAnsi="Verdana"/>
            <w:sz w:val="16"/>
            <w:szCs w:val="16"/>
          </w:rPr>
          <w:t>https://www.dane.gov.co/files/operaciones/GEIH/bol-GEIH-may2024.pdf</w:t>
        </w:r>
      </w:hyperlink>
      <w:r w:rsidRPr="00A50270">
        <w:rPr>
          <w:rFonts w:ascii="Verdana" w:hAnsi="Verdana"/>
          <w:sz w:val="16"/>
          <w:szCs w:val="16"/>
        </w:rPr>
        <w:t>. Fecha de consulta: julio 2024.</w:t>
      </w:r>
    </w:p>
  </w:footnote>
  <w:footnote w:id="19">
    <w:p w14:paraId="5EF9A675" w14:textId="040E2AD3" w:rsidR="00322C9B" w:rsidRPr="00A50270" w:rsidRDefault="00322C9B" w:rsidP="009151B3">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w:t>
      </w:r>
      <w:r w:rsidR="009151B3" w:rsidRPr="00A50270">
        <w:rPr>
          <w:rFonts w:ascii="Verdana" w:hAnsi="Verdana"/>
          <w:sz w:val="16"/>
          <w:szCs w:val="16"/>
        </w:rPr>
        <w:t xml:space="preserve">Coyuntura y retos para el sector de la construcción en 2024. Informe Económico No 119. CAMACOL. Mayo de 2024. Disponible en: </w:t>
      </w:r>
      <w:hyperlink r:id="rId12" w:history="1">
        <w:r w:rsidR="00A93A1A" w:rsidRPr="00A50270">
          <w:rPr>
            <w:rStyle w:val="Hipervnculo"/>
            <w:rFonts w:ascii="Verdana" w:hAnsi="Verdana"/>
            <w:sz w:val="16"/>
            <w:szCs w:val="16"/>
          </w:rPr>
          <w:t>https://camacol.co/sites/default/files/descargables/Informe_Econ%C3%B3mico_119.pdf</w:t>
        </w:r>
      </w:hyperlink>
      <w:r w:rsidR="00A93A1A" w:rsidRPr="00A50270">
        <w:rPr>
          <w:rFonts w:ascii="Verdana" w:hAnsi="Verdana"/>
          <w:sz w:val="16"/>
          <w:szCs w:val="16"/>
        </w:rPr>
        <w:t xml:space="preserve"> </w:t>
      </w:r>
    </w:p>
  </w:footnote>
  <w:footnote w:id="20">
    <w:p w14:paraId="572E5775" w14:textId="56ECF7C7" w:rsidR="00A50270" w:rsidRPr="00A50270" w:rsidRDefault="00A50270" w:rsidP="00101248">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w:t>
      </w:r>
      <w:r>
        <w:rPr>
          <w:rFonts w:ascii="Verdana" w:hAnsi="Verdana"/>
          <w:sz w:val="16"/>
          <w:szCs w:val="16"/>
        </w:rPr>
        <w:t xml:space="preserve">De acuerdo con el informe la participación del Ministerio de Cultura en este </w:t>
      </w:r>
      <w:r w:rsidR="00101248">
        <w:rPr>
          <w:rFonts w:ascii="Verdana" w:hAnsi="Verdana"/>
          <w:sz w:val="16"/>
          <w:szCs w:val="16"/>
        </w:rPr>
        <w:t>Sector</w:t>
      </w:r>
      <w:r>
        <w:rPr>
          <w:rFonts w:ascii="Verdana" w:hAnsi="Verdana"/>
          <w:sz w:val="16"/>
          <w:szCs w:val="16"/>
        </w:rPr>
        <w:t xml:space="preserve"> obedece a </w:t>
      </w:r>
      <w:r w:rsidR="00101248" w:rsidRPr="00101248">
        <w:rPr>
          <w:rFonts w:ascii="Verdana" w:hAnsi="Verdana"/>
          <w:sz w:val="16"/>
          <w:szCs w:val="16"/>
        </w:rPr>
        <w:t>este ministerio tiene una participación significativa debido a un convenio</w:t>
      </w:r>
      <w:r w:rsidR="00101248">
        <w:rPr>
          <w:rFonts w:ascii="Verdana" w:hAnsi="Verdana"/>
          <w:sz w:val="16"/>
          <w:szCs w:val="16"/>
        </w:rPr>
        <w:t xml:space="preserve"> </w:t>
      </w:r>
      <w:r w:rsidR="00101248" w:rsidRPr="00101248">
        <w:rPr>
          <w:rFonts w:ascii="Verdana" w:hAnsi="Verdana"/>
          <w:sz w:val="16"/>
          <w:szCs w:val="16"/>
        </w:rPr>
        <w:t>establecido con los ministerios de Educación y Salud. Este acuerdo permite</w:t>
      </w:r>
      <w:r w:rsidR="00101248">
        <w:rPr>
          <w:rFonts w:ascii="Verdana" w:hAnsi="Verdana"/>
          <w:sz w:val="16"/>
          <w:szCs w:val="16"/>
        </w:rPr>
        <w:t xml:space="preserve"> </w:t>
      </w:r>
      <w:r w:rsidR="00101248" w:rsidRPr="00101248">
        <w:rPr>
          <w:rFonts w:ascii="Verdana" w:hAnsi="Verdana"/>
          <w:sz w:val="16"/>
          <w:szCs w:val="16"/>
        </w:rPr>
        <w:t>al Ministerio de Cultura aportar fondos para llevar a cabo una serie de obras</w:t>
      </w:r>
      <w:r w:rsidR="00101248">
        <w:rPr>
          <w:rFonts w:ascii="Verdana" w:hAnsi="Verdana"/>
          <w:sz w:val="16"/>
          <w:szCs w:val="16"/>
        </w:rPr>
        <w:t xml:space="preserve"> </w:t>
      </w:r>
      <w:r w:rsidR="00101248" w:rsidRPr="00101248">
        <w:rPr>
          <w:rFonts w:ascii="Verdana" w:hAnsi="Verdana"/>
          <w:sz w:val="16"/>
          <w:szCs w:val="16"/>
        </w:rPr>
        <w:t>en el Instituto Materno Infantil, ubicado en el Hospital San Juan de Dios</w:t>
      </w:r>
      <w:r w:rsidR="00101248">
        <w:rPr>
          <w:rFonts w:ascii="Verdana" w:hAnsi="Verdana"/>
          <w:sz w:val="16"/>
          <w:szCs w:val="16"/>
        </w:rPr>
        <w:t>.</w:t>
      </w:r>
    </w:p>
  </w:footnote>
  <w:footnote w:id="21">
    <w:p w14:paraId="0A9902B0" w14:textId="4E4258B5" w:rsidR="4B6F30B9" w:rsidRDefault="4B6F30B9">
      <w:r>
        <w:footnoteRef/>
      </w:r>
      <w:r>
        <w:t xml:space="preserve"> CGN. (2024). Categorización de Departamentos, distritos y municipios - Contaduría General de la Nación</w:t>
      </w:r>
    </w:p>
  </w:footnote>
  <w:footnote w:id="22">
    <w:p w14:paraId="1C8C3ADB" w14:textId="659CED00" w:rsidR="4B6F30B9" w:rsidRDefault="4B6F30B9">
      <w:r>
        <w:footnoteRef/>
      </w:r>
      <w:r>
        <w:t xml:space="preserve"> En SECOP, dado el no procesamiento de tildes, el objeto del contrato, citado de manera estricta, dice: “ADECUACIN Y MANTENIMIENTO DE LAS INSTALACIONES DE LA ESTACIN DE POLICIA EN SIP DEPARTAMENTO DEL CHOCO”</w:t>
      </w:r>
    </w:p>
  </w:footnote>
  <w:footnote w:id="23">
    <w:p w14:paraId="7A1F0E80" w14:textId="47BD9792" w:rsidR="449377F1" w:rsidRDefault="449377F1">
      <w:r>
        <w:footnoteRef/>
      </w:r>
      <w:r w:rsidRPr="449377F1">
        <w:rPr>
          <w:sz w:val="18"/>
          <w:szCs w:val="18"/>
        </w:rPr>
        <w:t xml:space="preserve"> Se realiza un análisis adicional en edificaciones de seguridad pública de las edificaciones cuyo tipo corresponde a sitios de reclusión</w:t>
      </w:r>
    </w:p>
  </w:footnote>
  <w:footnote w:id="24">
    <w:p w14:paraId="2490AD5D" w14:textId="77777777" w:rsidR="00BA4E98" w:rsidRPr="0097204E" w:rsidRDefault="00BA4E98" w:rsidP="00BA4E98">
      <w:pPr>
        <w:spacing w:before="73"/>
        <w:ind w:left="100" w:right="106"/>
        <w:jc w:val="both"/>
        <w:rPr>
          <w:sz w:val="18"/>
        </w:rPr>
      </w:pPr>
      <w:r w:rsidRPr="0097204E">
        <w:rPr>
          <w:rStyle w:val="Refdenotaalpie"/>
          <w:rFonts w:eastAsia="MS Mincho"/>
        </w:rPr>
        <w:footnoteRef/>
      </w:r>
      <w:r w:rsidRPr="0097204E">
        <w:t xml:space="preserve"> </w:t>
      </w:r>
      <w:r w:rsidRPr="0097204E">
        <w:rPr>
          <w:sz w:val="18"/>
        </w:rPr>
        <w:t>En esa misma línea, el artículo 2.2.1.2.1.4.6 del Decreto 1082 de 2015, prevé que las “Entidades Estatales no están obligadas a publicar los Documentos del Proceso para adquirir bienes y servicios en el Sector Defensa, la Dirección Nacional de Inteligencia y la Unidad Nacional de Protección que requieren reserva. En estos procesos de contratación la adquisición debe hacerse en condiciones de mercado sin que sea necesario recibir varias</w:t>
      </w:r>
      <w:r w:rsidRPr="0097204E">
        <w:rPr>
          <w:spacing w:val="-2"/>
          <w:sz w:val="18"/>
        </w:rPr>
        <w:t xml:space="preserve"> </w:t>
      </w:r>
      <w:r w:rsidRPr="0097204E">
        <w:rPr>
          <w:sz w:val="18"/>
        </w:rPr>
        <w:t>ofertas”.</w:t>
      </w:r>
    </w:p>
    <w:p w14:paraId="5D578DB8" w14:textId="77777777" w:rsidR="00BA4E98" w:rsidRPr="0097204E" w:rsidRDefault="00BA4E98" w:rsidP="00BA4E98">
      <w:pPr>
        <w:pStyle w:val="Textonotapie"/>
      </w:pPr>
    </w:p>
  </w:footnote>
  <w:footnote w:id="25">
    <w:p w14:paraId="325C00B8" w14:textId="77777777" w:rsidR="00DE760C" w:rsidRPr="007C33E4" w:rsidRDefault="00DE760C" w:rsidP="00DE760C">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Clasificación Industrial Internacional Uniforme de todas las actividades económicas Revisión 4 adaptada para Colombia CIIU Rev. 4 A.C. </w:t>
      </w:r>
      <w:hyperlink r:id="rId13" w:history="1">
        <w:r w:rsidRPr="007C33E4">
          <w:rPr>
            <w:rStyle w:val="Hipervnculo"/>
            <w:rFonts w:cs="Arial"/>
            <w:sz w:val="16"/>
            <w:szCs w:val="16"/>
          </w:rPr>
          <w:t>https://www.dane.gov.co/files/sen/nomenclatura/ciiu/CIIU_Rev_4_AC2022.pdf</w:t>
        </w:r>
      </w:hyperlink>
    </w:p>
  </w:footnote>
  <w:footnote w:id="26">
    <w:p w14:paraId="0E946F75" w14:textId="77777777" w:rsidR="00DE760C" w:rsidRPr="007C33E4" w:rsidRDefault="00DE760C" w:rsidP="00DE760C">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Clasificación Industrial Internacional Uniforme de todas las actividades económicas Revisión 4 adaptada para Colombia CIIU Rev. 4 A.C. </w:t>
      </w:r>
      <w:hyperlink r:id="rId14" w:history="1">
        <w:r w:rsidRPr="007C33E4">
          <w:rPr>
            <w:rStyle w:val="Hipervnculo"/>
            <w:rFonts w:cs="Arial"/>
            <w:sz w:val="16"/>
            <w:szCs w:val="16"/>
          </w:rPr>
          <w:t>https://www.dane.gov.co/files/sen/nomenclatura/ciiu/CIIU_Rev_4_AC2022.pdf</w:t>
        </w:r>
      </w:hyperlink>
    </w:p>
  </w:footnote>
  <w:footnote w:id="27">
    <w:p w14:paraId="6F84A275" w14:textId="77777777" w:rsidR="00DE760C" w:rsidRPr="007C33E4" w:rsidRDefault="00DE760C" w:rsidP="00DE760C">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Clasificación Industrial Internacional Uniforme de todas las actividades económicas Revisión 4 adaptada para Colombia CIIU Rev. 4 A.C. </w:t>
      </w:r>
      <w:hyperlink r:id="rId15" w:history="1">
        <w:r w:rsidRPr="007C33E4">
          <w:rPr>
            <w:rStyle w:val="Hipervnculo"/>
            <w:rFonts w:cs="Arial"/>
            <w:sz w:val="16"/>
            <w:szCs w:val="16"/>
          </w:rPr>
          <w:t>https://www.dane.gov.co/files/sen/nomenclatura/ciiu/CIIU_Rev_4_AC2022.pdf</w:t>
        </w:r>
      </w:hyperlink>
    </w:p>
  </w:footnote>
  <w:footnote w:id="28">
    <w:p w14:paraId="4E59633B" w14:textId="77777777" w:rsidR="00DE760C" w:rsidRPr="007C33E4" w:rsidRDefault="00DE760C" w:rsidP="00DE760C">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Clasificación Industrial Internacional Uniforme de todas las actividades económicas Revisión 4 adaptada para Colombia CIIU Rev. 4 A.C. </w:t>
      </w:r>
      <w:hyperlink r:id="rId16" w:history="1">
        <w:r w:rsidRPr="007C33E4">
          <w:rPr>
            <w:rStyle w:val="Hipervnculo"/>
            <w:rFonts w:cs="Arial"/>
            <w:sz w:val="16"/>
            <w:szCs w:val="16"/>
          </w:rPr>
          <w:t>https://www.dane.gov.co/files/sen/nomenclatura/ciiu/CIIU_Rev_4_AC2022.pdf</w:t>
        </w:r>
      </w:hyperlink>
    </w:p>
  </w:footnote>
  <w:footnote w:id="29">
    <w:p w14:paraId="0DFF9722" w14:textId="77777777" w:rsidR="00507C38" w:rsidRPr="007C33E4" w:rsidRDefault="00507C38" w:rsidP="00507C38">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Disponible en: </w:t>
      </w:r>
      <w:hyperlink r:id="rId17" w:anchor="/massivereports" w:history="1">
        <w:r w:rsidRPr="007C33E4">
          <w:rPr>
            <w:rStyle w:val="Hipervnculo"/>
            <w:rFonts w:cs="Arial"/>
            <w:sz w:val="16"/>
            <w:szCs w:val="16"/>
          </w:rPr>
          <w:t>https://siis.ia.supersociedades.gov.co/#/massivereports</w:t>
        </w:r>
      </w:hyperlink>
      <w:r w:rsidRPr="007C33E4">
        <w:rPr>
          <w:rFonts w:cs="Arial"/>
          <w:sz w:val="16"/>
          <w:szCs w:val="16"/>
        </w:rPr>
        <w:t xml:space="preserve"> </w:t>
      </w:r>
    </w:p>
  </w:footnote>
  <w:footnote w:id="30">
    <w:p w14:paraId="21559BD1" w14:textId="77777777" w:rsidR="00507C38" w:rsidRPr="007C33E4" w:rsidRDefault="00507C38" w:rsidP="00507C38">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Disponible en internet en </w:t>
      </w:r>
      <w:hyperlink r:id="rId18" w:history="1">
        <w:r w:rsidRPr="007C33E4">
          <w:rPr>
            <w:rStyle w:val="Hipervnculo"/>
            <w:rFonts w:cs="Arial"/>
            <w:sz w:val="16"/>
            <w:szCs w:val="16"/>
          </w:rPr>
          <w:t>http://www.rues.org.co/RUES_Web/Consultas</w:t>
        </w:r>
      </w:hyperlink>
      <w:r w:rsidRPr="007C33E4">
        <w:rPr>
          <w:rFonts w:cs="Arial"/>
          <w:sz w:val="16"/>
          <w:szCs w:val="16"/>
        </w:rPr>
        <w:t xml:space="preserve"> </w:t>
      </w:r>
    </w:p>
  </w:footnote>
  <w:footnote w:id="31">
    <w:p w14:paraId="029B86AF" w14:textId="77777777" w:rsidR="009F1CFF" w:rsidRPr="00A50270" w:rsidRDefault="009F1CFF" w:rsidP="009F1CFF">
      <w:pPr>
        <w:pStyle w:val="Textonotapie"/>
        <w:rPr>
          <w:rFonts w:ascii="Verdana" w:hAnsi="Verdana" w:cs="Arial"/>
          <w:sz w:val="16"/>
          <w:szCs w:val="16"/>
          <w:lang w:val="es-ES"/>
        </w:rPr>
      </w:pPr>
      <w:r w:rsidRPr="00A50270">
        <w:rPr>
          <w:rStyle w:val="Refdenotaalpie"/>
          <w:rFonts w:ascii="Verdana" w:hAnsi="Verdana" w:cs="Arial"/>
          <w:sz w:val="16"/>
          <w:szCs w:val="16"/>
        </w:rPr>
        <w:footnoteRef/>
      </w:r>
      <w:r w:rsidRPr="00A50270">
        <w:rPr>
          <w:rFonts w:ascii="Verdana" w:hAnsi="Verdana" w:cs="Arial"/>
          <w:sz w:val="16"/>
          <w:szCs w:val="16"/>
        </w:rPr>
        <w:t xml:space="preserve"> </w:t>
      </w:r>
      <w:r w:rsidRPr="00A50270">
        <w:rPr>
          <w:rFonts w:ascii="Verdana" w:hAnsi="Verdana" w:cs="Arial"/>
          <w:sz w:val="16"/>
          <w:szCs w:val="16"/>
          <w:lang w:val="es-ES"/>
        </w:rPr>
        <w:t xml:space="preserve">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artículos 2.2.1.2.4.2.15 y 2.2.1.2.4.2.18, disponible en: </w:t>
      </w:r>
      <w:hyperlink r:id="rId19" w:history="1">
        <w:r w:rsidRPr="00A50270">
          <w:rPr>
            <w:rStyle w:val="Hipervnculo"/>
            <w:rFonts w:ascii="Verdana" w:hAnsi="Verdana" w:cs="Arial"/>
            <w:sz w:val="16"/>
            <w:szCs w:val="16"/>
            <w:lang w:val="es-ES"/>
          </w:rPr>
          <w:t>https://www.funcionpublica.gov.co/eva/gestornormativo/norma.php?i=175187</w:t>
        </w:r>
      </w:hyperlink>
      <w:r w:rsidRPr="00A50270">
        <w:rPr>
          <w:rFonts w:ascii="Verdana" w:hAnsi="Verdana" w:cs="Arial"/>
          <w:sz w:val="16"/>
          <w:szCs w:val="16"/>
          <w:lang w:val="es-ES"/>
        </w:rPr>
        <w:t>, fecha de consulta: septiembre 10 de 2022.</w:t>
      </w:r>
    </w:p>
  </w:footnote>
  <w:footnote w:id="32">
    <w:p w14:paraId="238AA9F6" w14:textId="77777777" w:rsidR="009F1CFF" w:rsidRPr="00A50270" w:rsidRDefault="009F1CFF" w:rsidP="009F1CFF">
      <w:pPr>
        <w:pStyle w:val="Textonotapie"/>
        <w:rPr>
          <w:rFonts w:ascii="Verdana" w:hAnsi="Verdana" w:cs="Arial"/>
          <w:sz w:val="16"/>
          <w:szCs w:val="16"/>
        </w:rPr>
      </w:pPr>
      <w:r w:rsidRPr="00A50270">
        <w:rPr>
          <w:rStyle w:val="Refdenotaalpie"/>
          <w:rFonts w:ascii="Verdana" w:hAnsi="Verdana" w:cs="Arial"/>
          <w:sz w:val="16"/>
          <w:szCs w:val="16"/>
        </w:rPr>
        <w:footnoteRef/>
      </w:r>
      <w:r w:rsidRPr="00A50270">
        <w:rPr>
          <w:rFonts w:ascii="Verdana" w:hAnsi="Verdana" w:cs="Arial"/>
          <w:sz w:val="16"/>
          <w:szCs w:val="16"/>
        </w:rPr>
        <w:t xml:space="preserve"> Decreto 957 de 2019 del Ministerio de Comercio, Industria y Turismo. Disponible en: </w:t>
      </w:r>
      <w:hyperlink r:id="rId20" w:history="1">
        <w:r w:rsidRPr="00A50270">
          <w:rPr>
            <w:rStyle w:val="Hipervnculo"/>
            <w:rFonts w:ascii="Verdana" w:hAnsi="Verdana" w:cs="Arial"/>
            <w:sz w:val="16"/>
            <w:szCs w:val="16"/>
          </w:rPr>
          <w:t>https://dapre.presidencia.gov.co/normativa/normativa/DECRETO%20957%20DEL%2005%20DE%20JUNIO%20DE%202019.pdf</w:t>
        </w:r>
      </w:hyperlink>
      <w:r w:rsidRPr="00A50270">
        <w:rPr>
          <w:rFonts w:ascii="Verdana" w:hAnsi="Verdana" w:cs="Arial"/>
          <w:sz w:val="16"/>
          <w:szCs w:val="16"/>
        </w:rPr>
        <w:t xml:space="preserve"> </w:t>
      </w:r>
    </w:p>
  </w:footnote>
  <w:footnote w:id="33">
    <w:p w14:paraId="7D707ADF" w14:textId="77777777" w:rsidR="005D4DF4" w:rsidRPr="007C33E4" w:rsidRDefault="005D4DF4" w:rsidP="005D4DF4">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w:t>
      </w:r>
      <w:r w:rsidRPr="007C33E4">
        <w:rPr>
          <w:rFonts w:cs="Arial"/>
          <w:sz w:val="16"/>
          <w:szCs w:val="16"/>
          <w:lang w:val="es-ES"/>
        </w:rPr>
        <w:t xml:space="preserve">Disponible en: </w:t>
      </w:r>
      <w:hyperlink r:id="rId21" w:history="1">
        <w:r w:rsidRPr="007C33E4">
          <w:rPr>
            <w:rStyle w:val="Hipervnculo"/>
            <w:rFonts w:cs="Arial"/>
            <w:sz w:val="16"/>
            <w:szCs w:val="16"/>
            <w:lang w:val="es-ES"/>
          </w:rPr>
          <w:t>https://www.colombiacompra.gov.co/sites/cce_public/files/cce_documents/cce-eicp-ma-04._manual_requisitos_habilitantes_v3_29-09-2023.pdf</w:t>
        </w:r>
      </w:hyperlink>
      <w:r w:rsidRPr="007C33E4">
        <w:rPr>
          <w:rFonts w:cs="Arial"/>
          <w:sz w:val="16"/>
          <w:szCs w:val="16"/>
          <w:lang w:val="es-ES"/>
        </w:rPr>
        <w:t xml:space="preserve"> </w:t>
      </w:r>
    </w:p>
  </w:footnote>
  <w:footnote w:id="34">
    <w:p w14:paraId="5F26C468" w14:textId="77777777" w:rsidR="005D4DF4" w:rsidRPr="007C33E4" w:rsidRDefault="005D4DF4" w:rsidP="005D4DF4">
      <w:pPr>
        <w:pStyle w:val="Textonotapie"/>
        <w:rPr>
          <w:rFonts w:cs="Arial"/>
          <w:i/>
          <w:sz w:val="16"/>
          <w:szCs w:val="16"/>
        </w:rPr>
      </w:pPr>
      <w:r w:rsidRPr="007C33E4">
        <w:rPr>
          <w:rStyle w:val="Refdenotaalpie"/>
          <w:rFonts w:cs="Arial"/>
          <w:sz w:val="16"/>
          <w:szCs w:val="16"/>
        </w:rPr>
        <w:footnoteRef/>
      </w:r>
      <w:r w:rsidRPr="007C33E4">
        <w:rPr>
          <w:rFonts w:cs="Arial"/>
          <w:sz w:val="16"/>
          <w:szCs w:val="16"/>
        </w:rPr>
        <w:t xml:space="preserve"> Ortiz Anaya, Héctor. </w:t>
      </w:r>
      <w:r w:rsidRPr="007C33E4">
        <w:rPr>
          <w:rFonts w:cs="Arial"/>
          <w:i/>
          <w:sz w:val="16"/>
          <w:szCs w:val="16"/>
        </w:rPr>
        <w:t>Análisis Financiero Aplicado, 2000, pág. 147</w:t>
      </w:r>
    </w:p>
  </w:footnote>
  <w:footnote w:id="35">
    <w:p w14:paraId="6D49AC4F" w14:textId="77777777" w:rsidR="005D4DF4" w:rsidRPr="007C33E4" w:rsidRDefault="005D4DF4" w:rsidP="005D4DF4">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Manual para determinar y verificar los requisitos habilitantes en los procesos de contratación. Colombia Compra Eficiente. Fecha de consulta: agosto 24 de 2020. Disponible en:</w:t>
      </w:r>
      <w:r w:rsidRPr="007C33E4">
        <w:rPr>
          <w:rFonts w:cs="Arial"/>
          <w:sz w:val="16"/>
          <w:szCs w:val="16"/>
          <w:lang w:val="es-ES"/>
        </w:rPr>
        <w:t xml:space="preserve"> </w:t>
      </w:r>
      <w:hyperlink r:id="rId22" w:history="1">
        <w:r w:rsidRPr="007C33E4">
          <w:rPr>
            <w:rStyle w:val="Hipervnculo"/>
            <w:rFonts w:cs="Arial"/>
            <w:sz w:val="16"/>
            <w:szCs w:val="16"/>
          </w:rPr>
          <w:t>https://www.colombiacompra.gov.co/sites/cce_public/files/cce_documents/cce_manual_requisitos_habilitantes.pdf</w:t>
        </w:r>
      </w:hyperlink>
      <w:r w:rsidRPr="007C33E4">
        <w:rPr>
          <w:rFonts w:cs="Arial"/>
          <w:sz w:val="16"/>
          <w:szCs w:val="16"/>
          <w:lang w:val="es-ES"/>
        </w:rPr>
        <w:t xml:space="preserve"> </w:t>
      </w:r>
    </w:p>
  </w:footnote>
  <w:footnote w:id="36">
    <w:p w14:paraId="3E644D6F" w14:textId="77777777" w:rsidR="005D4DF4" w:rsidRPr="007C33E4" w:rsidRDefault="005D4DF4" w:rsidP="005D4DF4">
      <w:pPr>
        <w:pStyle w:val="Textonotapie"/>
        <w:rPr>
          <w:rFonts w:cs="Arial"/>
          <w:sz w:val="16"/>
          <w:szCs w:val="16"/>
          <w:lang w:val="fr-FR"/>
        </w:rPr>
      </w:pPr>
      <w:r w:rsidRPr="007C33E4">
        <w:rPr>
          <w:rStyle w:val="Refdenotaalpie"/>
          <w:rFonts w:cs="Arial"/>
          <w:sz w:val="16"/>
          <w:szCs w:val="16"/>
        </w:rPr>
        <w:footnoteRef/>
      </w:r>
      <w:r w:rsidRPr="007C33E4">
        <w:rPr>
          <w:rFonts w:cs="Arial"/>
          <w:sz w:val="16"/>
          <w:szCs w:val="16"/>
        </w:rPr>
        <w:t xml:space="preserve"> </w:t>
      </w:r>
      <w:r w:rsidRPr="007C33E4">
        <w:rPr>
          <w:rFonts w:cs="Arial"/>
          <w:sz w:val="16"/>
          <w:szCs w:val="16"/>
          <w:lang w:val="fr-FR"/>
        </w:rPr>
        <w:t xml:space="preserve">Disponible en internet en </w:t>
      </w:r>
      <w:hyperlink r:id="rId23" w:history="1">
        <w:r w:rsidRPr="007C33E4">
          <w:rPr>
            <w:rStyle w:val="Hipervnculo"/>
            <w:rFonts w:cs="Arial"/>
            <w:sz w:val="16"/>
            <w:szCs w:val="16"/>
          </w:rPr>
          <w:t>http://www.slideshare.net/Solfin/tablas-frmulas-y-conceptos-financieros</w:t>
        </w:r>
      </w:hyperlink>
    </w:p>
  </w:footnote>
  <w:footnote w:id="37">
    <w:p w14:paraId="28FB632F" w14:textId="77777777" w:rsidR="005D4DF4" w:rsidRPr="007C33E4" w:rsidRDefault="005D4DF4" w:rsidP="005D4DF4">
      <w:pPr>
        <w:pStyle w:val="Textonotapie"/>
        <w:rPr>
          <w:rFonts w:cs="Arial"/>
          <w:sz w:val="16"/>
          <w:szCs w:val="16"/>
          <w:lang w:val="fr-FR"/>
        </w:rPr>
      </w:pPr>
      <w:r w:rsidRPr="007C33E4">
        <w:rPr>
          <w:rStyle w:val="Refdenotaalpie"/>
          <w:rFonts w:cs="Arial"/>
          <w:sz w:val="16"/>
          <w:szCs w:val="16"/>
        </w:rPr>
        <w:footnoteRef/>
      </w:r>
      <w:r w:rsidRPr="007C33E4">
        <w:rPr>
          <w:rFonts w:cs="Arial"/>
          <w:sz w:val="16"/>
          <w:szCs w:val="16"/>
        </w:rPr>
        <w:t xml:space="preserve"> </w:t>
      </w:r>
      <w:r w:rsidRPr="007C33E4">
        <w:rPr>
          <w:rFonts w:cs="Arial"/>
          <w:sz w:val="16"/>
          <w:szCs w:val="16"/>
          <w:lang w:val="fr-FR"/>
        </w:rPr>
        <w:t xml:space="preserve">Disponible en internet en </w:t>
      </w:r>
      <w:hyperlink r:id="rId24" w:history="1">
        <w:r w:rsidRPr="007C33E4">
          <w:rPr>
            <w:rStyle w:val="Hipervnculo"/>
            <w:rFonts w:cs="Arial"/>
            <w:sz w:val="16"/>
            <w:szCs w:val="16"/>
          </w:rPr>
          <w:t>http://descuadrando.com/Rentabilidad_econ%C3%B3mica</w:t>
        </w:r>
      </w:hyperlink>
    </w:p>
  </w:footnote>
  <w:footnote w:id="38">
    <w:p w14:paraId="4F18BCF8" w14:textId="77777777" w:rsidR="005D4DF4" w:rsidRPr="007C33E4" w:rsidRDefault="005D4DF4" w:rsidP="005D4DF4">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Se define como la diferencia entre el tercer cuartil (Q</w:t>
      </w:r>
      <w:r w:rsidRPr="007C33E4">
        <w:rPr>
          <w:rFonts w:cs="Arial"/>
          <w:sz w:val="16"/>
          <w:szCs w:val="16"/>
          <w:vertAlign w:val="subscript"/>
        </w:rPr>
        <w:t>3</w:t>
      </w:r>
      <w:r w:rsidRPr="007C33E4">
        <w:rPr>
          <w:rFonts w:cs="Arial"/>
          <w:sz w:val="16"/>
          <w:szCs w:val="16"/>
        </w:rPr>
        <w:t>) y el primer cuartil (Q</w:t>
      </w:r>
      <w:r w:rsidRPr="007C33E4">
        <w:rPr>
          <w:rFonts w:cs="Arial"/>
          <w:sz w:val="16"/>
          <w:szCs w:val="16"/>
          <w:vertAlign w:val="subscript"/>
        </w:rPr>
        <w:t>1</w:t>
      </w:r>
      <w:r w:rsidRPr="007C33E4">
        <w:rPr>
          <w:rFonts w:cs="Arial"/>
          <w:sz w:val="16"/>
          <w:szCs w:val="16"/>
        </w:rPr>
        <w:t>) de una muestra de datos.</w:t>
      </w:r>
    </w:p>
  </w:footnote>
  <w:footnote w:id="39">
    <w:p w14:paraId="03164718" w14:textId="77777777" w:rsidR="005D4DF4" w:rsidRPr="007C33E4" w:rsidRDefault="005D4DF4" w:rsidP="005D4DF4">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Agencia Nacional de Contratación Pública – Colombia Compra Eficiente (CCE), Guía de Elaboración de Estudios de Sector, GEES – versión 2 del 24 de junio de 2022, disponible en internet en: https://www.colombiacompra.gov.co/manuales-guias-y-pliegos-tipo/manuales-y-guias </w:t>
      </w:r>
      <w:hyperlink r:id="rId25" w:history="1">
        <w:r w:rsidRPr="007C33E4">
          <w:rPr>
            <w:rStyle w:val="Hipervnculo"/>
            <w:rFonts w:cs="Arial"/>
            <w:sz w:val="16"/>
            <w:szCs w:val="16"/>
          </w:rPr>
          <w:t>https://www.colombiacompra.gov.co/sites/cce_public/files/cce_documentos/cce-eicp-gi-18._gees_v.2_2.pdf</w:t>
        </w:r>
      </w:hyperlink>
      <w:r w:rsidRPr="007C33E4">
        <w:rPr>
          <w:rFonts w:cs="Arial"/>
          <w:sz w:val="16"/>
          <w:szCs w:val="16"/>
        </w:rPr>
        <w:t xml:space="preserve">. Fecha de consulta: </w:t>
      </w:r>
      <w:proofErr w:type="gramStart"/>
      <w:r w:rsidRPr="007C33E4">
        <w:rPr>
          <w:rFonts w:cs="Arial"/>
          <w:sz w:val="16"/>
          <w:szCs w:val="16"/>
        </w:rPr>
        <w:t>Diciembre</w:t>
      </w:r>
      <w:proofErr w:type="gramEnd"/>
      <w:r w:rsidRPr="007C33E4">
        <w:rPr>
          <w:rFonts w:cs="Arial"/>
          <w:sz w:val="16"/>
          <w:szCs w:val="16"/>
        </w:rPr>
        <w:t xml:space="preserve"> de 2023.</w:t>
      </w:r>
    </w:p>
  </w:footnote>
  <w:footnote w:id="40">
    <w:p w14:paraId="08B224C3" w14:textId="77777777" w:rsidR="005D4DF4" w:rsidRPr="007C33E4" w:rsidRDefault="005D4DF4" w:rsidP="005D4DF4">
      <w:pPr>
        <w:pStyle w:val="Textonotapie"/>
        <w:rPr>
          <w:rFonts w:cs="Arial"/>
          <w:sz w:val="16"/>
          <w:szCs w:val="16"/>
          <w:lang w:val="es-ES"/>
        </w:rPr>
      </w:pPr>
      <w:r w:rsidRPr="007C33E4">
        <w:rPr>
          <w:rStyle w:val="Refdenotaalpie"/>
          <w:rFonts w:cs="Arial"/>
          <w:sz w:val="16"/>
          <w:szCs w:val="16"/>
        </w:rPr>
        <w:footnoteRef/>
      </w:r>
      <w:r w:rsidRPr="007C33E4">
        <w:rPr>
          <w:rFonts w:cs="Arial"/>
          <w:sz w:val="16"/>
          <w:szCs w:val="16"/>
        </w:rPr>
        <w:t xml:space="preserve"> </w:t>
      </w:r>
      <w:r w:rsidRPr="007C33E4">
        <w:rPr>
          <w:rFonts w:cs="Arial"/>
          <w:sz w:val="16"/>
          <w:szCs w:val="16"/>
          <w:lang w:val="es-ES"/>
        </w:rPr>
        <w:t>Ídem</w:t>
      </w:r>
    </w:p>
  </w:footnote>
  <w:footnote w:id="41">
    <w:p w14:paraId="135F4381" w14:textId="77777777" w:rsidR="00126421" w:rsidRPr="007C33E4" w:rsidRDefault="00126421" w:rsidP="00126421">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w:t>
      </w:r>
      <w:r w:rsidRPr="007C33E4">
        <w:rPr>
          <w:rFonts w:cs="Arial"/>
          <w:sz w:val="16"/>
          <w:szCs w:val="16"/>
          <w:lang w:val="es-MX"/>
        </w:rPr>
        <w:t>(Anticipos para sus proveedores de materiales (concreto asfalto saldo en negro), alquilar o comprar maquinaria, material granular, personal, etc.)</w:t>
      </w:r>
    </w:p>
  </w:footnote>
  <w:footnote w:id="42">
    <w:p w14:paraId="5E0F7C74" w14:textId="77777777" w:rsidR="004423F5" w:rsidRPr="007C33E4" w:rsidRDefault="004423F5" w:rsidP="004423F5">
      <w:pPr>
        <w:pStyle w:val="Textonotapie"/>
        <w:rPr>
          <w:rFonts w:cs="Arial"/>
          <w:sz w:val="16"/>
          <w:szCs w:val="16"/>
        </w:rPr>
      </w:pPr>
      <w:r w:rsidRPr="007C33E4">
        <w:rPr>
          <w:rStyle w:val="Refdenotaalpie"/>
          <w:rFonts w:cs="Arial"/>
          <w:sz w:val="16"/>
          <w:szCs w:val="16"/>
        </w:rPr>
        <w:footnoteRef/>
      </w:r>
      <w:r w:rsidRPr="007C33E4">
        <w:rPr>
          <w:rFonts w:cs="Arial"/>
          <w:sz w:val="16"/>
          <w:szCs w:val="16"/>
        </w:rPr>
        <w:t xml:space="preserve"> Manual para la Definición de Requisitos Habilitantes (versión 3). Agencia Nacional de Contratación Pública – Colombia Compra Eficiente. Disponible en: </w:t>
      </w:r>
      <w:hyperlink r:id="rId26" w:history="1">
        <w:r w:rsidRPr="007C33E4">
          <w:rPr>
            <w:rStyle w:val="Hipervnculo"/>
            <w:rFonts w:cs="Arial"/>
            <w:sz w:val="16"/>
            <w:szCs w:val="16"/>
          </w:rPr>
          <w:t>https://www.colombiacompra.gov.co/sites/cce_public/files/cce_documents/cce-eicp-ma-04._manual_requisitos_habilitantes_v3_29-09-2023.pdf</w:t>
        </w:r>
      </w:hyperlink>
      <w:r w:rsidRPr="007C33E4">
        <w:rPr>
          <w:rFonts w:cs="Arial"/>
          <w:sz w:val="16"/>
          <w:szCs w:val="16"/>
        </w:rPr>
        <w:t xml:space="preserve"> </w:t>
      </w:r>
    </w:p>
  </w:footnote>
  <w:footnote w:id="43">
    <w:p w14:paraId="373C7A2E"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Organización Internacional del Trabajo - OIT. (2020). InfoStories. El poder de lo pequeño: Hay que activar el potencial de las pymes. Disponible en línea https://cutt.ly/IwF3aCDl</w:t>
      </w:r>
    </w:p>
  </w:footnote>
  <w:footnote w:id="44">
    <w:p w14:paraId="26280ADB"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Ibídem., p. 4. </w:t>
      </w:r>
    </w:p>
  </w:footnote>
  <w:footnote w:id="45">
    <w:p w14:paraId="69354CB9"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Ibídem., p. 4.</w:t>
      </w:r>
    </w:p>
  </w:footnote>
  <w:footnote w:id="46">
    <w:p w14:paraId="3CCD34E4"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Ibídem., p. 4</w:t>
      </w:r>
    </w:p>
  </w:footnote>
  <w:footnote w:id="47">
    <w:p w14:paraId="2772E6F2"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Gaceta del Congreso de la República 959 del 21 de septiembre de 2020 y Gaceta del Congreso de la República 963 del 22 de septiembre de 2020. Disponibles en los siguientes enlaces: </w:t>
      </w:r>
      <w:hyperlink r:id="rId27" w:history="1">
        <w:r w:rsidRPr="00A50270">
          <w:rPr>
            <w:rFonts w:ascii="Verdana" w:hAnsi="Verdana"/>
            <w:sz w:val="16"/>
            <w:szCs w:val="16"/>
          </w:rPr>
          <w:t>https://cutt.ly/NKioA96</w:t>
        </w:r>
      </w:hyperlink>
      <w:r w:rsidRPr="00A50270">
        <w:rPr>
          <w:rFonts w:ascii="Verdana" w:hAnsi="Verdana"/>
          <w:sz w:val="16"/>
          <w:szCs w:val="16"/>
        </w:rPr>
        <w:t xml:space="preserve"> y </w:t>
      </w:r>
      <w:hyperlink r:id="rId28" w:history="1">
        <w:r w:rsidRPr="00A50270">
          <w:rPr>
            <w:rFonts w:ascii="Verdana" w:hAnsi="Verdana"/>
            <w:sz w:val="16"/>
            <w:szCs w:val="16"/>
          </w:rPr>
          <w:t>https://cutt.ly/eKioXyN</w:t>
        </w:r>
      </w:hyperlink>
      <w:r w:rsidRPr="00A50270">
        <w:rPr>
          <w:rFonts w:ascii="Verdana" w:hAnsi="Verdana"/>
          <w:sz w:val="16"/>
          <w:szCs w:val="16"/>
        </w:rPr>
        <w:t xml:space="preserve">   </w:t>
      </w:r>
    </w:p>
  </w:footnote>
  <w:footnote w:id="48">
    <w:p w14:paraId="7E129CC4"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Dinámica de Creación de Empresas en Colombia - 2023. Disponible en: </w:t>
      </w:r>
      <w:hyperlink r:id="rId29" w:history="1">
        <w:r w:rsidRPr="00A50270">
          <w:rPr>
            <w:rStyle w:val="Hipervnculo"/>
            <w:rFonts w:ascii="Verdana" w:hAnsi="Verdana"/>
            <w:sz w:val="16"/>
            <w:szCs w:val="16"/>
          </w:rPr>
          <w:t>https://confecamaras.org.co/images/Informe-Dinamica-de-creacion-de-empresas-2023.pdf</w:t>
        </w:r>
      </w:hyperlink>
      <w:r w:rsidRPr="00A50270">
        <w:rPr>
          <w:rFonts w:ascii="Verdana" w:hAnsi="Verdana"/>
          <w:sz w:val="16"/>
          <w:szCs w:val="16"/>
        </w:rPr>
        <w:t>.  Fecha de consulta: julio de 2024</w:t>
      </w:r>
    </w:p>
  </w:footnote>
  <w:footnote w:id="49">
    <w:p w14:paraId="2B14F6A7"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Dinámica de Creación de Empresas en Colombia - 2023. Disponible en: </w:t>
      </w:r>
      <w:hyperlink r:id="rId30" w:history="1">
        <w:r w:rsidRPr="00A50270">
          <w:rPr>
            <w:rStyle w:val="Hipervnculo"/>
            <w:rFonts w:ascii="Verdana" w:hAnsi="Verdana"/>
            <w:sz w:val="16"/>
            <w:szCs w:val="16"/>
          </w:rPr>
          <w:t>https://confecamaras.org.co/images/Informe-Dinamica-de-creacion-de-empresas-2023.pdf</w:t>
        </w:r>
      </w:hyperlink>
      <w:r w:rsidRPr="00A50270">
        <w:rPr>
          <w:rFonts w:ascii="Verdana" w:hAnsi="Verdana"/>
          <w:sz w:val="16"/>
          <w:szCs w:val="16"/>
        </w:rPr>
        <w:t>.  Fecha de consulta: julio de 2024</w:t>
      </w:r>
    </w:p>
  </w:footnote>
  <w:footnote w:id="50">
    <w:p w14:paraId="5E472A6D"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Ibidem.</w:t>
      </w:r>
    </w:p>
  </w:footnote>
  <w:footnote w:id="51">
    <w:p w14:paraId="6B33758E"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Dinámica de Creación de Empresas en Colombia - 2023. Disponible en: </w:t>
      </w:r>
      <w:hyperlink r:id="rId31" w:history="1">
        <w:r w:rsidRPr="00A50270">
          <w:rPr>
            <w:rStyle w:val="Hipervnculo"/>
            <w:rFonts w:ascii="Verdana" w:hAnsi="Verdana"/>
            <w:sz w:val="16"/>
            <w:szCs w:val="16"/>
          </w:rPr>
          <w:t>https://confecamaras.org.co/images/Informe-Dinamica-de-creacion-de-empresas-2023.pdf</w:t>
        </w:r>
      </w:hyperlink>
      <w:r w:rsidRPr="00A50270">
        <w:rPr>
          <w:rFonts w:ascii="Verdana" w:hAnsi="Verdana"/>
          <w:sz w:val="16"/>
          <w:szCs w:val="16"/>
        </w:rPr>
        <w:t>.  Fecha de consulta: julio de 2024</w:t>
      </w:r>
    </w:p>
  </w:footnote>
  <w:footnote w:id="52">
    <w:p w14:paraId="3031C03F"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A50270">
        <w:rPr>
          <w:rFonts w:ascii="Verdana" w:hAnsi="Verdana"/>
          <w:sz w:val="16"/>
          <w:szCs w:val="16"/>
        </w:rPr>
        <w:t xml:space="preserve"> Ibidem.</w:t>
      </w:r>
    </w:p>
  </w:footnote>
  <w:footnote w:id="53">
    <w:p w14:paraId="7FA90DDF" w14:textId="77777777" w:rsidR="00097152" w:rsidRPr="00A50270" w:rsidRDefault="00097152" w:rsidP="00097152">
      <w:pPr>
        <w:pStyle w:val="Textonotapie"/>
        <w:rPr>
          <w:rFonts w:ascii="Verdana" w:hAnsi="Verdana"/>
          <w:sz w:val="16"/>
          <w:szCs w:val="16"/>
        </w:rPr>
      </w:pPr>
      <w:r w:rsidRPr="00A50270">
        <w:rPr>
          <w:rFonts w:ascii="Verdana" w:hAnsi="Verdana"/>
          <w:sz w:val="16"/>
          <w:szCs w:val="16"/>
        </w:rPr>
        <w:footnoteRef/>
      </w:r>
      <w:r w:rsidRPr="00A50270">
        <w:rPr>
          <w:rFonts w:ascii="Verdana" w:hAnsi="Verdana"/>
          <w:sz w:val="16"/>
          <w:szCs w:val="16"/>
        </w:rPr>
        <w:t xml:space="preserve"> Centro de Estudios Económicos. (2021). Retos y oportunidades de las Pymes. Disponible en el siguiente </w:t>
      </w:r>
      <w:proofErr w:type="gramStart"/>
      <w:r w:rsidRPr="00A50270">
        <w:rPr>
          <w:rFonts w:ascii="Verdana" w:hAnsi="Verdana"/>
          <w:sz w:val="16"/>
          <w:szCs w:val="16"/>
        </w:rPr>
        <w:t>link</w:t>
      </w:r>
      <w:proofErr w:type="gramEnd"/>
      <w:r w:rsidRPr="00A50270">
        <w:rPr>
          <w:rFonts w:ascii="Verdana" w:hAnsi="Verdana"/>
          <w:sz w:val="16"/>
          <w:szCs w:val="16"/>
        </w:rPr>
        <w:t xml:space="preserve">: </w:t>
      </w:r>
      <w:hyperlink r:id="rId32" w:history="1">
        <w:r w:rsidRPr="00A50270">
          <w:rPr>
            <w:rFonts w:ascii="Verdana" w:hAnsi="Verdana"/>
            <w:sz w:val="16"/>
            <w:szCs w:val="16"/>
          </w:rPr>
          <w:t xml:space="preserve">https://cutt.ly/7wF7kPBl </w:t>
        </w:r>
      </w:hyperlink>
      <w:r w:rsidRPr="00A50270">
        <w:rPr>
          <w:rFonts w:ascii="Verdana" w:hAnsi="Verdana"/>
          <w:sz w:val="16"/>
          <w:szCs w:val="16"/>
        </w:rPr>
        <w:t xml:space="preserve"> p. 1. </w:t>
      </w:r>
    </w:p>
  </w:footnote>
  <w:footnote w:id="54">
    <w:p w14:paraId="13860DD0" w14:textId="77777777" w:rsidR="00097152" w:rsidRPr="00B00FCB" w:rsidRDefault="00097152" w:rsidP="00097152">
      <w:pPr>
        <w:pStyle w:val="Textonotapie"/>
        <w:rPr>
          <w:rFonts w:ascii="Verdana" w:hAnsi="Verdana"/>
          <w:sz w:val="16"/>
          <w:szCs w:val="16"/>
          <w:lang w:val="pt-PT"/>
        </w:rPr>
      </w:pPr>
      <w:r w:rsidRPr="00A50270">
        <w:rPr>
          <w:rFonts w:ascii="Verdana" w:hAnsi="Verdana"/>
          <w:sz w:val="16"/>
          <w:szCs w:val="16"/>
        </w:rPr>
        <w:footnoteRef/>
      </w:r>
      <w:r w:rsidRPr="00B00FCB">
        <w:rPr>
          <w:rFonts w:ascii="Verdana" w:hAnsi="Verdana"/>
          <w:sz w:val="16"/>
          <w:szCs w:val="16"/>
          <w:lang w:val="pt-PT"/>
        </w:rPr>
        <w:t xml:space="preserve"> </w:t>
      </w:r>
      <w:r w:rsidRPr="00B00FCB">
        <w:rPr>
          <w:rFonts w:ascii="Verdana" w:hAnsi="Verdana"/>
          <w:sz w:val="16"/>
          <w:szCs w:val="16"/>
          <w:lang w:val="pt-PT"/>
        </w:rPr>
        <w:t xml:space="preserve">Ibidem. p. 1.  </w:t>
      </w:r>
    </w:p>
  </w:footnote>
  <w:footnote w:id="55">
    <w:p w14:paraId="18CCAA53" w14:textId="77777777" w:rsidR="00097152" w:rsidRPr="00A50270" w:rsidRDefault="00097152" w:rsidP="00097152">
      <w:pPr>
        <w:pStyle w:val="Textonotapie"/>
        <w:rPr>
          <w:rFonts w:ascii="Verdana" w:hAnsi="Verdana"/>
          <w:sz w:val="16"/>
          <w:szCs w:val="16"/>
        </w:rPr>
      </w:pPr>
      <w:r w:rsidRPr="00A50270">
        <w:rPr>
          <w:rStyle w:val="Refdenotaalpie"/>
          <w:rFonts w:ascii="Verdana" w:hAnsi="Verdana"/>
          <w:sz w:val="16"/>
          <w:szCs w:val="16"/>
        </w:rPr>
        <w:footnoteRef/>
      </w:r>
      <w:r w:rsidRPr="00B00FCB">
        <w:rPr>
          <w:rFonts w:ascii="Verdana" w:hAnsi="Verdana"/>
          <w:sz w:val="16"/>
          <w:szCs w:val="16"/>
          <w:lang w:val="pt-PT"/>
        </w:rPr>
        <w:t xml:space="preserve"> </w:t>
      </w:r>
      <w:r w:rsidRPr="00B00FCB">
        <w:rPr>
          <w:rFonts w:ascii="Verdana" w:hAnsi="Verdana"/>
          <w:sz w:val="16"/>
          <w:szCs w:val="16"/>
          <w:lang w:val="pt-PT"/>
        </w:rPr>
        <w:t xml:space="preserve">Departamento Administrativo Nacional de Estadística (DANE). </w:t>
      </w:r>
      <w:r w:rsidRPr="00A50270">
        <w:rPr>
          <w:rFonts w:ascii="Verdana" w:hAnsi="Verdana"/>
          <w:sz w:val="16"/>
          <w:szCs w:val="16"/>
        </w:rPr>
        <w:t xml:space="preserve">Boletín Técnico Encuesta de Micronegocios (EMICRON), I Trimestres 2024. Disponible en Internet en:  </w:t>
      </w:r>
      <w:hyperlink r:id="rId33" w:history="1">
        <w:r w:rsidRPr="00A50270">
          <w:rPr>
            <w:rStyle w:val="Hipervnculo"/>
            <w:rFonts w:ascii="Verdana" w:hAnsi="Verdana"/>
            <w:sz w:val="16"/>
            <w:szCs w:val="16"/>
          </w:rPr>
          <w:t>https://www.dane.gov.co/files/operaciones/EMICRON/bol-EMICRON-Itrim2024.pdf</w:t>
        </w:r>
      </w:hyperlink>
      <w:r w:rsidRPr="00A50270">
        <w:rPr>
          <w:rFonts w:ascii="Verdana" w:hAnsi="Verdana"/>
          <w:sz w:val="16"/>
          <w:szCs w:val="16"/>
        </w:rPr>
        <w:t xml:space="preserve">   Fecha de consulta: julio de </w:t>
      </w:r>
      <w:proofErr w:type="gramStart"/>
      <w:r w:rsidRPr="00A50270">
        <w:rPr>
          <w:rFonts w:ascii="Verdana" w:hAnsi="Verdana"/>
          <w:sz w:val="16"/>
          <w:szCs w:val="16"/>
        </w:rPr>
        <w:t>2024..</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51F71" w14:textId="0F10BBBB" w:rsidR="004343E6" w:rsidRDefault="004343E6" w:rsidP="004343E6"/>
  <w:p w14:paraId="000000BE" w14:textId="0FFEA4AB" w:rsidR="00B44DC1"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r>
      <w:rPr>
        <w:noProof/>
      </w:rPr>
      <w:drawing>
        <wp:anchor distT="0" distB="0" distL="114300" distR="114300" simplePos="0" relativeHeight="251658241" behindDoc="1" locked="0" layoutInCell="1" allowOverlap="1" wp14:anchorId="33BA8FED" wp14:editId="1B09D89C">
          <wp:simplePos x="0" y="0"/>
          <wp:positionH relativeFrom="margin">
            <wp:posOffset>2031365</wp:posOffset>
          </wp:positionH>
          <wp:positionV relativeFrom="paragraph">
            <wp:posOffset>34290</wp:posOffset>
          </wp:positionV>
          <wp:extent cx="1943200" cy="863644"/>
          <wp:effectExtent l="0" t="0" r="0" b="0"/>
          <wp:wrapNone/>
          <wp:docPr id="969262778" name="Imagen 2"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262778" name="Imagen 2" descr="Imagen que contiene Logotipo&#10;&#10;Descripción generada automáticamente"/>
                  <pic:cNvPicPr/>
                </pic:nvPicPr>
                <pic:blipFill>
                  <a:blip r:embed="rId1"/>
                  <a:stretch>
                    <a:fillRect/>
                  </a:stretch>
                </pic:blipFill>
                <pic:spPr>
                  <a:xfrm>
                    <a:off x="0" y="0"/>
                    <a:ext cx="1943200" cy="863644"/>
                  </a:xfrm>
                  <a:prstGeom prst="rect">
                    <a:avLst/>
                  </a:prstGeom>
                </pic:spPr>
              </pic:pic>
            </a:graphicData>
          </a:graphic>
        </wp:anchor>
      </w:drawing>
    </w:r>
  </w:p>
  <w:p w14:paraId="2FE9BD5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56B6BF3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696E91B6"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0655580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7CAE5841" w14:textId="77777777" w:rsidR="002052D8" w:rsidRDefault="002052D8" w:rsidP="0070709A">
    <w:pPr>
      <w:pStyle w:val="Normal0"/>
      <w:pBdr>
        <w:top w:val="nil"/>
        <w:left w:val="nil"/>
        <w:bottom w:val="nil"/>
        <w:right w:val="nil"/>
        <w:between w:val="nil"/>
      </w:pBdr>
      <w:tabs>
        <w:tab w:val="center" w:pos="4419"/>
        <w:tab w:val="right" w:pos="8838"/>
      </w:tabs>
      <w:spacing w:after="0" w:line="120" w:lineRule="auto"/>
      <w:rPr>
        <w:rFonts w:ascii="Times New Roman" w:eastAsia="Times New Roman" w:hAnsi="Times New Roman" w:cs="Times New Roman"/>
        <w:color w:val="000000"/>
        <w:sz w:val="24"/>
        <w:szCs w:val="24"/>
      </w:rPr>
    </w:pPr>
  </w:p>
  <w:p w14:paraId="14413CBB" w14:textId="5686AB6B" w:rsidR="002052D8" w:rsidRPr="0070709A" w:rsidRDefault="002052D8">
    <w:pPr>
      <w:pStyle w:val="Normal0"/>
      <w:pBdr>
        <w:top w:val="nil"/>
        <w:left w:val="nil"/>
        <w:bottom w:val="nil"/>
        <w:right w:val="nil"/>
        <w:between w:val="nil"/>
      </w:pBdr>
      <w:tabs>
        <w:tab w:val="center" w:pos="4419"/>
        <w:tab w:val="right" w:pos="8838"/>
      </w:tabs>
      <w:spacing w:after="0"/>
      <w:rPr>
        <w:rFonts w:ascii="Verdana" w:eastAsia="Times New Roman" w:hAnsi="Verdana" w:cs="Times New Roman"/>
        <w:b/>
        <w:bCs/>
      </w:rPr>
    </w:pPr>
    <w:r w:rsidRPr="0070709A">
      <w:rPr>
        <w:rFonts w:ascii="Verdana" w:eastAsia="Times New Roman" w:hAnsi="Verdana" w:cs="Times New Roman"/>
        <w:b/>
        <w:bCs/>
      </w:rPr>
      <w:t xml:space="preserve">ANEXO </w:t>
    </w:r>
    <w:r w:rsidR="00DB20D4" w:rsidRPr="0070709A">
      <w:rPr>
        <w:rFonts w:ascii="Verdana" w:eastAsia="Times New Roman" w:hAnsi="Verdana" w:cs="Times New Roman"/>
        <w:b/>
        <w:bCs/>
      </w:rPr>
      <w:t>MEMORIA JUSTIFICATIVA</w:t>
    </w:r>
  </w:p>
  <w:p w14:paraId="3310080B" w14:textId="77777777" w:rsidR="00DB20D4" w:rsidRDefault="00DB20D4" w:rsidP="00DB20D4">
    <w:pPr>
      <w:pStyle w:val="Normal0"/>
      <w:pBdr>
        <w:top w:val="nil"/>
        <w:left w:val="nil"/>
        <w:bottom w:val="nil"/>
        <w:right w:val="nil"/>
        <w:between w:val="nil"/>
      </w:pBdr>
      <w:tabs>
        <w:tab w:val="center" w:pos="4419"/>
        <w:tab w:val="right" w:pos="8838"/>
      </w:tabs>
      <w:spacing w:after="0" w:line="120" w:lineRule="auto"/>
      <w:rPr>
        <w:rFonts w:ascii="Times New Roman" w:eastAsia="Times New Roman" w:hAnsi="Times New Roman" w:cs="Times New Roman"/>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C" w14:textId="5DDDA310" w:rsidR="00B44DC1" w:rsidRDefault="00264D0B">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r>
      <w:rPr>
        <w:noProof/>
      </w:rPr>
      <w:drawing>
        <wp:anchor distT="0" distB="0" distL="114300" distR="114300" simplePos="0" relativeHeight="251658240" behindDoc="1" locked="0" layoutInCell="1" allowOverlap="1" wp14:anchorId="1AC57CE0" wp14:editId="5DE23864">
          <wp:simplePos x="0" y="0"/>
          <wp:positionH relativeFrom="page">
            <wp:align>left</wp:align>
          </wp:positionH>
          <wp:positionV relativeFrom="paragraph">
            <wp:posOffset>-447675</wp:posOffset>
          </wp:positionV>
          <wp:extent cx="7761249" cy="10044900"/>
          <wp:effectExtent l="0" t="0" r="0" b="0"/>
          <wp:wrapNone/>
          <wp:docPr id="685022261" name="Imagen 1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022261" name="Imagen 11" descr="Imagen que contiene Interfaz de usuario gráfica&#10;&#10;Descripción generada automá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761249" cy="10044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796EF"/>
    <w:multiLevelType w:val="hybridMultilevel"/>
    <w:tmpl w:val="8AB23C76"/>
    <w:lvl w:ilvl="0" w:tplc="F6A26EA2">
      <w:start w:val="1"/>
      <w:numFmt w:val="bullet"/>
      <w:lvlText w:val=""/>
      <w:lvlJc w:val="left"/>
      <w:pPr>
        <w:ind w:left="720" w:hanging="360"/>
      </w:pPr>
      <w:rPr>
        <w:rFonts w:ascii="Symbol" w:hAnsi="Symbol" w:hint="default"/>
      </w:rPr>
    </w:lvl>
    <w:lvl w:ilvl="1" w:tplc="A9D6043A">
      <w:start w:val="1"/>
      <w:numFmt w:val="bullet"/>
      <w:lvlText w:val="o"/>
      <w:lvlJc w:val="left"/>
      <w:pPr>
        <w:ind w:left="1440" w:hanging="360"/>
      </w:pPr>
      <w:rPr>
        <w:rFonts w:ascii="Courier New" w:hAnsi="Courier New" w:hint="default"/>
      </w:rPr>
    </w:lvl>
    <w:lvl w:ilvl="2" w:tplc="70A62614">
      <w:start w:val="1"/>
      <w:numFmt w:val="bullet"/>
      <w:lvlText w:val=""/>
      <w:lvlJc w:val="left"/>
      <w:pPr>
        <w:ind w:left="2160" w:hanging="360"/>
      </w:pPr>
      <w:rPr>
        <w:rFonts w:ascii="Wingdings" w:hAnsi="Wingdings" w:hint="default"/>
      </w:rPr>
    </w:lvl>
    <w:lvl w:ilvl="3" w:tplc="12ACCF0E">
      <w:start w:val="1"/>
      <w:numFmt w:val="bullet"/>
      <w:lvlText w:val=""/>
      <w:lvlJc w:val="left"/>
      <w:pPr>
        <w:ind w:left="2880" w:hanging="360"/>
      </w:pPr>
      <w:rPr>
        <w:rFonts w:ascii="Symbol" w:hAnsi="Symbol" w:hint="default"/>
      </w:rPr>
    </w:lvl>
    <w:lvl w:ilvl="4" w:tplc="FF701200">
      <w:start w:val="1"/>
      <w:numFmt w:val="bullet"/>
      <w:lvlText w:val="o"/>
      <w:lvlJc w:val="left"/>
      <w:pPr>
        <w:ind w:left="3600" w:hanging="360"/>
      </w:pPr>
      <w:rPr>
        <w:rFonts w:ascii="Courier New" w:hAnsi="Courier New" w:hint="default"/>
      </w:rPr>
    </w:lvl>
    <w:lvl w:ilvl="5" w:tplc="EACE5E6A">
      <w:start w:val="1"/>
      <w:numFmt w:val="bullet"/>
      <w:lvlText w:val=""/>
      <w:lvlJc w:val="left"/>
      <w:pPr>
        <w:ind w:left="4320" w:hanging="360"/>
      </w:pPr>
      <w:rPr>
        <w:rFonts w:ascii="Wingdings" w:hAnsi="Wingdings" w:hint="default"/>
      </w:rPr>
    </w:lvl>
    <w:lvl w:ilvl="6" w:tplc="889AE724">
      <w:start w:val="1"/>
      <w:numFmt w:val="bullet"/>
      <w:lvlText w:val=""/>
      <w:lvlJc w:val="left"/>
      <w:pPr>
        <w:ind w:left="5040" w:hanging="360"/>
      </w:pPr>
      <w:rPr>
        <w:rFonts w:ascii="Symbol" w:hAnsi="Symbol" w:hint="default"/>
      </w:rPr>
    </w:lvl>
    <w:lvl w:ilvl="7" w:tplc="FA88F03C">
      <w:start w:val="1"/>
      <w:numFmt w:val="bullet"/>
      <w:lvlText w:val="o"/>
      <w:lvlJc w:val="left"/>
      <w:pPr>
        <w:ind w:left="5760" w:hanging="360"/>
      </w:pPr>
      <w:rPr>
        <w:rFonts w:ascii="Courier New" w:hAnsi="Courier New" w:hint="default"/>
      </w:rPr>
    </w:lvl>
    <w:lvl w:ilvl="8" w:tplc="B7107334">
      <w:start w:val="1"/>
      <w:numFmt w:val="bullet"/>
      <w:lvlText w:val=""/>
      <w:lvlJc w:val="left"/>
      <w:pPr>
        <w:ind w:left="6480" w:hanging="360"/>
      </w:pPr>
      <w:rPr>
        <w:rFonts w:ascii="Wingdings" w:hAnsi="Wingdings" w:hint="default"/>
      </w:rPr>
    </w:lvl>
  </w:abstractNum>
  <w:abstractNum w:abstractNumId="1" w15:restartNumberingAfterBreak="0">
    <w:nsid w:val="03FD3A88"/>
    <w:multiLevelType w:val="multilevel"/>
    <w:tmpl w:val="53AA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0B132A"/>
    <w:multiLevelType w:val="hybridMultilevel"/>
    <w:tmpl w:val="53EC1752"/>
    <w:lvl w:ilvl="0" w:tplc="2992234A">
      <w:start w:val="1"/>
      <w:numFmt w:val="bullet"/>
      <w:lvlText w:val=""/>
      <w:lvlJc w:val="left"/>
      <w:pPr>
        <w:ind w:left="720" w:hanging="360"/>
      </w:pPr>
      <w:rPr>
        <w:rFonts w:ascii="Symbol" w:hAnsi="Symbol" w:hint="default"/>
      </w:rPr>
    </w:lvl>
    <w:lvl w:ilvl="1" w:tplc="45D452A0">
      <w:start w:val="1"/>
      <w:numFmt w:val="bullet"/>
      <w:lvlText w:val="o"/>
      <w:lvlJc w:val="left"/>
      <w:pPr>
        <w:ind w:left="1440" w:hanging="360"/>
      </w:pPr>
      <w:rPr>
        <w:rFonts w:ascii="Courier New" w:hAnsi="Courier New" w:hint="default"/>
      </w:rPr>
    </w:lvl>
    <w:lvl w:ilvl="2" w:tplc="30F0D8B0">
      <w:start w:val="1"/>
      <w:numFmt w:val="bullet"/>
      <w:lvlText w:val=""/>
      <w:lvlJc w:val="left"/>
      <w:pPr>
        <w:ind w:left="2160" w:hanging="360"/>
      </w:pPr>
      <w:rPr>
        <w:rFonts w:ascii="Wingdings" w:hAnsi="Wingdings" w:hint="default"/>
      </w:rPr>
    </w:lvl>
    <w:lvl w:ilvl="3" w:tplc="6E6CA462">
      <w:start w:val="1"/>
      <w:numFmt w:val="bullet"/>
      <w:lvlText w:val=""/>
      <w:lvlJc w:val="left"/>
      <w:pPr>
        <w:ind w:left="2880" w:hanging="360"/>
      </w:pPr>
      <w:rPr>
        <w:rFonts w:ascii="Symbol" w:hAnsi="Symbol" w:hint="default"/>
      </w:rPr>
    </w:lvl>
    <w:lvl w:ilvl="4" w:tplc="D8DAC5F0">
      <w:start w:val="1"/>
      <w:numFmt w:val="bullet"/>
      <w:lvlText w:val="o"/>
      <w:lvlJc w:val="left"/>
      <w:pPr>
        <w:ind w:left="3600" w:hanging="360"/>
      </w:pPr>
      <w:rPr>
        <w:rFonts w:ascii="Courier New" w:hAnsi="Courier New" w:hint="default"/>
      </w:rPr>
    </w:lvl>
    <w:lvl w:ilvl="5" w:tplc="031A3C14">
      <w:start w:val="1"/>
      <w:numFmt w:val="bullet"/>
      <w:lvlText w:val=""/>
      <w:lvlJc w:val="left"/>
      <w:pPr>
        <w:ind w:left="4320" w:hanging="360"/>
      </w:pPr>
      <w:rPr>
        <w:rFonts w:ascii="Wingdings" w:hAnsi="Wingdings" w:hint="default"/>
      </w:rPr>
    </w:lvl>
    <w:lvl w:ilvl="6" w:tplc="54582FA6">
      <w:start w:val="1"/>
      <w:numFmt w:val="bullet"/>
      <w:lvlText w:val=""/>
      <w:lvlJc w:val="left"/>
      <w:pPr>
        <w:ind w:left="5040" w:hanging="360"/>
      </w:pPr>
      <w:rPr>
        <w:rFonts w:ascii="Symbol" w:hAnsi="Symbol" w:hint="default"/>
      </w:rPr>
    </w:lvl>
    <w:lvl w:ilvl="7" w:tplc="4024F414">
      <w:start w:val="1"/>
      <w:numFmt w:val="bullet"/>
      <w:lvlText w:val="o"/>
      <w:lvlJc w:val="left"/>
      <w:pPr>
        <w:ind w:left="5760" w:hanging="360"/>
      </w:pPr>
      <w:rPr>
        <w:rFonts w:ascii="Courier New" w:hAnsi="Courier New" w:hint="default"/>
      </w:rPr>
    </w:lvl>
    <w:lvl w:ilvl="8" w:tplc="36DE619E">
      <w:start w:val="1"/>
      <w:numFmt w:val="bullet"/>
      <w:lvlText w:val=""/>
      <w:lvlJc w:val="left"/>
      <w:pPr>
        <w:ind w:left="6480" w:hanging="360"/>
      </w:pPr>
      <w:rPr>
        <w:rFonts w:ascii="Wingdings" w:hAnsi="Wingdings" w:hint="default"/>
      </w:rPr>
    </w:lvl>
  </w:abstractNum>
  <w:abstractNum w:abstractNumId="3" w15:restartNumberingAfterBreak="0">
    <w:nsid w:val="0429F222"/>
    <w:multiLevelType w:val="hybridMultilevel"/>
    <w:tmpl w:val="8BA82CE0"/>
    <w:lvl w:ilvl="0" w:tplc="DEF0182C">
      <w:start w:val="1"/>
      <w:numFmt w:val="bullet"/>
      <w:lvlText w:val=""/>
      <w:lvlJc w:val="left"/>
      <w:pPr>
        <w:ind w:left="720" w:hanging="360"/>
      </w:pPr>
      <w:rPr>
        <w:rFonts w:ascii="Wingdings,Sans-Serif" w:hAnsi="Wingdings,Sans-Serif" w:hint="default"/>
      </w:rPr>
    </w:lvl>
    <w:lvl w:ilvl="1" w:tplc="9E3AAAB6">
      <w:start w:val="1"/>
      <w:numFmt w:val="bullet"/>
      <w:lvlText w:val="o"/>
      <w:lvlJc w:val="left"/>
      <w:pPr>
        <w:ind w:left="1440" w:hanging="360"/>
      </w:pPr>
      <w:rPr>
        <w:rFonts w:ascii="Courier New" w:hAnsi="Courier New" w:hint="default"/>
      </w:rPr>
    </w:lvl>
    <w:lvl w:ilvl="2" w:tplc="85CC68AA">
      <w:start w:val="1"/>
      <w:numFmt w:val="bullet"/>
      <w:lvlText w:val=""/>
      <w:lvlJc w:val="left"/>
      <w:pPr>
        <w:ind w:left="2160" w:hanging="360"/>
      </w:pPr>
      <w:rPr>
        <w:rFonts w:ascii="Wingdings" w:hAnsi="Wingdings" w:hint="default"/>
      </w:rPr>
    </w:lvl>
    <w:lvl w:ilvl="3" w:tplc="B1E2B288">
      <w:start w:val="1"/>
      <w:numFmt w:val="bullet"/>
      <w:lvlText w:val=""/>
      <w:lvlJc w:val="left"/>
      <w:pPr>
        <w:ind w:left="2880" w:hanging="360"/>
      </w:pPr>
      <w:rPr>
        <w:rFonts w:ascii="Symbol" w:hAnsi="Symbol" w:hint="default"/>
      </w:rPr>
    </w:lvl>
    <w:lvl w:ilvl="4" w:tplc="934A0388">
      <w:start w:val="1"/>
      <w:numFmt w:val="bullet"/>
      <w:lvlText w:val="o"/>
      <w:lvlJc w:val="left"/>
      <w:pPr>
        <w:ind w:left="3600" w:hanging="360"/>
      </w:pPr>
      <w:rPr>
        <w:rFonts w:ascii="Courier New" w:hAnsi="Courier New" w:hint="default"/>
      </w:rPr>
    </w:lvl>
    <w:lvl w:ilvl="5" w:tplc="B68466BA">
      <w:start w:val="1"/>
      <w:numFmt w:val="bullet"/>
      <w:lvlText w:val=""/>
      <w:lvlJc w:val="left"/>
      <w:pPr>
        <w:ind w:left="4320" w:hanging="360"/>
      </w:pPr>
      <w:rPr>
        <w:rFonts w:ascii="Wingdings" w:hAnsi="Wingdings" w:hint="default"/>
      </w:rPr>
    </w:lvl>
    <w:lvl w:ilvl="6" w:tplc="4CEECFE6">
      <w:start w:val="1"/>
      <w:numFmt w:val="bullet"/>
      <w:lvlText w:val=""/>
      <w:lvlJc w:val="left"/>
      <w:pPr>
        <w:ind w:left="5040" w:hanging="360"/>
      </w:pPr>
      <w:rPr>
        <w:rFonts w:ascii="Symbol" w:hAnsi="Symbol" w:hint="default"/>
      </w:rPr>
    </w:lvl>
    <w:lvl w:ilvl="7" w:tplc="24505294">
      <w:start w:val="1"/>
      <w:numFmt w:val="bullet"/>
      <w:lvlText w:val="o"/>
      <w:lvlJc w:val="left"/>
      <w:pPr>
        <w:ind w:left="5760" w:hanging="360"/>
      </w:pPr>
      <w:rPr>
        <w:rFonts w:ascii="Courier New" w:hAnsi="Courier New" w:hint="default"/>
      </w:rPr>
    </w:lvl>
    <w:lvl w:ilvl="8" w:tplc="83248012">
      <w:start w:val="1"/>
      <w:numFmt w:val="bullet"/>
      <w:lvlText w:val=""/>
      <w:lvlJc w:val="left"/>
      <w:pPr>
        <w:ind w:left="6480" w:hanging="360"/>
      </w:pPr>
      <w:rPr>
        <w:rFonts w:ascii="Wingdings" w:hAnsi="Wingdings" w:hint="default"/>
      </w:rPr>
    </w:lvl>
  </w:abstractNum>
  <w:abstractNum w:abstractNumId="4" w15:restartNumberingAfterBreak="0">
    <w:nsid w:val="091B722E"/>
    <w:multiLevelType w:val="multilevel"/>
    <w:tmpl w:val="5C22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3205FD"/>
    <w:multiLevelType w:val="hybridMultilevel"/>
    <w:tmpl w:val="F2A0793E"/>
    <w:lvl w:ilvl="0" w:tplc="B0B490F4">
      <w:start w:val="1"/>
      <w:numFmt w:val="bullet"/>
      <w:lvlText w:val=""/>
      <w:lvlJc w:val="left"/>
      <w:pPr>
        <w:ind w:left="720" w:hanging="360"/>
      </w:pPr>
      <w:rPr>
        <w:rFonts w:ascii="Symbol" w:hAnsi="Symbol" w:hint="default"/>
      </w:rPr>
    </w:lvl>
    <w:lvl w:ilvl="1" w:tplc="7D127C4A">
      <w:start w:val="1"/>
      <w:numFmt w:val="bullet"/>
      <w:lvlText w:val="o"/>
      <w:lvlJc w:val="left"/>
      <w:pPr>
        <w:ind w:left="1440" w:hanging="360"/>
      </w:pPr>
      <w:rPr>
        <w:rFonts w:ascii="Courier New" w:hAnsi="Courier New" w:hint="default"/>
      </w:rPr>
    </w:lvl>
    <w:lvl w:ilvl="2" w:tplc="847629A0">
      <w:start w:val="1"/>
      <w:numFmt w:val="bullet"/>
      <w:lvlText w:val=""/>
      <w:lvlJc w:val="left"/>
      <w:pPr>
        <w:ind w:left="2160" w:hanging="360"/>
      </w:pPr>
      <w:rPr>
        <w:rFonts w:ascii="Wingdings" w:hAnsi="Wingdings" w:hint="default"/>
      </w:rPr>
    </w:lvl>
    <w:lvl w:ilvl="3" w:tplc="32B84B12">
      <w:start w:val="1"/>
      <w:numFmt w:val="bullet"/>
      <w:lvlText w:val=""/>
      <w:lvlJc w:val="left"/>
      <w:pPr>
        <w:ind w:left="2880" w:hanging="360"/>
      </w:pPr>
      <w:rPr>
        <w:rFonts w:ascii="Symbol" w:hAnsi="Symbol" w:hint="default"/>
      </w:rPr>
    </w:lvl>
    <w:lvl w:ilvl="4" w:tplc="4DDA0C3E">
      <w:start w:val="1"/>
      <w:numFmt w:val="bullet"/>
      <w:lvlText w:val="o"/>
      <w:lvlJc w:val="left"/>
      <w:pPr>
        <w:ind w:left="3600" w:hanging="360"/>
      </w:pPr>
      <w:rPr>
        <w:rFonts w:ascii="Courier New" w:hAnsi="Courier New" w:hint="default"/>
      </w:rPr>
    </w:lvl>
    <w:lvl w:ilvl="5" w:tplc="2160C814">
      <w:start w:val="1"/>
      <w:numFmt w:val="bullet"/>
      <w:lvlText w:val=""/>
      <w:lvlJc w:val="left"/>
      <w:pPr>
        <w:ind w:left="4320" w:hanging="360"/>
      </w:pPr>
      <w:rPr>
        <w:rFonts w:ascii="Wingdings" w:hAnsi="Wingdings" w:hint="default"/>
      </w:rPr>
    </w:lvl>
    <w:lvl w:ilvl="6" w:tplc="61DA40C8">
      <w:start w:val="1"/>
      <w:numFmt w:val="bullet"/>
      <w:lvlText w:val=""/>
      <w:lvlJc w:val="left"/>
      <w:pPr>
        <w:ind w:left="5040" w:hanging="360"/>
      </w:pPr>
      <w:rPr>
        <w:rFonts w:ascii="Symbol" w:hAnsi="Symbol" w:hint="default"/>
      </w:rPr>
    </w:lvl>
    <w:lvl w:ilvl="7" w:tplc="C7A0EA1A">
      <w:start w:val="1"/>
      <w:numFmt w:val="bullet"/>
      <w:lvlText w:val="o"/>
      <w:lvlJc w:val="left"/>
      <w:pPr>
        <w:ind w:left="5760" w:hanging="360"/>
      </w:pPr>
      <w:rPr>
        <w:rFonts w:ascii="Courier New" w:hAnsi="Courier New" w:hint="default"/>
      </w:rPr>
    </w:lvl>
    <w:lvl w:ilvl="8" w:tplc="8AA09BC2">
      <w:start w:val="1"/>
      <w:numFmt w:val="bullet"/>
      <w:lvlText w:val=""/>
      <w:lvlJc w:val="left"/>
      <w:pPr>
        <w:ind w:left="6480" w:hanging="360"/>
      </w:pPr>
      <w:rPr>
        <w:rFonts w:ascii="Wingdings" w:hAnsi="Wingdings" w:hint="default"/>
      </w:rPr>
    </w:lvl>
  </w:abstractNum>
  <w:abstractNum w:abstractNumId="6" w15:restartNumberingAfterBreak="0">
    <w:nsid w:val="0B7C38BF"/>
    <w:multiLevelType w:val="hybridMultilevel"/>
    <w:tmpl w:val="653C2DB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D9955E9"/>
    <w:multiLevelType w:val="hybridMultilevel"/>
    <w:tmpl w:val="C2083B2A"/>
    <w:lvl w:ilvl="0" w:tplc="240A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 w15:restartNumberingAfterBreak="0">
    <w:nsid w:val="0E2E4057"/>
    <w:multiLevelType w:val="hybridMultilevel"/>
    <w:tmpl w:val="C6D8CF10"/>
    <w:lvl w:ilvl="0" w:tplc="12521D2C">
      <w:start w:val="1"/>
      <w:numFmt w:val="bullet"/>
      <w:lvlText w:val=""/>
      <w:lvlJc w:val="left"/>
      <w:pPr>
        <w:ind w:left="720" w:hanging="360"/>
      </w:pPr>
      <w:rPr>
        <w:rFonts w:ascii="Wingdings,Sans-Serif" w:hAnsi="Wingdings,Sans-Serif" w:hint="default"/>
      </w:rPr>
    </w:lvl>
    <w:lvl w:ilvl="1" w:tplc="93CEAB26">
      <w:start w:val="1"/>
      <w:numFmt w:val="bullet"/>
      <w:lvlText w:val="o"/>
      <w:lvlJc w:val="left"/>
      <w:pPr>
        <w:ind w:left="1440" w:hanging="360"/>
      </w:pPr>
      <w:rPr>
        <w:rFonts w:ascii="Courier New" w:hAnsi="Courier New" w:hint="default"/>
      </w:rPr>
    </w:lvl>
    <w:lvl w:ilvl="2" w:tplc="6FA2183C">
      <w:start w:val="1"/>
      <w:numFmt w:val="bullet"/>
      <w:lvlText w:val=""/>
      <w:lvlJc w:val="left"/>
      <w:pPr>
        <w:ind w:left="2160" w:hanging="360"/>
      </w:pPr>
      <w:rPr>
        <w:rFonts w:ascii="Wingdings" w:hAnsi="Wingdings" w:hint="default"/>
      </w:rPr>
    </w:lvl>
    <w:lvl w:ilvl="3" w:tplc="3A1EF2B0">
      <w:start w:val="1"/>
      <w:numFmt w:val="bullet"/>
      <w:lvlText w:val=""/>
      <w:lvlJc w:val="left"/>
      <w:pPr>
        <w:ind w:left="2880" w:hanging="360"/>
      </w:pPr>
      <w:rPr>
        <w:rFonts w:ascii="Symbol" w:hAnsi="Symbol" w:hint="default"/>
      </w:rPr>
    </w:lvl>
    <w:lvl w:ilvl="4" w:tplc="039A752E">
      <w:start w:val="1"/>
      <w:numFmt w:val="bullet"/>
      <w:lvlText w:val="o"/>
      <w:lvlJc w:val="left"/>
      <w:pPr>
        <w:ind w:left="3600" w:hanging="360"/>
      </w:pPr>
      <w:rPr>
        <w:rFonts w:ascii="Courier New" w:hAnsi="Courier New" w:hint="default"/>
      </w:rPr>
    </w:lvl>
    <w:lvl w:ilvl="5" w:tplc="E0C8E89E">
      <w:start w:val="1"/>
      <w:numFmt w:val="bullet"/>
      <w:lvlText w:val=""/>
      <w:lvlJc w:val="left"/>
      <w:pPr>
        <w:ind w:left="4320" w:hanging="360"/>
      </w:pPr>
      <w:rPr>
        <w:rFonts w:ascii="Wingdings" w:hAnsi="Wingdings" w:hint="default"/>
      </w:rPr>
    </w:lvl>
    <w:lvl w:ilvl="6" w:tplc="890E861E">
      <w:start w:val="1"/>
      <w:numFmt w:val="bullet"/>
      <w:lvlText w:val=""/>
      <w:lvlJc w:val="left"/>
      <w:pPr>
        <w:ind w:left="5040" w:hanging="360"/>
      </w:pPr>
      <w:rPr>
        <w:rFonts w:ascii="Symbol" w:hAnsi="Symbol" w:hint="default"/>
      </w:rPr>
    </w:lvl>
    <w:lvl w:ilvl="7" w:tplc="9D042E52">
      <w:start w:val="1"/>
      <w:numFmt w:val="bullet"/>
      <w:lvlText w:val="o"/>
      <w:lvlJc w:val="left"/>
      <w:pPr>
        <w:ind w:left="5760" w:hanging="360"/>
      </w:pPr>
      <w:rPr>
        <w:rFonts w:ascii="Courier New" w:hAnsi="Courier New" w:hint="default"/>
      </w:rPr>
    </w:lvl>
    <w:lvl w:ilvl="8" w:tplc="87C4CA10">
      <w:start w:val="1"/>
      <w:numFmt w:val="bullet"/>
      <w:lvlText w:val=""/>
      <w:lvlJc w:val="left"/>
      <w:pPr>
        <w:ind w:left="6480" w:hanging="360"/>
      </w:pPr>
      <w:rPr>
        <w:rFonts w:ascii="Wingdings" w:hAnsi="Wingdings" w:hint="default"/>
      </w:rPr>
    </w:lvl>
  </w:abstractNum>
  <w:abstractNum w:abstractNumId="9" w15:restartNumberingAfterBreak="0">
    <w:nsid w:val="107FC37E"/>
    <w:multiLevelType w:val="hybridMultilevel"/>
    <w:tmpl w:val="EB1C432A"/>
    <w:lvl w:ilvl="0" w:tplc="214824AA">
      <w:start w:val="1"/>
      <w:numFmt w:val="bullet"/>
      <w:lvlText w:val=""/>
      <w:lvlJc w:val="left"/>
      <w:pPr>
        <w:ind w:left="720" w:hanging="360"/>
      </w:pPr>
      <w:rPr>
        <w:rFonts w:ascii="Wingdings,Sans-Serif" w:hAnsi="Wingdings,Sans-Serif" w:hint="default"/>
      </w:rPr>
    </w:lvl>
    <w:lvl w:ilvl="1" w:tplc="002AA4B6">
      <w:start w:val="1"/>
      <w:numFmt w:val="bullet"/>
      <w:lvlText w:val="o"/>
      <w:lvlJc w:val="left"/>
      <w:pPr>
        <w:ind w:left="1440" w:hanging="360"/>
      </w:pPr>
      <w:rPr>
        <w:rFonts w:ascii="Courier New" w:hAnsi="Courier New" w:hint="default"/>
      </w:rPr>
    </w:lvl>
    <w:lvl w:ilvl="2" w:tplc="655A85DA">
      <w:start w:val="1"/>
      <w:numFmt w:val="bullet"/>
      <w:lvlText w:val=""/>
      <w:lvlJc w:val="left"/>
      <w:pPr>
        <w:ind w:left="2160" w:hanging="360"/>
      </w:pPr>
      <w:rPr>
        <w:rFonts w:ascii="Wingdings" w:hAnsi="Wingdings" w:hint="default"/>
      </w:rPr>
    </w:lvl>
    <w:lvl w:ilvl="3" w:tplc="6A3A986E">
      <w:start w:val="1"/>
      <w:numFmt w:val="bullet"/>
      <w:lvlText w:val=""/>
      <w:lvlJc w:val="left"/>
      <w:pPr>
        <w:ind w:left="2880" w:hanging="360"/>
      </w:pPr>
      <w:rPr>
        <w:rFonts w:ascii="Symbol" w:hAnsi="Symbol" w:hint="default"/>
      </w:rPr>
    </w:lvl>
    <w:lvl w:ilvl="4" w:tplc="423A178E">
      <w:start w:val="1"/>
      <w:numFmt w:val="bullet"/>
      <w:lvlText w:val="o"/>
      <w:lvlJc w:val="left"/>
      <w:pPr>
        <w:ind w:left="3600" w:hanging="360"/>
      </w:pPr>
      <w:rPr>
        <w:rFonts w:ascii="Courier New" w:hAnsi="Courier New" w:hint="default"/>
      </w:rPr>
    </w:lvl>
    <w:lvl w:ilvl="5" w:tplc="EE561D12">
      <w:start w:val="1"/>
      <w:numFmt w:val="bullet"/>
      <w:lvlText w:val=""/>
      <w:lvlJc w:val="left"/>
      <w:pPr>
        <w:ind w:left="4320" w:hanging="360"/>
      </w:pPr>
      <w:rPr>
        <w:rFonts w:ascii="Wingdings" w:hAnsi="Wingdings" w:hint="default"/>
      </w:rPr>
    </w:lvl>
    <w:lvl w:ilvl="6" w:tplc="8056EFC8">
      <w:start w:val="1"/>
      <w:numFmt w:val="bullet"/>
      <w:lvlText w:val=""/>
      <w:lvlJc w:val="left"/>
      <w:pPr>
        <w:ind w:left="5040" w:hanging="360"/>
      </w:pPr>
      <w:rPr>
        <w:rFonts w:ascii="Symbol" w:hAnsi="Symbol" w:hint="default"/>
      </w:rPr>
    </w:lvl>
    <w:lvl w:ilvl="7" w:tplc="53EE5286">
      <w:start w:val="1"/>
      <w:numFmt w:val="bullet"/>
      <w:lvlText w:val="o"/>
      <w:lvlJc w:val="left"/>
      <w:pPr>
        <w:ind w:left="5760" w:hanging="360"/>
      </w:pPr>
      <w:rPr>
        <w:rFonts w:ascii="Courier New" w:hAnsi="Courier New" w:hint="default"/>
      </w:rPr>
    </w:lvl>
    <w:lvl w:ilvl="8" w:tplc="47446F56">
      <w:start w:val="1"/>
      <w:numFmt w:val="bullet"/>
      <w:lvlText w:val=""/>
      <w:lvlJc w:val="left"/>
      <w:pPr>
        <w:ind w:left="6480" w:hanging="360"/>
      </w:pPr>
      <w:rPr>
        <w:rFonts w:ascii="Wingdings" w:hAnsi="Wingdings" w:hint="default"/>
      </w:rPr>
    </w:lvl>
  </w:abstractNum>
  <w:abstractNum w:abstractNumId="10" w15:restartNumberingAfterBreak="0">
    <w:nsid w:val="10F662CB"/>
    <w:multiLevelType w:val="hybridMultilevel"/>
    <w:tmpl w:val="DEA28526"/>
    <w:lvl w:ilvl="0" w:tplc="5C42CF5E">
      <w:numFmt w:val="bullet"/>
      <w:lvlText w:val="-"/>
      <w:lvlJc w:val="left"/>
      <w:pPr>
        <w:ind w:left="1068" w:hanging="360"/>
      </w:pPr>
      <w:rPr>
        <w:rFonts w:ascii="Arial" w:eastAsia="Calibri" w:hAnsi="Arial" w:cs="Arial" w:hint="default"/>
        <w:color w:val="auto"/>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11" w15:restartNumberingAfterBreak="0">
    <w:nsid w:val="113A8D0B"/>
    <w:multiLevelType w:val="hybridMultilevel"/>
    <w:tmpl w:val="F52C6212"/>
    <w:lvl w:ilvl="0" w:tplc="CE9E2EBA">
      <w:start w:val="1"/>
      <w:numFmt w:val="bullet"/>
      <w:lvlText w:val=""/>
      <w:lvlJc w:val="left"/>
      <w:pPr>
        <w:ind w:left="720" w:hanging="360"/>
      </w:pPr>
      <w:rPr>
        <w:rFonts w:ascii="Wingdings,Sans-Serif" w:hAnsi="Wingdings,Sans-Serif" w:hint="default"/>
      </w:rPr>
    </w:lvl>
    <w:lvl w:ilvl="1" w:tplc="FF2A98F2">
      <w:start w:val="1"/>
      <w:numFmt w:val="bullet"/>
      <w:lvlText w:val="o"/>
      <w:lvlJc w:val="left"/>
      <w:pPr>
        <w:ind w:left="1440" w:hanging="360"/>
      </w:pPr>
      <w:rPr>
        <w:rFonts w:ascii="Courier New" w:hAnsi="Courier New" w:hint="default"/>
      </w:rPr>
    </w:lvl>
    <w:lvl w:ilvl="2" w:tplc="E8189C8C">
      <w:start w:val="1"/>
      <w:numFmt w:val="bullet"/>
      <w:lvlText w:val=""/>
      <w:lvlJc w:val="left"/>
      <w:pPr>
        <w:ind w:left="2160" w:hanging="360"/>
      </w:pPr>
      <w:rPr>
        <w:rFonts w:ascii="Wingdings" w:hAnsi="Wingdings" w:hint="default"/>
      </w:rPr>
    </w:lvl>
    <w:lvl w:ilvl="3" w:tplc="17A69C16">
      <w:start w:val="1"/>
      <w:numFmt w:val="bullet"/>
      <w:lvlText w:val=""/>
      <w:lvlJc w:val="left"/>
      <w:pPr>
        <w:ind w:left="2880" w:hanging="360"/>
      </w:pPr>
      <w:rPr>
        <w:rFonts w:ascii="Symbol" w:hAnsi="Symbol" w:hint="default"/>
      </w:rPr>
    </w:lvl>
    <w:lvl w:ilvl="4" w:tplc="78F4CD50">
      <w:start w:val="1"/>
      <w:numFmt w:val="bullet"/>
      <w:lvlText w:val="o"/>
      <w:lvlJc w:val="left"/>
      <w:pPr>
        <w:ind w:left="3600" w:hanging="360"/>
      </w:pPr>
      <w:rPr>
        <w:rFonts w:ascii="Courier New" w:hAnsi="Courier New" w:hint="default"/>
      </w:rPr>
    </w:lvl>
    <w:lvl w:ilvl="5" w:tplc="16AC2718">
      <w:start w:val="1"/>
      <w:numFmt w:val="bullet"/>
      <w:lvlText w:val=""/>
      <w:lvlJc w:val="left"/>
      <w:pPr>
        <w:ind w:left="4320" w:hanging="360"/>
      </w:pPr>
      <w:rPr>
        <w:rFonts w:ascii="Wingdings" w:hAnsi="Wingdings" w:hint="default"/>
      </w:rPr>
    </w:lvl>
    <w:lvl w:ilvl="6" w:tplc="29308078">
      <w:start w:val="1"/>
      <w:numFmt w:val="bullet"/>
      <w:lvlText w:val=""/>
      <w:lvlJc w:val="left"/>
      <w:pPr>
        <w:ind w:left="5040" w:hanging="360"/>
      </w:pPr>
      <w:rPr>
        <w:rFonts w:ascii="Symbol" w:hAnsi="Symbol" w:hint="default"/>
      </w:rPr>
    </w:lvl>
    <w:lvl w:ilvl="7" w:tplc="FD42573E">
      <w:start w:val="1"/>
      <w:numFmt w:val="bullet"/>
      <w:lvlText w:val="o"/>
      <w:lvlJc w:val="left"/>
      <w:pPr>
        <w:ind w:left="5760" w:hanging="360"/>
      </w:pPr>
      <w:rPr>
        <w:rFonts w:ascii="Courier New" w:hAnsi="Courier New" w:hint="default"/>
      </w:rPr>
    </w:lvl>
    <w:lvl w:ilvl="8" w:tplc="601EBF32">
      <w:start w:val="1"/>
      <w:numFmt w:val="bullet"/>
      <w:lvlText w:val=""/>
      <w:lvlJc w:val="left"/>
      <w:pPr>
        <w:ind w:left="6480" w:hanging="360"/>
      </w:pPr>
      <w:rPr>
        <w:rFonts w:ascii="Wingdings" w:hAnsi="Wingdings" w:hint="default"/>
      </w:rPr>
    </w:lvl>
  </w:abstractNum>
  <w:abstractNum w:abstractNumId="12" w15:restartNumberingAfterBreak="0">
    <w:nsid w:val="19B90D97"/>
    <w:multiLevelType w:val="hybridMultilevel"/>
    <w:tmpl w:val="12EC53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9CC3AC9"/>
    <w:multiLevelType w:val="hybridMultilevel"/>
    <w:tmpl w:val="91E47CB8"/>
    <w:lvl w:ilvl="0" w:tplc="24DEC664">
      <w:start w:val="1"/>
      <w:numFmt w:val="bullet"/>
      <w:lvlText w:val=""/>
      <w:lvlJc w:val="left"/>
      <w:pPr>
        <w:ind w:left="720" w:hanging="360"/>
      </w:pPr>
      <w:rPr>
        <w:rFonts w:ascii="Wingdings,Sans-Serif" w:hAnsi="Wingdings,Sans-Serif" w:hint="default"/>
      </w:rPr>
    </w:lvl>
    <w:lvl w:ilvl="1" w:tplc="847864E4">
      <w:start w:val="1"/>
      <w:numFmt w:val="bullet"/>
      <w:lvlText w:val="o"/>
      <w:lvlJc w:val="left"/>
      <w:pPr>
        <w:ind w:left="1440" w:hanging="360"/>
      </w:pPr>
      <w:rPr>
        <w:rFonts w:ascii="Courier New" w:hAnsi="Courier New" w:hint="default"/>
      </w:rPr>
    </w:lvl>
    <w:lvl w:ilvl="2" w:tplc="D7289DA2">
      <w:start w:val="1"/>
      <w:numFmt w:val="bullet"/>
      <w:lvlText w:val=""/>
      <w:lvlJc w:val="left"/>
      <w:pPr>
        <w:ind w:left="2160" w:hanging="360"/>
      </w:pPr>
      <w:rPr>
        <w:rFonts w:ascii="Wingdings" w:hAnsi="Wingdings" w:hint="default"/>
      </w:rPr>
    </w:lvl>
    <w:lvl w:ilvl="3" w:tplc="B7A2772A">
      <w:start w:val="1"/>
      <w:numFmt w:val="bullet"/>
      <w:lvlText w:val=""/>
      <w:lvlJc w:val="left"/>
      <w:pPr>
        <w:ind w:left="2880" w:hanging="360"/>
      </w:pPr>
      <w:rPr>
        <w:rFonts w:ascii="Symbol" w:hAnsi="Symbol" w:hint="default"/>
      </w:rPr>
    </w:lvl>
    <w:lvl w:ilvl="4" w:tplc="1458ED54">
      <w:start w:val="1"/>
      <w:numFmt w:val="bullet"/>
      <w:lvlText w:val="o"/>
      <w:lvlJc w:val="left"/>
      <w:pPr>
        <w:ind w:left="3600" w:hanging="360"/>
      </w:pPr>
      <w:rPr>
        <w:rFonts w:ascii="Courier New" w:hAnsi="Courier New" w:hint="default"/>
      </w:rPr>
    </w:lvl>
    <w:lvl w:ilvl="5" w:tplc="674E9C5E">
      <w:start w:val="1"/>
      <w:numFmt w:val="bullet"/>
      <w:lvlText w:val=""/>
      <w:lvlJc w:val="left"/>
      <w:pPr>
        <w:ind w:left="4320" w:hanging="360"/>
      </w:pPr>
      <w:rPr>
        <w:rFonts w:ascii="Wingdings" w:hAnsi="Wingdings" w:hint="default"/>
      </w:rPr>
    </w:lvl>
    <w:lvl w:ilvl="6" w:tplc="3DB25ABE">
      <w:start w:val="1"/>
      <w:numFmt w:val="bullet"/>
      <w:lvlText w:val=""/>
      <w:lvlJc w:val="left"/>
      <w:pPr>
        <w:ind w:left="5040" w:hanging="360"/>
      </w:pPr>
      <w:rPr>
        <w:rFonts w:ascii="Symbol" w:hAnsi="Symbol" w:hint="default"/>
      </w:rPr>
    </w:lvl>
    <w:lvl w:ilvl="7" w:tplc="B4A6E598">
      <w:start w:val="1"/>
      <w:numFmt w:val="bullet"/>
      <w:lvlText w:val="o"/>
      <w:lvlJc w:val="left"/>
      <w:pPr>
        <w:ind w:left="5760" w:hanging="360"/>
      </w:pPr>
      <w:rPr>
        <w:rFonts w:ascii="Courier New" w:hAnsi="Courier New" w:hint="default"/>
      </w:rPr>
    </w:lvl>
    <w:lvl w:ilvl="8" w:tplc="7804A4DE">
      <w:start w:val="1"/>
      <w:numFmt w:val="bullet"/>
      <w:lvlText w:val=""/>
      <w:lvlJc w:val="left"/>
      <w:pPr>
        <w:ind w:left="6480" w:hanging="360"/>
      </w:pPr>
      <w:rPr>
        <w:rFonts w:ascii="Wingdings" w:hAnsi="Wingdings" w:hint="default"/>
      </w:rPr>
    </w:lvl>
  </w:abstractNum>
  <w:abstractNum w:abstractNumId="14" w15:restartNumberingAfterBreak="0">
    <w:nsid w:val="19D410DB"/>
    <w:multiLevelType w:val="hybridMultilevel"/>
    <w:tmpl w:val="7F30CB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C80257C"/>
    <w:multiLevelType w:val="hybridMultilevel"/>
    <w:tmpl w:val="379A82BE"/>
    <w:lvl w:ilvl="0" w:tplc="38D6D086">
      <w:start w:val="1"/>
      <w:numFmt w:val="bullet"/>
      <w:lvlText w:val=""/>
      <w:lvlJc w:val="left"/>
      <w:pPr>
        <w:ind w:left="720" w:hanging="360"/>
      </w:pPr>
      <w:rPr>
        <w:rFonts w:ascii="Wingdings,Sans-Serif" w:hAnsi="Wingdings,Sans-Serif" w:hint="default"/>
      </w:rPr>
    </w:lvl>
    <w:lvl w:ilvl="1" w:tplc="65D4D6EC">
      <w:start w:val="1"/>
      <w:numFmt w:val="bullet"/>
      <w:lvlText w:val="o"/>
      <w:lvlJc w:val="left"/>
      <w:pPr>
        <w:ind w:left="1440" w:hanging="360"/>
      </w:pPr>
      <w:rPr>
        <w:rFonts w:ascii="Courier New" w:hAnsi="Courier New" w:hint="default"/>
      </w:rPr>
    </w:lvl>
    <w:lvl w:ilvl="2" w:tplc="D8DE5A12">
      <w:start w:val="1"/>
      <w:numFmt w:val="bullet"/>
      <w:lvlText w:val=""/>
      <w:lvlJc w:val="left"/>
      <w:pPr>
        <w:ind w:left="2160" w:hanging="360"/>
      </w:pPr>
      <w:rPr>
        <w:rFonts w:ascii="Wingdings" w:hAnsi="Wingdings" w:hint="default"/>
      </w:rPr>
    </w:lvl>
    <w:lvl w:ilvl="3" w:tplc="FF388EF4">
      <w:start w:val="1"/>
      <w:numFmt w:val="bullet"/>
      <w:lvlText w:val=""/>
      <w:lvlJc w:val="left"/>
      <w:pPr>
        <w:ind w:left="2880" w:hanging="360"/>
      </w:pPr>
      <w:rPr>
        <w:rFonts w:ascii="Symbol" w:hAnsi="Symbol" w:hint="default"/>
      </w:rPr>
    </w:lvl>
    <w:lvl w:ilvl="4" w:tplc="9B4E83D4">
      <w:start w:val="1"/>
      <w:numFmt w:val="bullet"/>
      <w:lvlText w:val="o"/>
      <w:lvlJc w:val="left"/>
      <w:pPr>
        <w:ind w:left="3600" w:hanging="360"/>
      </w:pPr>
      <w:rPr>
        <w:rFonts w:ascii="Courier New" w:hAnsi="Courier New" w:hint="default"/>
      </w:rPr>
    </w:lvl>
    <w:lvl w:ilvl="5" w:tplc="E4E020E4">
      <w:start w:val="1"/>
      <w:numFmt w:val="bullet"/>
      <w:lvlText w:val=""/>
      <w:lvlJc w:val="left"/>
      <w:pPr>
        <w:ind w:left="4320" w:hanging="360"/>
      </w:pPr>
      <w:rPr>
        <w:rFonts w:ascii="Wingdings" w:hAnsi="Wingdings" w:hint="default"/>
      </w:rPr>
    </w:lvl>
    <w:lvl w:ilvl="6" w:tplc="4574D922">
      <w:start w:val="1"/>
      <w:numFmt w:val="bullet"/>
      <w:lvlText w:val=""/>
      <w:lvlJc w:val="left"/>
      <w:pPr>
        <w:ind w:left="5040" w:hanging="360"/>
      </w:pPr>
      <w:rPr>
        <w:rFonts w:ascii="Symbol" w:hAnsi="Symbol" w:hint="default"/>
      </w:rPr>
    </w:lvl>
    <w:lvl w:ilvl="7" w:tplc="8986636E">
      <w:start w:val="1"/>
      <w:numFmt w:val="bullet"/>
      <w:lvlText w:val="o"/>
      <w:lvlJc w:val="left"/>
      <w:pPr>
        <w:ind w:left="5760" w:hanging="360"/>
      </w:pPr>
      <w:rPr>
        <w:rFonts w:ascii="Courier New" w:hAnsi="Courier New" w:hint="default"/>
      </w:rPr>
    </w:lvl>
    <w:lvl w:ilvl="8" w:tplc="EA76664C">
      <w:start w:val="1"/>
      <w:numFmt w:val="bullet"/>
      <w:lvlText w:val=""/>
      <w:lvlJc w:val="left"/>
      <w:pPr>
        <w:ind w:left="6480" w:hanging="360"/>
      </w:pPr>
      <w:rPr>
        <w:rFonts w:ascii="Wingdings" w:hAnsi="Wingdings" w:hint="default"/>
      </w:rPr>
    </w:lvl>
  </w:abstractNum>
  <w:abstractNum w:abstractNumId="16" w15:restartNumberingAfterBreak="0">
    <w:nsid w:val="1D188094"/>
    <w:multiLevelType w:val="hybridMultilevel"/>
    <w:tmpl w:val="7EF4D1F2"/>
    <w:lvl w:ilvl="0" w:tplc="B5447372">
      <w:start w:val="1"/>
      <w:numFmt w:val="bullet"/>
      <w:lvlText w:val=""/>
      <w:lvlJc w:val="left"/>
      <w:pPr>
        <w:ind w:left="720" w:hanging="360"/>
      </w:pPr>
      <w:rPr>
        <w:rFonts w:ascii="Wingdings,Sans-Serif" w:hAnsi="Wingdings,Sans-Serif" w:hint="default"/>
      </w:rPr>
    </w:lvl>
    <w:lvl w:ilvl="1" w:tplc="5CB616CC">
      <w:start w:val="1"/>
      <w:numFmt w:val="bullet"/>
      <w:lvlText w:val="o"/>
      <w:lvlJc w:val="left"/>
      <w:pPr>
        <w:ind w:left="1440" w:hanging="360"/>
      </w:pPr>
      <w:rPr>
        <w:rFonts w:ascii="Courier New" w:hAnsi="Courier New" w:hint="default"/>
      </w:rPr>
    </w:lvl>
    <w:lvl w:ilvl="2" w:tplc="D2ACB5B2">
      <w:start w:val="1"/>
      <w:numFmt w:val="bullet"/>
      <w:lvlText w:val=""/>
      <w:lvlJc w:val="left"/>
      <w:pPr>
        <w:ind w:left="2160" w:hanging="360"/>
      </w:pPr>
      <w:rPr>
        <w:rFonts w:ascii="Wingdings" w:hAnsi="Wingdings" w:hint="default"/>
      </w:rPr>
    </w:lvl>
    <w:lvl w:ilvl="3" w:tplc="05A4C54E">
      <w:start w:val="1"/>
      <w:numFmt w:val="bullet"/>
      <w:lvlText w:val=""/>
      <w:lvlJc w:val="left"/>
      <w:pPr>
        <w:ind w:left="2880" w:hanging="360"/>
      </w:pPr>
      <w:rPr>
        <w:rFonts w:ascii="Symbol" w:hAnsi="Symbol" w:hint="default"/>
      </w:rPr>
    </w:lvl>
    <w:lvl w:ilvl="4" w:tplc="D8107FFC">
      <w:start w:val="1"/>
      <w:numFmt w:val="bullet"/>
      <w:lvlText w:val="o"/>
      <w:lvlJc w:val="left"/>
      <w:pPr>
        <w:ind w:left="3600" w:hanging="360"/>
      </w:pPr>
      <w:rPr>
        <w:rFonts w:ascii="Courier New" w:hAnsi="Courier New" w:hint="default"/>
      </w:rPr>
    </w:lvl>
    <w:lvl w:ilvl="5" w:tplc="58FC398E">
      <w:start w:val="1"/>
      <w:numFmt w:val="bullet"/>
      <w:lvlText w:val=""/>
      <w:lvlJc w:val="left"/>
      <w:pPr>
        <w:ind w:left="4320" w:hanging="360"/>
      </w:pPr>
      <w:rPr>
        <w:rFonts w:ascii="Wingdings" w:hAnsi="Wingdings" w:hint="default"/>
      </w:rPr>
    </w:lvl>
    <w:lvl w:ilvl="6" w:tplc="6348240C">
      <w:start w:val="1"/>
      <w:numFmt w:val="bullet"/>
      <w:lvlText w:val=""/>
      <w:lvlJc w:val="left"/>
      <w:pPr>
        <w:ind w:left="5040" w:hanging="360"/>
      </w:pPr>
      <w:rPr>
        <w:rFonts w:ascii="Symbol" w:hAnsi="Symbol" w:hint="default"/>
      </w:rPr>
    </w:lvl>
    <w:lvl w:ilvl="7" w:tplc="2312F1F4">
      <w:start w:val="1"/>
      <w:numFmt w:val="bullet"/>
      <w:lvlText w:val="o"/>
      <w:lvlJc w:val="left"/>
      <w:pPr>
        <w:ind w:left="5760" w:hanging="360"/>
      </w:pPr>
      <w:rPr>
        <w:rFonts w:ascii="Courier New" w:hAnsi="Courier New" w:hint="default"/>
      </w:rPr>
    </w:lvl>
    <w:lvl w:ilvl="8" w:tplc="A0D0EE66">
      <w:start w:val="1"/>
      <w:numFmt w:val="bullet"/>
      <w:lvlText w:val=""/>
      <w:lvlJc w:val="left"/>
      <w:pPr>
        <w:ind w:left="6480" w:hanging="360"/>
      </w:pPr>
      <w:rPr>
        <w:rFonts w:ascii="Wingdings" w:hAnsi="Wingdings" w:hint="default"/>
      </w:rPr>
    </w:lvl>
  </w:abstractNum>
  <w:abstractNum w:abstractNumId="17" w15:restartNumberingAfterBreak="0">
    <w:nsid w:val="1D6AB62F"/>
    <w:multiLevelType w:val="hybridMultilevel"/>
    <w:tmpl w:val="C21429D6"/>
    <w:lvl w:ilvl="0" w:tplc="7FF69976">
      <w:start w:val="1"/>
      <w:numFmt w:val="bullet"/>
      <w:lvlText w:val=""/>
      <w:lvlJc w:val="left"/>
      <w:pPr>
        <w:ind w:left="720" w:hanging="360"/>
      </w:pPr>
      <w:rPr>
        <w:rFonts w:ascii="Wingdings,Sans-Serif" w:hAnsi="Wingdings,Sans-Serif" w:hint="default"/>
      </w:rPr>
    </w:lvl>
    <w:lvl w:ilvl="1" w:tplc="E51E3B9A">
      <w:start w:val="1"/>
      <w:numFmt w:val="bullet"/>
      <w:lvlText w:val="o"/>
      <w:lvlJc w:val="left"/>
      <w:pPr>
        <w:ind w:left="1440" w:hanging="360"/>
      </w:pPr>
      <w:rPr>
        <w:rFonts w:ascii="Courier New" w:hAnsi="Courier New" w:hint="default"/>
      </w:rPr>
    </w:lvl>
    <w:lvl w:ilvl="2" w:tplc="CF0459E0">
      <w:start w:val="1"/>
      <w:numFmt w:val="bullet"/>
      <w:lvlText w:val=""/>
      <w:lvlJc w:val="left"/>
      <w:pPr>
        <w:ind w:left="2160" w:hanging="360"/>
      </w:pPr>
      <w:rPr>
        <w:rFonts w:ascii="Wingdings" w:hAnsi="Wingdings" w:hint="default"/>
      </w:rPr>
    </w:lvl>
    <w:lvl w:ilvl="3" w:tplc="3B2424E8">
      <w:start w:val="1"/>
      <w:numFmt w:val="bullet"/>
      <w:lvlText w:val=""/>
      <w:lvlJc w:val="left"/>
      <w:pPr>
        <w:ind w:left="2880" w:hanging="360"/>
      </w:pPr>
      <w:rPr>
        <w:rFonts w:ascii="Symbol" w:hAnsi="Symbol" w:hint="default"/>
      </w:rPr>
    </w:lvl>
    <w:lvl w:ilvl="4" w:tplc="3334C3CA">
      <w:start w:val="1"/>
      <w:numFmt w:val="bullet"/>
      <w:lvlText w:val="o"/>
      <w:lvlJc w:val="left"/>
      <w:pPr>
        <w:ind w:left="3600" w:hanging="360"/>
      </w:pPr>
      <w:rPr>
        <w:rFonts w:ascii="Courier New" w:hAnsi="Courier New" w:hint="default"/>
      </w:rPr>
    </w:lvl>
    <w:lvl w:ilvl="5" w:tplc="BE0412FC">
      <w:start w:val="1"/>
      <w:numFmt w:val="bullet"/>
      <w:lvlText w:val=""/>
      <w:lvlJc w:val="left"/>
      <w:pPr>
        <w:ind w:left="4320" w:hanging="360"/>
      </w:pPr>
      <w:rPr>
        <w:rFonts w:ascii="Wingdings" w:hAnsi="Wingdings" w:hint="default"/>
      </w:rPr>
    </w:lvl>
    <w:lvl w:ilvl="6" w:tplc="8DBA9C24">
      <w:start w:val="1"/>
      <w:numFmt w:val="bullet"/>
      <w:lvlText w:val=""/>
      <w:lvlJc w:val="left"/>
      <w:pPr>
        <w:ind w:left="5040" w:hanging="360"/>
      </w:pPr>
      <w:rPr>
        <w:rFonts w:ascii="Symbol" w:hAnsi="Symbol" w:hint="default"/>
      </w:rPr>
    </w:lvl>
    <w:lvl w:ilvl="7" w:tplc="C0DC29F0">
      <w:start w:val="1"/>
      <w:numFmt w:val="bullet"/>
      <w:lvlText w:val="o"/>
      <w:lvlJc w:val="left"/>
      <w:pPr>
        <w:ind w:left="5760" w:hanging="360"/>
      </w:pPr>
      <w:rPr>
        <w:rFonts w:ascii="Courier New" w:hAnsi="Courier New" w:hint="default"/>
      </w:rPr>
    </w:lvl>
    <w:lvl w:ilvl="8" w:tplc="56685A3C">
      <w:start w:val="1"/>
      <w:numFmt w:val="bullet"/>
      <w:lvlText w:val=""/>
      <w:lvlJc w:val="left"/>
      <w:pPr>
        <w:ind w:left="6480" w:hanging="360"/>
      </w:pPr>
      <w:rPr>
        <w:rFonts w:ascii="Wingdings" w:hAnsi="Wingdings" w:hint="default"/>
      </w:rPr>
    </w:lvl>
  </w:abstractNum>
  <w:abstractNum w:abstractNumId="18" w15:restartNumberingAfterBreak="0">
    <w:nsid w:val="1DF02950"/>
    <w:multiLevelType w:val="hybridMultilevel"/>
    <w:tmpl w:val="AD262024"/>
    <w:lvl w:ilvl="0" w:tplc="240A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1E431B29"/>
    <w:multiLevelType w:val="hybridMultilevel"/>
    <w:tmpl w:val="D9727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EAC6DB0"/>
    <w:multiLevelType w:val="hybridMultilevel"/>
    <w:tmpl w:val="FAF0573C"/>
    <w:lvl w:ilvl="0" w:tplc="354AC8F6">
      <w:start w:val="1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0330D2F"/>
    <w:multiLevelType w:val="hybridMultilevel"/>
    <w:tmpl w:val="DBA871AA"/>
    <w:lvl w:ilvl="0" w:tplc="240A0019">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20AC18DE"/>
    <w:multiLevelType w:val="hybridMultilevel"/>
    <w:tmpl w:val="068C9758"/>
    <w:lvl w:ilvl="0" w:tplc="B1D03094">
      <w:start w:val="1"/>
      <w:numFmt w:val="bullet"/>
      <w:lvlText w:val=""/>
      <w:lvlJc w:val="left"/>
      <w:pPr>
        <w:ind w:left="720" w:hanging="360"/>
      </w:pPr>
      <w:rPr>
        <w:rFonts w:ascii="Symbol" w:hAnsi="Symbol" w:hint="default"/>
      </w:rPr>
    </w:lvl>
    <w:lvl w:ilvl="1" w:tplc="E294DA5C">
      <w:start w:val="1"/>
      <w:numFmt w:val="bullet"/>
      <w:lvlText w:val="o"/>
      <w:lvlJc w:val="left"/>
      <w:pPr>
        <w:ind w:left="1440" w:hanging="360"/>
      </w:pPr>
      <w:rPr>
        <w:rFonts w:ascii="Courier New" w:hAnsi="Courier New" w:hint="default"/>
      </w:rPr>
    </w:lvl>
    <w:lvl w:ilvl="2" w:tplc="ACE09278">
      <w:start w:val="1"/>
      <w:numFmt w:val="bullet"/>
      <w:lvlText w:val=""/>
      <w:lvlJc w:val="left"/>
      <w:pPr>
        <w:ind w:left="2160" w:hanging="360"/>
      </w:pPr>
      <w:rPr>
        <w:rFonts w:ascii="Wingdings" w:hAnsi="Wingdings" w:hint="default"/>
      </w:rPr>
    </w:lvl>
    <w:lvl w:ilvl="3" w:tplc="7C9A9854">
      <w:start w:val="1"/>
      <w:numFmt w:val="bullet"/>
      <w:lvlText w:val=""/>
      <w:lvlJc w:val="left"/>
      <w:pPr>
        <w:ind w:left="2880" w:hanging="360"/>
      </w:pPr>
      <w:rPr>
        <w:rFonts w:ascii="Symbol" w:hAnsi="Symbol" w:hint="default"/>
      </w:rPr>
    </w:lvl>
    <w:lvl w:ilvl="4" w:tplc="722442EA">
      <w:start w:val="1"/>
      <w:numFmt w:val="bullet"/>
      <w:lvlText w:val="o"/>
      <w:lvlJc w:val="left"/>
      <w:pPr>
        <w:ind w:left="3600" w:hanging="360"/>
      </w:pPr>
      <w:rPr>
        <w:rFonts w:ascii="Courier New" w:hAnsi="Courier New" w:hint="default"/>
      </w:rPr>
    </w:lvl>
    <w:lvl w:ilvl="5" w:tplc="97168C2C">
      <w:start w:val="1"/>
      <w:numFmt w:val="bullet"/>
      <w:lvlText w:val=""/>
      <w:lvlJc w:val="left"/>
      <w:pPr>
        <w:ind w:left="4320" w:hanging="360"/>
      </w:pPr>
      <w:rPr>
        <w:rFonts w:ascii="Wingdings" w:hAnsi="Wingdings" w:hint="default"/>
      </w:rPr>
    </w:lvl>
    <w:lvl w:ilvl="6" w:tplc="11AC714C">
      <w:start w:val="1"/>
      <w:numFmt w:val="bullet"/>
      <w:lvlText w:val=""/>
      <w:lvlJc w:val="left"/>
      <w:pPr>
        <w:ind w:left="5040" w:hanging="360"/>
      </w:pPr>
      <w:rPr>
        <w:rFonts w:ascii="Symbol" w:hAnsi="Symbol" w:hint="default"/>
      </w:rPr>
    </w:lvl>
    <w:lvl w:ilvl="7" w:tplc="FF228804">
      <w:start w:val="1"/>
      <w:numFmt w:val="bullet"/>
      <w:lvlText w:val="o"/>
      <w:lvlJc w:val="left"/>
      <w:pPr>
        <w:ind w:left="5760" w:hanging="360"/>
      </w:pPr>
      <w:rPr>
        <w:rFonts w:ascii="Courier New" w:hAnsi="Courier New" w:hint="default"/>
      </w:rPr>
    </w:lvl>
    <w:lvl w:ilvl="8" w:tplc="9A32F3EC">
      <w:start w:val="1"/>
      <w:numFmt w:val="bullet"/>
      <w:lvlText w:val=""/>
      <w:lvlJc w:val="left"/>
      <w:pPr>
        <w:ind w:left="6480" w:hanging="360"/>
      </w:pPr>
      <w:rPr>
        <w:rFonts w:ascii="Wingdings" w:hAnsi="Wingdings" w:hint="default"/>
      </w:rPr>
    </w:lvl>
  </w:abstractNum>
  <w:abstractNum w:abstractNumId="23" w15:restartNumberingAfterBreak="0">
    <w:nsid w:val="210610CF"/>
    <w:multiLevelType w:val="hybridMultilevel"/>
    <w:tmpl w:val="24D8BB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3AF2DBE"/>
    <w:multiLevelType w:val="multilevel"/>
    <w:tmpl w:val="33303C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5A1E937"/>
    <w:multiLevelType w:val="hybridMultilevel"/>
    <w:tmpl w:val="52D046F6"/>
    <w:lvl w:ilvl="0" w:tplc="B5CE4D72">
      <w:start w:val="1"/>
      <w:numFmt w:val="decimal"/>
      <w:lvlText w:val="%1."/>
      <w:lvlJc w:val="left"/>
      <w:pPr>
        <w:ind w:left="720" w:hanging="360"/>
      </w:pPr>
    </w:lvl>
    <w:lvl w:ilvl="1" w:tplc="863E81C6">
      <w:start w:val="1"/>
      <w:numFmt w:val="lowerLetter"/>
      <w:lvlText w:val="%2."/>
      <w:lvlJc w:val="left"/>
      <w:pPr>
        <w:ind w:left="1440" w:hanging="360"/>
      </w:pPr>
    </w:lvl>
    <w:lvl w:ilvl="2" w:tplc="11065C7A">
      <w:start w:val="1"/>
      <w:numFmt w:val="lowerRoman"/>
      <w:lvlText w:val="%3."/>
      <w:lvlJc w:val="right"/>
      <w:pPr>
        <w:ind w:left="2160" w:hanging="180"/>
      </w:pPr>
    </w:lvl>
    <w:lvl w:ilvl="3" w:tplc="22D23466">
      <w:start w:val="1"/>
      <w:numFmt w:val="decimal"/>
      <w:lvlText w:val="%4."/>
      <w:lvlJc w:val="left"/>
      <w:pPr>
        <w:ind w:left="2880" w:hanging="360"/>
      </w:pPr>
    </w:lvl>
    <w:lvl w:ilvl="4" w:tplc="7938F5D8">
      <w:start w:val="1"/>
      <w:numFmt w:val="lowerLetter"/>
      <w:lvlText w:val="%5."/>
      <w:lvlJc w:val="left"/>
      <w:pPr>
        <w:ind w:left="3600" w:hanging="360"/>
      </w:pPr>
    </w:lvl>
    <w:lvl w:ilvl="5" w:tplc="069C0D9A">
      <w:start w:val="1"/>
      <w:numFmt w:val="lowerRoman"/>
      <w:lvlText w:val="%6."/>
      <w:lvlJc w:val="right"/>
      <w:pPr>
        <w:ind w:left="4320" w:hanging="180"/>
      </w:pPr>
    </w:lvl>
    <w:lvl w:ilvl="6" w:tplc="36BE847A">
      <w:start w:val="1"/>
      <w:numFmt w:val="decimal"/>
      <w:lvlText w:val="%7."/>
      <w:lvlJc w:val="left"/>
      <w:pPr>
        <w:ind w:left="5040" w:hanging="360"/>
      </w:pPr>
    </w:lvl>
    <w:lvl w:ilvl="7" w:tplc="CC4AB054">
      <w:start w:val="1"/>
      <w:numFmt w:val="lowerLetter"/>
      <w:lvlText w:val="%8."/>
      <w:lvlJc w:val="left"/>
      <w:pPr>
        <w:ind w:left="5760" w:hanging="360"/>
      </w:pPr>
    </w:lvl>
    <w:lvl w:ilvl="8" w:tplc="21F87D50">
      <w:start w:val="1"/>
      <w:numFmt w:val="lowerRoman"/>
      <w:lvlText w:val="%9."/>
      <w:lvlJc w:val="right"/>
      <w:pPr>
        <w:ind w:left="6480" w:hanging="180"/>
      </w:pPr>
    </w:lvl>
  </w:abstractNum>
  <w:abstractNum w:abstractNumId="26" w15:restartNumberingAfterBreak="0">
    <w:nsid w:val="26B261ED"/>
    <w:multiLevelType w:val="hybridMultilevel"/>
    <w:tmpl w:val="1F6A88A8"/>
    <w:lvl w:ilvl="0" w:tplc="2B8A9E7A">
      <w:start w:val="1"/>
      <w:numFmt w:val="bullet"/>
      <w:lvlText w:val=""/>
      <w:lvlJc w:val="left"/>
      <w:pPr>
        <w:ind w:left="720" w:hanging="360"/>
      </w:pPr>
      <w:rPr>
        <w:rFonts w:ascii="Wingdings,Sans-Serif" w:hAnsi="Wingdings,Sans-Serif" w:hint="default"/>
      </w:rPr>
    </w:lvl>
    <w:lvl w:ilvl="1" w:tplc="2514C230">
      <w:start w:val="1"/>
      <w:numFmt w:val="bullet"/>
      <w:lvlText w:val="o"/>
      <w:lvlJc w:val="left"/>
      <w:pPr>
        <w:ind w:left="1440" w:hanging="360"/>
      </w:pPr>
      <w:rPr>
        <w:rFonts w:ascii="Courier New" w:hAnsi="Courier New" w:hint="default"/>
      </w:rPr>
    </w:lvl>
    <w:lvl w:ilvl="2" w:tplc="3026AA62">
      <w:start w:val="1"/>
      <w:numFmt w:val="bullet"/>
      <w:lvlText w:val=""/>
      <w:lvlJc w:val="left"/>
      <w:pPr>
        <w:ind w:left="2160" w:hanging="360"/>
      </w:pPr>
      <w:rPr>
        <w:rFonts w:ascii="Wingdings" w:hAnsi="Wingdings" w:hint="default"/>
      </w:rPr>
    </w:lvl>
    <w:lvl w:ilvl="3" w:tplc="EE188D74">
      <w:start w:val="1"/>
      <w:numFmt w:val="bullet"/>
      <w:lvlText w:val=""/>
      <w:lvlJc w:val="left"/>
      <w:pPr>
        <w:ind w:left="2880" w:hanging="360"/>
      </w:pPr>
      <w:rPr>
        <w:rFonts w:ascii="Symbol" w:hAnsi="Symbol" w:hint="default"/>
      </w:rPr>
    </w:lvl>
    <w:lvl w:ilvl="4" w:tplc="020AB79C">
      <w:start w:val="1"/>
      <w:numFmt w:val="bullet"/>
      <w:lvlText w:val="o"/>
      <w:lvlJc w:val="left"/>
      <w:pPr>
        <w:ind w:left="3600" w:hanging="360"/>
      </w:pPr>
      <w:rPr>
        <w:rFonts w:ascii="Courier New" w:hAnsi="Courier New" w:hint="default"/>
      </w:rPr>
    </w:lvl>
    <w:lvl w:ilvl="5" w:tplc="590EEF2A">
      <w:start w:val="1"/>
      <w:numFmt w:val="bullet"/>
      <w:lvlText w:val=""/>
      <w:lvlJc w:val="left"/>
      <w:pPr>
        <w:ind w:left="4320" w:hanging="360"/>
      </w:pPr>
      <w:rPr>
        <w:rFonts w:ascii="Wingdings" w:hAnsi="Wingdings" w:hint="default"/>
      </w:rPr>
    </w:lvl>
    <w:lvl w:ilvl="6" w:tplc="B3762CE6">
      <w:start w:val="1"/>
      <w:numFmt w:val="bullet"/>
      <w:lvlText w:val=""/>
      <w:lvlJc w:val="left"/>
      <w:pPr>
        <w:ind w:left="5040" w:hanging="360"/>
      </w:pPr>
      <w:rPr>
        <w:rFonts w:ascii="Symbol" w:hAnsi="Symbol" w:hint="default"/>
      </w:rPr>
    </w:lvl>
    <w:lvl w:ilvl="7" w:tplc="F54E6716">
      <w:start w:val="1"/>
      <w:numFmt w:val="bullet"/>
      <w:lvlText w:val="o"/>
      <w:lvlJc w:val="left"/>
      <w:pPr>
        <w:ind w:left="5760" w:hanging="360"/>
      </w:pPr>
      <w:rPr>
        <w:rFonts w:ascii="Courier New" w:hAnsi="Courier New" w:hint="default"/>
      </w:rPr>
    </w:lvl>
    <w:lvl w:ilvl="8" w:tplc="3DEC0A1E">
      <w:start w:val="1"/>
      <w:numFmt w:val="bullet"/>
      <w:lvlText w:val=""/>
      <w:lvlJc w:val="left"/>
      <w:pPr>
        <w:ind w:left="6480" w:hanging="360"/>
      </w:pPr>
      <w:rPr>
        <w:rFonts w:ascii="Wingdings" w:hAnsi="Wingdings" w:hint="default"/>
      </w:rPr>
    </w:lvl>
  </w:abstractNum>
  <w:abstractNum w:abstractNumId="27" w15:restartNumberingAfterBreak="0">
    <w:nsid w:val="26D97C11"/>
    <w:multiLevelType w:val="multilevel"/>
    <w:tmpl w:val="A4365CEA"/>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9D8DA34"/>
    <w:multiLevelType w:val="hybridMultilevel"/>
    <w:tmpl w:val="785AB3DE"/>
    <w:lvl w:ilvl="0" w:tplc="DE3063A4">
      <w:start w:val="1"/>
      <w:numFmt w:val="bullet"/>
      <w:lvlText w:val=""/>
      <w:lvlJc w:val="left"/>
      <w:pPr>
        <w:ind w:left="720" w:hanging="360"/>
      </w:pPr>
      <w:rPr>
        <w:rFonts w:ascii="Symbol" w:hAnsi="Symbol" w:hint="default"/>
      </w:rPr>
    </w:lvl>
    <w:lvl w:ilvl="1" w:tplc="FFEA49B6">
      <w:start w:val="1"/>
      <w:numFmt w:val="bullet"/>
      <w:lvlText w:val="o"/>
      <w:lvlJc w:val="left"/>
      <w:pPr>
        <w:ind w:left="1440" w:hanging="360"/>
      </w:pPr>
      <w:rPr>
        <w:rFonts w:ascii="Courier New" w:hAnsi="Courier New" w:hint="default"/>
      </w:rPr>
    </w:lvl>
    <w:lvl w:ilvl="2" w:tplc="4E6634D0">
      <w:start w:val="1"/>
      <w:numFmt w:val="bullet"/>
      <w:lvlText w:val=""/>
      <w:lvlJc w:val="left"/>
      <w:pPr>
        <w:ind w:left="2160" w:hanging="360"/>
      </w:pPr>
      <w:rPr>
        <w:rFonts w:ascii="Wingdings" w:hAnsi="Wingdings" w:hint="default"/>
      </w:rPr>
    </w:lvl>
    <w:lvl w:ilvl="3" w:tplc="871E1A6E">
      <w:start w:val="1"/>
      <w:numFmt w:val="bullet"/>
      <w:lvlText w:val=""/>
      <w:lvlJc w:val="left"/>
      <w:pPr>
        <w:ind w:left="2880" w:hanging="360"/>
      </w:pPr>
      <w:rPr>
        <w:rFonts w:ascii="Symbol" w:hAnsi="Symbol" w:hint="default"/>
      </w:rPr>
    </w:lvl>
    <w:lvl w:ilvl="4" w:tplc="45CE3F7C">
      <w:start w:val="1"/>
      <w:numFmt w:val="bullet"/>
      <w:lvlText w:val="o"/>
      <w:lvlJc w:val="left"/>
      <w:pPr>
        <w:ind w:left="3600" w:hanging="360"/>
      </w:pPr>
      <w:rPr>
        <w:rFonts w:ascii="Courier New" w:hAnsi="Courier New" w:hint="default"/>
      </w:rPr>
    </w:lvl>
    <w:lvl w:ilvl="5" w:tplc="D1C4F026">
      <w:start w:val="1"/>
      <w:numFmt w:val="bullet"/>
      <w:lvlText w:val=""/>
      <w:lvlJc w:val="left"/>
      <w:pPr>
        <w:ind w:left="4320" w:hanging="360"/>
      </w:pPr>
      <w:rPr>
        <w:rFonts w:ascii="Wingdings" w:hAnsi="Wingdings" w:hint="default"/>
      </w:rPr>
    </w:lvl>
    <w:lvl w:ilvl="6" w:tplc="6AB29532">
      <w:start w:val="1"/>
      <w:numFmt w:val="bullet"/>
      <w:lvlText w:val=""/>
      <w:lvlJc w:val="left"/>
      <w:pPr>
        <w:ind w:left="5040" w:hanging="360"/>
      </w:pPr>
      <w:rPr>
        <w:rFonts w:ascii="Symbol" w:hAnsi="Symbol" w:hint="default"/>
      </w:rPr>
    </w:lvl>
    <w:lvl w:ilvl="7" w:tplc="073CC240">
      <w:start w:val="1"/>
      <w:numFmt w:val="bullet"/>
      <w:lvlText w:val="o"/>
      <w:lvlJc w:val="left"/>
      <w:pPr>
        <w:ind w:left="5760" w:hanging="360"/>
      </w:pPr>
      <w:rPr>
        <w:rFonts w:ascii="Courier New" w:hAnsi="Courier New" w:hint="default"/>
      </w:rPr>
    </w:lvl>
    <w:lvl w:ilvl="8" w:tplc="C97C1B98">
      <w:start w:val="1"/>
      <w:numFmt w:val="bullet"/>
      <w:lvlText w:val=""/>
      <w:lvlJc w:val="left"/>
      <w:pPr>
        <w:ind w:left="6480" w:hanging="360"/>
      </w:pPr>
      <w:rPr>
        <w:rFonts w:ascii="Wingdings" w:hAnsi="Wingdings" w:hint="default"/>
      </w:rPr>
    </w:lvl>
  </w:abstractNum>
  <w:abstractNum w:abstractNumId="29" w15:restartNumberingAfterBreak="0">
    <w:nsid w:val="2A8FE535"/>
    <w:multiLevelType w:val="hybridMultilevel"/>
    <w:tmpl w:val="F758B09E"/>
    <w:lvl w:ilvl="0" w:tplc="35C4F9F2">
      <w:start w:val="1"/>
      <w:numFmt w:val="bullet"/>
      <w:lvlText w:val=""/>
      <w:lvlJc w:val="left"/>
      <w:pPr>
        <w:ind w:left="720" w:hanging="360"/>
      </w:pPr>
      <w:rPr>
        <w:rFonts w:ascii="Wingdings,Sans-Serif" w:hAnsi="Wingdings,Sans-Serif" w:hint="default"/>
      </w:rPr>
    </w:lvl>
    <w:lvl w:ilvl="1" w:tplc="4E4AF7AA">
      <w:start w:val="1"/>
      <w:numFmt w:val="bullet"/>
      <w:lvlText w:val="o"/>
      <w:lvlJc w:val="left"/>
      <w:pPr>
        <w:ind w:left="1440" w:hanging="360"/>
      </w:pPr>
      <w:rPr>
        <w:rFonts w:ascii="Courier New" w:hAnsi="Courier New" w:hint="default"/>
      </w:rPr>
    </w:lvl>
    <w:lvl w:ilvl="2" w:tplc="0018F0C2">
      <w:start w:val="1"/>
      <w:numFmt w:val="bullet"/>
      <w:lvlText w:val=""/>
      <w:lvlJc w:val="left"/>
      <w:pPr>
        <w:ind w:left="2160" w:hanging="360"/>
      </w:pPr>
      <w:rPr>
        <w:rFonts w:ascii="Wingdings" w:hAnsi="Wingdings" w:hint="default"/>
      </w:rPr>
    </w:lvl>
    <w:lvl w:ilvl="3" w:tplc="FFBA4682">
      <w:start w:val="1"/>
      <w:numFmt w:val="bullet"/>
      <w:lvlText w:val=""/>
      <w:lvlJc w:val="left"/>
      <w:pPr>
        <w:ind w:left="2880" w:hanging="360"/>
      </w:pPr>
      <w:rPr>
        <w:rFonts w:ascii="Symbol" w:hAnsi="Symbol" w:hint="default"/>
      </w:rPr>
    </w:lvl>
    <w:lvl w:ilvl="4" w:tplc="74543DCC">
      <w:start w:val="1"/>
      <w:numFmt w:val="bullet"/>
      <w:lvlText w:val="o"/>
      <w:lvlJc w:val="left"/>
      <w:pPr>
        <w:ind w:left="3600" w:hanging="360"/>
      </w:pPr>
      <w:rPr>
        <w:rFonts w:ascii="Courier New" w:hAnsi="Courier New" w:hint="default"/>
      </w:rPr>
    </w:lvl>
    <w:lvl w:ilvl="5" w:tplc="080AE034">
      <w:start w:val="1"/>
      <w:numFmt w:val="bullet"/>
      <w:lvlText w:val=""/>
      <w:lvlJc w:val="left"/>
      <w:pPr>
        <w:ind w:left="4320" w:hanging="360"/>
      </w:pPr>
      <w:rPr>
        <w:rFonts w:ascii="Wingdings" w:hAnsi="Wingdings" w:hint="default"/>
      </w:rPr>
    </w:lvl>
    <w:lvl w:ilvl="6" w:tplc="E7F2D302">
      <w:start w:val="1"/>
      <w:numFmt w:val="bullet"/>
      <w:lvlText w:val=""/>
      <w:lvlJc w:val="left"/>
      <w:pPr>
        <w:ind w:left="5040" w:hanging="360"/>
      </w:pPr>
      <w:rPr>
        <w:rFonts w:ascii="Symbol" w:hAnsi="Symbol" w:hint="default"/>
      </w:rPr>
    </w:lvl>
    <w:lvl w:ilvl="7" w:tplc="7A0C8F90">
      <w:start w:val="1"/>
      <w:numFmt w:val="bullet"/>
      <w:lvlText w:val="o"/>
      <w:lvlJc w:val="left"/>
      <w:pPr>
        <w:ind w:left="5760" w:hanging="360"/>
      </w:pPr>
      <w:rPr>
        <w:rFonts w:ascii="Courier New" w:hAnsi="Courier New" w:hint="default"/>
      </w:rPr>
    </w:lvl>
    <w:lvl w:ilvl="8" w:tplc="3184DC0A">
      <w:start w:val="1"/>
      <w:numFmt w:val="bullet"/>
      <w:lvlText w:val=""/>
      <w:lvlJc w:val="left"/>
      <w:pPr>
        <w:ind w:left="6480" w:hanging="360"/>
      </w:pPr>
      <w:rPr>
        <w:rFonts w:ascii="Wingdings" w:hAnsi="Wingdings" w:hint="default"/>
      </w:rPr>
    </w:lvl>
  </w:abstractNum>
  <w:abstractNum w:abstractNumId="30" w15:restartNumberingAfterBreak="0">
    <w:nsid w:val="2B1A049C"/>
    <w:multiLevelType w:val="hybridMultilevel"/>
    <w:tmpl w:val="6EF41B6C"/>
    <w:lvl w:ilvl="0" w:tplc="77BA77C4">
      <w:start w:val="1"/>
      <w:numFmt w:val="bullet"/>
      <w:lvlText w:val=""/>
      <w:lvlJc w:val="left"/>
      <w:pPr>
        <w:ind w:left="720" w:hanging="360"/>
      </w:pPr>
      <w:rPr>
        <w:rFonts w:ascii="Symbol" w:hAnsi="Symbol" w:hint="default"/>
      </w:rPr>
    </w:lvl>
    <w:lvl w:ilvl="1" w:tplc="03ECB04A">
      <w:start w:val="1"/>
      <w:numFmt w:val="bullet"/>
      <w:lvlText w:val="o"/>
      <w:lvlJc w:val="left"/>
      <w:pPr>
        <w:ind w:left="1440" w:hanging="360"/>
      </w:pPr>
      <w:rPr>
        <w:rFonts w:ascii="Courier New" w:hAnsi="Courier New" w:hint="default"/>
      </w:rPr>
    </w:lvl>
    <w:lvl w:ilvl="2" w:tplc="86F04ADE">
      <w:start w:val="1"/>
      <w:numFmt w:val="bullet"/>
      <w:lvlText w:val=""/>
      <w:lvlJc w:val="left"/>
      <w:pPr>
        <w:ind w:left="2160" w:hanging="360"/>
      </w:pPr>
      <w:rPr>
        <w:rFonts w:ascii="Wingdings" w:hAnsi="Wingdings" w:hint="default"/>
      </w:rPr>
    </w:lvl>
    <w:lvl w:ilvl="3" w:tplc="99D052A6">
      <w:start w:val="1"/>
      <w:numFmt w:val="bullet"/>
      <w:lvlText w:val=""/>
      <w:lvlJc w:val="left"/>
      <w:pPr>
        <w:ind w:left="2880" w:hanging="360"/>
      </w:pPr>
      <w:rPr>
        <w:rFonts w:ascii="Symbol" w:hAnsi="Symbol" w:hint="default"/>
      </w:rPr>
    </w:lvl>
    <w:lvl w:ilvl="4" w:tplc="268ADBC2">
      <w:start w:val="1"/>
      <w:numFmt w:val="bullet"/>
      <w:lvlText w:val="o"/>
      <w:lvlJc w:val="left"/>
      <w:pPr>
        <w:ind w:left="3600" w:hanging="360"/>
      </w:pPr>
      <w:rPr>
        <w:rFonts w:ascii="Courier New" w:hAnsi="Courier New" w:hint="default"/>
      </w:rPr>
    </w:lvl>
    <w:lvl w:ilvl="5" w:tplc="1E10A748">
      <w:start w:val="1"/>
      <w:numFmt w:val="bullet"/>
      <w:lvlText w:val=""/>
      <w:lvlJc w:val="left"/>
      <w:pPr>
        <w:ind w:left="4320" w:hanging="360"/>
      </w:pPr>
      <w:rPr>
        <w:rFonts w:ascii="Wingdings" w:hAnsi="Wingdings" w:hint="default"/>
      </w:rPr>
    </w:lvl>
    <w:lvl w:ilvl="6" w:tplc="FF1674FC">
      <w:start w:val="1"/>
      <w:numFmt w:val="bullet"/>
      <w:lvlText w:val=""/>
      <w:lvlJc w:val="left"/>
      <w:pPr>
        <w:ind w:left="5040" w:hanging="360"/>
      </w:pPr>
      <w:rPr>
        <w:rFonts w:ascii="Symbol" w:hAnsi="Symbol" w:hint="default"/>
      </w:rPr>
    </w:lvl>
    <w:lvl w:ilvl="7" w:tplc="7E60A4B6">
      <w:start w:val="1"/>
      <w:numFmt w:val="bullet"/>
      <w:lvlText w:val="o"/>
      <w:lvlJc w:val="left"/>
      <w:pPr>
        <w:ind w:left="5760" w:hanging="360"/>
      </w:pPr>
      <w:rPr>
        <w:rFonts w:ascii="Courier New" w:hAnsi="Courier New" w:hint="default"/>
      </w:rPr>
    </w:lvl>
    <w:lvl w:ilvl="8" w:tplc="82FCA0BA">
      <w:start w:val="1"/>
      <w:numFmt w:val="bullet"/>
      <w:lvlText w:val=""/>
      <w:lvlJc w:val="left"/>
      <w:pPr>
        <w:ind w:left="6480" w:hanging="360"/>
      </w:pPr>
      <w:rPr>
        <w:rFonts w:ascii="Wingdings" w:hAnsi="Wingdings" w:hint="default"/>
      </w:rPr>
    </w:lvl>
  </w:abstractNum>
  <w:abstractNum w:abstractNumId="31" w15:restartNumberingAfterBreak="0">
    <w:nsid w:val="2B88390B"/>
    <w:multiLevelType w:val="hybridMultilevel"/>
    <w:tmpl w:val="414EB3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2B8C492C"/>
    <w:multiLevelType w:val="multilevel"/>
    <w:tmpl w:val="CC38FD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CB016FA"/>
    <w:multiLevelType w:val="hybridMultilevel"/>
    <w:tmpl w:val="FFFFFFFF"/>
    <w:lvl w:ilvl="0" w:tplc="71EAAD3A">
      <w:start w:val="1"/>
      <w:numFmt w:val="bullet"/>
      <w:lvlText w:val=""/>
      <w:lvlJc w:val="left"/>
      <w:pPr>
        <w:ind w:left="720" w:hanging="360"/>
      </w:pPr>
      <w:rPr>
        <w:rFonts w:ascii="Symbol" w:hAnsi="Symbol" w:hint="default"/>
      </w:rPr>
    </w:lvl>
    <w:lvl w:ilvl="1" w:tplc="FCF62140">
      <w:start w:val="1"/>
      <w:numFmt w:val="bullet"/>
      <w:lvlText w:val="o"/>
      <w:lvlJc w:val="left"/>
      <w:pPr>
        <w:ind w:left="1440" w:hanging="360"/>
      </w:pPr>
      <w:rPr>
        <w:rFonts w:ascii="Courier New" w:hAnsi="Courier New" w:hint="default"/>
      </w:rPr>
    </w:lvl>
    <w:lvl w:ilvl="2" w:tplc="01E05E68">
      <w:start w:val="1"/>
      <w:numFmt w:val="bullet"/>
      <w:lvlText w:val=""/>
      <w:lvlJc w:val="left"/>
      <w:pPr>
        <w:ind w:left="2160" w:hanging="360"/>
      </w:pPr>
      <w:rPr>
        <w:rFonts w:ascii="Wingdings" w:hAnsi="Wingdings" w:hint="default"/>
      </w:rPr>
    </w:lvl>
    <w:lvl w:ilvl="3" w:tplc="4AF280C4">
      <w:start w:val="1"/>
      <w:numFmt w:val="bullet"/>
      <w:lvlText w:val=""/>
      <w:lvlJc w:val="left"/>
      <w:pPr>
        <w:ind w:left="2880" w:hanging="360"/>
      </w:pPr>
      <w:rPr>
        <w:rFonts w:ascii="Symbol" w:hAnsi="Symbol" w:hint="default"/>
      </w:rPr>
    </w:lvl>
    <w:lvl w:ilvl="4" w:tplc="4DA631FE">
      <w:start w:val="1"/>
      <w:numFmt w:val="bullet"/>
      <w:lvlText w:val="o"/>
      <w:lvlJc w:val="left"/>
      <w:pPr>
        <w:ind w:left="3600" w:hanging="360"/>
      </w:pPr>
      <w:rPr>
        <w:rFonts w:ascii="Courier New" w:hAnsi="Courier New" w:hint="default"/>
      </w:rPr>
    </w:lvl>
    <w:lvl w:ilvl="5" w:tplc="619040C6">
      <w:start w:val="1"/>
      <w:numFmt w:val="bullet"/>
      <w:lvlText w:val=""/>
      <w:lvlJc w:val="left"/>
      <w:pPr>
        <w:ind w:left="4320" w:hanging="360"/>
      </w:pPr>
      <w:rPr>
        <w:rFonts w:ascii="Wingdings" w:hAnsi="Wingdings" w:hint="default"/>
      </w:rPr>
    </w:lvl>
    <w:lvl w:ilvl="6" w:tplc="4D18156A">
      <w:start w:val="1"/>
      <w:numFmt w:val="bullet"/>
      <w:lvlText w:val=""/>
      <w:lvlJc w:val="left"/>
      <w:pPr>
        <w:ind w:left="5040" w:hanging="360"/>
      </w:pPr>
      <w:rPr>
        <w:rFonts w:ascii="Symbol" w:hAnsi="Symbol" w:hint="default"/>
      </w:rPr>
    </w:lvl>
    <w:lvl w:ilvl="7" w:tplc="010A4FC2">
      <w:start w:val="1"/>
      <w:numFmt w:val="bullet"/>
      <w:lvlText w:val="o"/>
      <w:lvlJc w:val="left"/>
      <w:pPr>
        <w:ind w:left="5760" w:hanging="360"/>
      </w:pPr>
      <w:rPr>
        <w:rFonts w:ascii="Courier New" w:hAnsi="Courier New" w:hint="default"/>
      </w:rPr>
    </w:lvl>
    <w:lvl w:ilvl="8" w:tplc="459A73D8">
      <w:start w:val="1"/>
      <w:numFmt w:val="bullet"/>
      <w:lvlText w:val=""/>
      <w:lvlJc w:val="left"/>
      <w:pPr>
        <w:ind w:left="6480" w:hanging="360"/>
      </w:pPr>
      <w:rPr>
        <w:rFonts w:ascii="Wingdings" w:hAnsi="Wingdings" w:hint="default"/>
      </w:rPr>
    </w:lvl>
  </w:abstractNum>
  <w:abstractNum w:abstractNumId="34" w15:restartNumberingAfterBreak="0">
    <w:nsid w:val="2E257349"/>
    <w:multiLevelType w:val="hybridMultilevel"/>
    <w:tmpl w:val="EBDA9C64"/>
    <w:lvl w:ilvl="0" w:tplc="3E56B62C">
      <w:start w:val="1"/>
      <w:numFmt w:val="bullet"/>
      <w:lvlText w:val=""/>
      <w:lvlJc w:val="left"/>
      <w:pPr>
        <w:ind w:left="720" w:hanging="360"/>
      </w:pPr>
      <w:rPr>
        <w:rFonts w:ascii="Wingdings,Sans-Serif" w:hAnsi="Wingdings,Sans-Serif" w:hint="default"/>
      </w:rPr>
    </w:lvl>
    <w:lvl w:ilvl="1" w:tplc="27FC4D76">
      <w:start w:val="1"/>
      <w:numFmt w:val="bullet"/>
      <w:lvlText w:val="o"/>
      <w:lvlJc w:val="left"/>
      <w:pPr>
        <w:ind w:left="1440" w:hanging="360"/>
      </w:pPr>
      <w:rPr>
        <w:rFonts w:ascii="Courier New" w:hAnsi="Courier New" w:hint="default"/>
      </w:rPr>
    </w:lvl>
    <w:lvl w:ilvl="2" w:tplc="3CFE259C">
      <w:start w:val="1"/>
      <w:numFmt w:val="bullet"/>
      <w:lvlText w:val=""/>
      <w:lvlJc w:val="left"/>
      <w:pPr>
        <w:ind w:left="2160" w:hanging="360"/>
      </w:pPr>
      <w:rPr>
        <w:rFonts w:ascii="Wingdings" w:hAnsi="Wingdings" w:hint="default"/>
      </w:rPr>
    </w:lvl>
    <w:lvl w:ilvl="3" w:tplc="26643230">
      <w:start w:val="1"/>
      <w:numFmt w:val="bullet"/>
      <w:lvlText w:val=""/>
      <w:lvlJc w:val="left"/>
      <w:pPr>
        <w:ind w:left="2880" w:hanging="360"/>
      </w:pPr>
      <w:rPr>
        <w:rFonts w:ascii="Symbol" w:hAnsi="Symbol" w:hint="default"/>
      </w:rPr>
    </w:lvl>
    <w:lvl w:ilvl="4" w:tplc="BD18F5EC">
      <w:start w:val="1"/>
      <w:numFmt w:val="bullet"/>
      <w:lvlText w:val="o"/>
      <w:lvlJc w:val="left"/>
      <w:pPr>
        <w:ind w:left="3600" w:hanging="360"/>
      </w:pPr>
      <w:rPr>
        <w:rFonts w:ascii="Courier New" w:hAnsi="Courier New" w:hint="default"/>
      </w:rPr>
    </w:lvl>
    <w:lvl w:ilvl="5" w:tplc="FC90D23A">
      <w:start w:val="1"/>
      <w:numFmt w:val="bullet"/>
      <w:lvlText w:val=""/>
      <w:lvlJc w:val="left"/>
      <w:pPr>
        <w:ind w:left="4320" w:hanging="360"/>
      </w:pPr>
      <w:rPr>
        <w:rFonts w:ascii="Wingdings" w:hAnsi="Wingdings" w:hint="default"/>
      </w:rPr>
    </w:lvl>
    <w:lvl w:ilvl="6" w:tplc="A7285D14">
      <w:start w:val="1"/>
      <w:numFmt w:val="bullet"/>
      <w:lvlText w:val=""/>
      <w:lvlJc w:val="left"/>
      <w:pPr>
        <w:ind w:left="5040" w:hanging="360"/>
      </w:pPr>
      <w:rPr>
        <w:rFonts w:ascii="Symbol" w:hAnsi="Symbol" w:hint="default"/>
      </w:rPr>
    </w:lvl>
    <w:lvl w:ilvl="7" w:tplc="294CB594">
      <w:start w:val="1"/>
      <w:numFmt w:val="bullet"/>
      <w:lvlText w:val="o"/>
      <w:lvlJc w:val="left"/>
      <w:pPr>
        <w:ind w:left="5760" w:hanging="360"/>
      </w:pPr>
      <w:rPr>
        <w:rFonts w:ascii="Courier New" w:hAnsi="Courier New" w:hint="default"/>
      </w:rPr>
    </w:lvl>
    <w:lvl w:ilvl="8" w:tplc="9A9029BE">
      <w:start w:val="1"/>
      <w:numFmt w:val="bullet"/>
      <w:lvlText w:val=""/>
      <w:lvlJc w:val="left"/>
      <w:pPr>
        <w:ind w:left="6480" w:hanging="360"/>
      </w:pPr>
      <w:rPr>
        <w:rFonts w:ascii="Wingdings" w:hAnsi="Wingdings" w:hint="default"/>
      </w:rPr>
    </w:lvl>
  </w:abstractNum>
  <w:abstractNum w:abstractNumId="35" w15:restartNumberingAfterBreak="0">
    <w:nsid w:val="31357B21"/>
    <w:multiLevelType w:val="hybridMultilevel"/>
    <w:tmpl w:val="FED029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33EC15B6"/>
    <w:multiLevelType w:val="hybridMultilevel"/>
    <w:tmpl w:val="D9727CC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343BF50F"/>
    <w:multiLevelType w:val="hybridMultilevel"/>
    <w:tmpl w:val="C3CCEC7C"/>
    <w:lvl w:ilvl="0" w:tplc="FFC4BB16">
      <w:start w:val="1"/>
      <w:numFmt w:val="bullet"/>
      <w:lvlText w:val="·"/>
      <w:lvlJc w:val="left"/>
      <w:pPr>
        <w:ind w:left="720" w:hanging="360"/>
      </w:pPr>
      <w:rPr>
        <w:rFonts w:ascii="Symbol" w:hAnsi="Symbol" w:hint="default"/>
      </w:rPr>
    </w:lvl>
    <w:lvl w:ilvl="1" w:tplc="ACE2F844">
      <w:start w:val="1"/>
      <w:numFmt w:val="bullet"/>
      <w:lvlText w:val="-"/>
      <w:lvlJc w:val="left"/>
      <w:pPr>
        <w:ind w:left="1440" w:hanging="360"/>
      </w:pPr>
      <w:rPr>
        <w:rFonts w:ascii="Symbol" w:hAnsi="Symbol" w:hint="default"/>
      </w:rPr>
    </w:lvl>
    <w:lvl w:ilvl="2" w:tplc="C9F66836">
      <w:start w:val="1"/>
      <w:numFmt w:val="bullet"/>
      <w:lvlText w:val=""/>
      <w:lvlJc w:val="left"/>
      <w:pPr>
        <w:ind w:left="2160" w:hanging="360"/>
      </w:pPr>
      <w:rPr>
        <w:rFonts w:ascii="Wingdings" w:hAnsi="Wingdings" w:hint="default"/>
      </w:rPr>
    </w:lvl>
    <w:lvl w:ilvl="3" w:tplc="752CAD8C">
      <w:start w:val="1"/>
      <w:numFmt w:val="bullet"/>
      <w:lvlText w:val=""/>
      <w:lvlJc w:val="left"/>
      <w:pPr>
        <w:ind w:left="2880" w:hanging="360"/>
      </w:pPr>
      <w:rPr>
        <w:rFonts w:ascii="Symbol" w:hAnsi="Symbol" w:hint="default"/>
      </w:rPr>
    </w:lvl>
    <w:lvl w:ilvl="4" w:tplc="4F2A717A">
      <w:start w:val="1"/>
      <w:numFmt w:val="bullet"/>
      <w:lvlText w:val="o"/>
      <w:lvlJc w:val="left"/>
      <w:pPr>
        <w:ind w:left="3600" w:hanging="360"/>
      </w:pPr>
      <w:rPr>
        <w:rFonts w:ascii="Courier New" w:hAnsi="Courier New" w:hint="default"/>
      </w:rPr>
    </w:lvl>
    <w:lvl w:ilvl="5" w:tplc="C4AEE5E6">
      <w:start w:val="1"/>
      <w:numFmt w:val="bullet"/>
      <w:lvlText w:val=""/>
      <w:lvlJc w:val="left"/>
      <w:pPr>
        <w:ind w:left="4320" w:hanging="360"/>
      </w:pPr>
      <w:rPr>
        <w:rFonts w:ascii="Wingdings" w:hAnsi="Wingdings" w:hint="default"/>
      </w:rPr>
    </w:lvl>
    <w:lvl w:ilvl="6" w:tplc="56BE4DF2">
      <w:start w:val="1"/>
      <w:numFmt w:val="bullet"/>
      <w:lvlText w:val=""/>
      <w:lvlJc w:val="left"/>
      <w:pPr>
        <w:ind w:left="5040" w:hanging="360"/>
      </w:pPr>
      <w:rPr>
        <w:rFonts w:ascii="Symbol" w:hAnsi="Symbol" w:hint="default"/>
      </w:rPr>
    </w:lvl>
    <w:lvl w:ilvl="7" w:tplc="C27823CC">
      <w:start w:val="1"/>
      <w:numFmt w:val="bullet"/>
      <w:lvlText w:val="o"/>
      <w:lvlJc w:val="left"/>
      <w:pPr>
        <w:ind w:left="5760" w:hanging="360"/>
      </w:pPr>
      <w:rPr>
        <w:rFonts w:ascii="Courier New" w:hAnsi="Courier New" w:hint="default"/>
      </w:rPr>
    </w:lvl>
    <w:lvl w:ilvl="8" w:tplc="8BC47C34">
      <w:start w:val="1"/>
      <w:numFmt w:val="bullet"/>
      <w:lvlText w:val=""/>
      <w:lvlJc w:val="left"/>
      <w:pPr>
        <w:ind w:left="6480" w:hanging="360"/>
      </w:pPr>
      <w:rPr>
        <w:rFonts w:ascii="Wingdings" w:hAnsi="Wingdings" w:hint="default"/>
      </w:rPr>
    </w:lvl>
  </w:abstractNum>
  <w:abstractNum w:abstractNumId="38" w15:restartNumberingAfterBreak="0">
    <w:nsid w:val="3707EE6F"/>
    <w:multiLevelType w:val="hybridMultilevel"/>
    <w:tmpl w:val="7AE42322"/>
    <w:lvl w:ilvl="0" w:tplc="3FEA5E1E">
      <w:start w:val="1"/>
      <w:numFmt w:val="bullet"/>
      <w:lvlText w:val=""/>
      <w:lvlJc w:val="left"/>
      <w:pPr>
        <w:ind w:left="720" w:hanging="360"/>
      </w:pPr>
      <w:rPr>
        <w:rFonts w:ascii="Wingdings,Sans-Serif" w:hAnsi="Wingdings,Sans-Serif" w:hint="default"/>
      </w:rPr>
    </w:lvl>
    <w:lvl w:ilvl="1" w:tplc="2D14C358">
      <w:start w:val="1"/>
      <w:numFmt w:val="bullet"/>
      <w:lvlText w:val="o"/>
      <w:lvlJc w:val="left"/>
      <w:pPr>
        <w:ind w:left="1440" w:hanging="360"/>
      </w:pPr>
      <w:rPr>
        <w:rFonts w:ascii="Courier New" w:hAnsi="Courier New" w:hint="default"/>
      </w:rPr>
    </w:lvl>
    <w:lvl w:ilvl="2" w:tplc="928CA1D0">
      <w:start w:val="1"/>
      <w:numFmt w:val="bullet"/>
      <w:lvlText w:val=""/>
      <w:lvlJc w:val="left"/>
      <w:pPr>
        <w:ind w:left="2160" w:hanging="360"/>
      </w:pPr>
      <w:rPr>
        <w:rFonts w:ascii="Wingdings" w:hAnsi="Wingdings" w:hint="default"/>
      </w:rPr>
    </w:lvl>
    <w:lvl w:ilvl="3" w:tplc="265865B4">
      <w:start w:val="1"/>
      <w:numFmt w:val="bullet"/>
      <w:lvlText w:val=""/>
      <w:lvlJc w:val="left"/>
      <w:pPr>
        <w:ind w:left="2880" w:hanging="360"/>
      </w:pPr>
      <w:rPr>
        <w:rFonts w:ascii="Symbol" w:hAnsi="Symbol" w:hint="default"/>
      </w:rPr>
    </w:lvl>
    <w:lvl w:ilvl="4" w:tplc="2C621DBA">
      <w:start w:val="1"/>
      <w:numFmt w:val="bullet"/>
      <w:lvlText w:val="o"/>
      <w:lvlJc w:val="left"/>
      <w:pPr>
        <w:ind w:left="3600" w:hanging="360"/>
      </w:pPr>
      <w:rPr>
        <w:rFonts w:ascii="Courier New" w:hAnsi="Courier New" w:hint="default"/>
      </w:rPr>
    </w:lvl>
    <w:lvl w:ilvl="5" w:tplc="AD8EBCCA">
      <w:start w:val="1"/>
      <w:numFmt w:val="bullet"/>
      <w:lvlText w:val=""/>
      <w:lvlJc w:val="left"/>
      <w:pPr>
        <w:ind w:left="4320" w:hanging="360"/>
      </w:pPr>
      <w:rPr>
        <w:rFonts w:ascii="Wingdings" w:hAnsi="Wingdings" w:hint="default"/>
      </w:rPr>
    </w:lvl>
    <w:lvl w:ilvl="6" w:tplc="2AD23AD6">
      <w:start w:val="1"/>
      <w:numFmt w:val="bullet"/>
      <w:lvlText w:val=""/>
      <w:lvlJc w:val="left"/>
      <w:pPr>
        <w:ind w:left="5040" w:hanging="360"/>
      </w:pPr>
      <w:rPr>
        <w:rFonts w:ascii="Symbol" w:hAnsi="Symbol" w:hint="default"/>
      </w:rPr>
    </w:lvl>
    <w:lvl w:ilvl="7" w:tplc="8C4CB66A">
      <w:start w:val="1"/>
      <w:numFmt w:val="bullet"/>
      <w:lvlText w:val="o"/>
      <w:lvlJc w:val="left"/>
      <w:pPr>
        <w:ind w:left="5760" w:hanging="360"/>
      </w:pPr>
      <w:rPr>
        <w:rFonts w:ascii="Courier New" w:hAnsi="Courier New" w:hint="default"/>
      </w:rPr>
    </w:lvl>
    <w:lvl w:ilvl="8" w:tplc="9118C93A">
      <w:start w:val="1"/>
      <w:numFmt w:val="bullet"/>
      <w:lvlText w:val=""/>
      <w:lvlJc w:val="left"/>
      <w:pPr>
        <w:ind w:left="6480" w:hanging="360"/>
      </w:pPr>
      <w:rPr>
        <w:rFonts w:ascii="Wingdings" w:hAnsi="Wingdings" w:hint="default"/>
      </w:rPr>
    </w:lvl>
  </w:abstractNum>
  <w:abstractNum w:abstractNumId="39" w15:restartNumberingAfterBreak="0">
    <w:nsid w:val="3A9CBD3E"/>
    <w:multiLevelType w:val="hybridMultilevel"/>
    <w:tmpl w:val="F4867B8A"/>
    <w:lvl w:ilvl="0" w:tplc="CB760AD2">
      <w:start w:val="1"/>
      <w:numFmt w:val="bullet"/>
      <w:lvlText w:val=""/>
      <w:lvlJc w:val="left"/>
      <w:pPr>
        <w:ind w:left="720" w:hanging="360"/>
      </w:pPr>
      <w:rPr>
        <w:rFonts w:ascii="Wingdings,Sans-Serif" w:hAnsi="Wingdings,Sans-Serif" w:hint="default"/>
      </w:rPr>
    </w:lvl>
    <w:lvl w:ilvl="1" w:tplc="550E88C2">
      <w:start w:val="1"/>
      <w:numFmt w:val="bullet"/>
      <w:lvlText w:val="o"/>
      <w:lvlJc w:val="left"/>
      <w:pPr>
        <w:ind w:left="1440" w:hanging="360"/>
      </w:pPr>
      <w:rPr>
        <w:rFonts w:ascii="Courier New" w:hAnsi="Courier New" w:hint="default"/>
      </w:rPr>
    </w:lvl>
    <w:lvl w:ilvl="2" w:tplc="E65E20BE">
      <w:start w:val="1"/>
      <w:numFmt w:val="bullet"/>
      <w:lvlText w:val=""/>
      <w:lvlJc w:val="left"/>
      <w:pPr>
        <w:ind w:left="2160" w:hanging="360"/>
      </w:pPr>
      <w:rPr>
        <w:rFonts w:ascii="Wingdings" w:hAnsi="Wingdings" w:hint="default"/>
      </w:rPr>
    </w:lvl>
    <w:lvl w:ilvl="3" w:tplc="8C704A3E">
      <w:start w:val="1"/>
      <w:numFmt w:val="bullet"/>
      <w:lvlText w:val=""/>
      <w:lvlJc w:val="left"/>
      <w:pPr>
        <w:ind w:left="2880" w:hanging="360"/>
      </w:pPr>
      <w:rPr>
        <w:rFonts w:ascii="Symbol" w:hAnsi="Symbol" w:hint="default"/>
      </w:rPr>
    </w:lvl>
    <w:lvl w:ilvl="4" w:tplc="888CFF6A">
      <w:start w:val="1"/>
      <w:numFmt w:val="bullet"/>
      <w:lvlText w:val="o"/>
      <w:lvlJc w:val="left"/>
      <w:pPr>
        <w:ind w:left="3600" w:hanging="360"/>
      </w:pPr>
      <w:rPr>
        <w:rFonts w:ascii="Courier New" w:hAnsi="Courier New" w:hint="default"/>
      </w:rPr>
    </w:lvl>
    <w:lvl w:ilvl="5" w:tplc="0E38D130">
      <w:start w:val="1"/>
      <w:numFmt w:val="bullet"/>
      <w:lvlText w:val=""/>
      <w:lvlJc w:val="left"/>
      <w:pPr>
        <w:ind w:left="4320" w:hanging="360"/>
      </w:pPr>
      <w:rPr>
        <w:rFonts w:ascii="Wingdings" w:hAnsi="Wingdings" w:hint="default"/>
      </w:rPr>
    </w:lvl>
    <w:lvl w:ilvl="6" w:tplc="D71CD23A">
      <w:start w:val="1"/>
      <w:numFmt w:val="bullet"/>
      <w:lvlText w:val=""/>
      <w:lvlJc w:val="left"/>
      <w:pPr>
        <w:ind w:left="5040" w:hanging="360"/>
      </w:pPr>
      <w:rPr>
        <w:rFonts w:ascii="Symbol" w:hAnsi="Symbol" w:hint="default"/>
      </w:rPr>
    </w:lvl>
    <w:lvl w:ilvl="7" w:tplc="765E6F20">
      <w:start w:val="1"/>
      <w:numFmt w:val="bullet"/>
      <w:lvlText w:val="o"/>
      <w:lvlJc w:val="left"/>
      <w:pPr>
        <w:ind w:left="5760" w:hanging="360"/>
      </w:pPr>
      <w:rPr>
        <w:rFonts w:ascii="Courier New" w:hAnsi="Courier New" w:hint="default"/>
      </w:rPr>
    </w:lvl>
    <w:lvl w:ilvl="8" w:tplc="AEB4B908">
      <w:start w:val="1"/>
      <w:numFmt w:val="bullet"/>
      <w:lvlText w:val=""/>
      <w:lvlJc w:val="left"/>
      <w:pPr>
        <w:ind w:left="6480" w:hanging="360"/>
      </w:pPr>
      <w:rPr>
        <w:rFonts w:ascii="Wingdings" w:hAnsi="Wingdings" w:hint="default"/>
      </w:rPr>
    </w:lvl>
  </w:abstractNum>
  <w:abstractNum w:abstractNumId="40" w15:restartNumberingAfterBreak="0">
    <w:nsid w:val="3AE1AD05"/>
    <w:multiLevelType w:val="hybridMultilevel"/>
    <w:tmpl w:val="6546B61E"/>
    <w:lvl w:ilvl="0" w:tplc="394A4E24">
      <w:start w:val="1"/>
      <w:numFmt w:val="decimal"/>
      <w:lvlText w:val="%1."/>
      <w:lvlJc w:val="left"/>
      <w:pPr>
        <w:ind w:left="720" w:hanging="360"/>
      </w:pPr>
    </w:lvl>
    <w:lvl w:ilvl="1" w:tplc="0994AD98">
      <w:start w:val="1"/>
      <w:numFmt w:val="lowerLetter"/>
      <w:lvlText w:val="%2."/>
      <w:lvlJc w:val="left"/>
      <w:pPr>
        <w:ind w:left="1440" w:hanging="360"/>
      </w:pPr>
    </w:lvl>
    <w:lvl w:ilvl="2" w:tplc="17627442">
      <w:start w:val="1"/>
      <w:numFmt w:val="lowerRoman"/>
      <w:lvlText w:val="%3."/>
      <w:lvlJc w:val="right"/>
      <w:pPr>
        <w:ind w:left="2160" w:hanging="180"/>
      </w:pPr>
    </w:lvl>
    <w:lvl w:ilvl="3" w:tplc="76C60C50">
      <w:start w:val="1"/>
      <w:numFmt w:val="decimal"/>
      <w:lvlText w:val="%4."/>
      <w:lvlJc w:val="left"/>
      <w:pPr>
        <w:ind w:left="2880" w:hanging="360"/>
      </w:pPr>
    </w:lvl>
    <w:lvl w:ilvl="4" w:tplc="B38225CC">
      <w:start w:val="1"/>
      <w:numFmt w:val="lowerLetter"/>
      <w:lvlText w:val="%5."/>
      <w:lvlJc w:val="left"/>
      <w:pPr>
        <w:ind w:left="3600" w:hanging="360"/>
      </w:pPr>
    </w:lvl>
    <w:lvl w:ilvl="5" w:tplc="6E88C858">
      <w:start w:val="1"/>
      <w:numFmt w:val="lowerRoman"/>
      <w:lvlText w:val="%6."/>
      <w:lvlJc w:val="right"/>
      <w:pPr>
        <w:ind w:left="4320" w:hanging="180"/>
      </w:pPr>
    </w:lvl>
    <w:lvl w:ilvl="6" w:tplc="5A7E23DC">
      <w:start w:val="1"/>
      <w:numFmt w:val="decimal"/>
      <w:lvlText w:val="%7."/>
      <w:lvlJc w:val="left"/>
      <w:pPr>
        <w:ind w:left="5040" w:hanging="360"/>
      </w:pPr>
    </w:lvl>
    <w:lvl w:ilvl="7" w:tplc="FA4CE800">
      <w:start w:val="1"/>
      <w:numFmt w:val="lowerLetter"/>
      <w:lvlText w:val="%8."/>
      <w:lvlJc w:val="left"/>
      <w:pPr>
        <w:ind w:left="5760" w:hanging="360"/>
      </w:pPr>
    </w:lvl>
    <w:lvl w:ilvl="8" w:tplc="CF28C22C">
      <w:start w:val="1"/>
      <w:numFmt w:val="lowerRoman"/>
      <w:lvlText w:val="%9."/>
      <w:lvlJc w:val="right"/>
      <w:pPr>
        <w:ind w:left="6480" w:hanging="180"/>
      </w:pPr>
    </w:lvl>
  </w:abstractNum>
  <w:abstractNum w:abstractNumId="41" w15:restartNumberingAfterBreak="0">
    <w:nsid w:val="3B556528"/>
    <w:multiLevelType w:val="hybridMultilevel"/>
    <w:tmpl w:val="DE6435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3BEB74E9"/>
    <w:multiLevelType w:val="hybridMultilevel"/>
    <w:tmpl w:val="1DEA09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3F68F149"/>
    <w:multiLevelType w:val="hybridMultilevel"/>
    <w:tmpl w:val="8046879C"/>
    <w:lvl w:ilvl="0" w:tplc="0A862400">
      <w:start w:val="1"/>
      <w:numFmt w:val="bullet"/>
      <w:lvlText w:val=""/>
      <w:lvlJc w:val="left"/>
      <w:pPr>
        <w:ind w:left="720" w:hanging="360"/>
      </w:pPr>
      <w:rPr>
        <w:rFonts w:ascii="Wingdings,Sans-Serif" w:hAnsi="Wingdings,Sans-Serif" w:hint="default"/>
      </w:rPr>
    </w:lvl>
    <w:lvl w:ilvl="1" w:tplc="94EEEEF0">
      <w:start w:val="1"/>
      <w:numFmt w:val="bullet"/>
      <w:lvlText w:val="o"/>
      <w:lvlJc w:val="left"/>
      <w:pPr>
        <w:ind w:left="1440" w:hanging="360"/>
      </w:pPr>
      <w:rPr>
        <w:rFonts w:ascii="Courier New" w:hAnsi="Courier New" w:hint="default"/>
      </w:rPr>
    </w:lvl>
    <w:lvl w:ilvl="2" w:tplc="31B69A6C">
      <w:start w:val="1"/>
      <w:numFmt w:val="bullet"/>
      <w:lvlText w:val=""/>
      <w:lvlJc w:val="left"/>
      <w:pPr>
        <w:ind w:left="2160" w:hanging="360"/>
      </w:pPr>
      <w:rPr>
        <w:rFonts w:ascii="Wingdings" w:hAnsi="Wingdings" w:hint="default"/>
      </w:rPr>
    </w:lvl>
    <w:lvl w:ilvl="3" w:tplc="AEEC3506">
      <w:start w:val="1"/>
      <w:numFmt w:val="bullet"/>
      <w:lvlText w:val=""/>
      <w:lvlJc w:val="left"/>
      <w:pPr>
        <w:ind w:left="2880" w:hanging="360"/>
      </w:pPr>
      <w:rPr>
        <w:rFonts w:ascii="Symbol" w:hAnsi="Symbol" w:hint="default"/>
      </w:rPr>
    </w:lvl>
    <w:lvl w:ilvl="4" w:tplc="7F460BA6">
      <w:start w:val="1"/>
      <w:numFmt w:val="bullet"/>
      <w:lvlText w:val="o"/>
      <w:lvlJc w:val="left"/>
      <w:pPr>
        <w:ind w:left="3600" w:hanging="360"/>
      </w:pPr>
      <w:rPr>
        <w:rFonts w:ascii="Courier New" w:hAnsi="Courier New" w:hint="default"/>
      </w:rPr>
    </w:lvl>
    <w:lvl w:ilvl="5" w:tplc="4DF88340">
      <w:start w:val="1"/>
      <w:numFmt w:val="bullet"/>
      <w:lvlText w:val=""/>
      <w:lvlJc w:val="left"/>
      <w:pPr>
        <w:ind w:left="4320" w:hanging="360"/>
      </w:pPr>
      <w:rPr>
        <w:rFonts w:ascii="Wingdings" w:hAnsi="Wingdings" w:hint="default"/>
      </w:rPr>
    </w:lvl>
    <w:lvl w:ilvl="6" w:tplc="CAD0257C">
      <w:start w:val="1"/>
      <w:numFmt w:val="bullet"/>
      <w:lvlText w:val=""/>
      <w:lvlJc w:val="left"/>
      <w:pPr>
        <w:ind w:left="5040" w:hanging="360"/>
      </w:pPr>
      <w:rPr>
        <w:rFonts w:ascii="Symbol" w:hAnsi="Symbol" w:hint="default"/>
      </w:rPr>
    </w:lvl>
    <w:lvl w:ilvl="7" w:tplc="6AD86CE0">
      <w:start w:val="1"/>
      <w:numFmt w:val="bullet"/>
      <w:lvlText w:val="o"/>
      <w:lvlJc w:val="left"/>
      <w:pPr>
        <w:ind w:left="5760" w:hanging="360"/>
      </w:pPr>
      <w:rPr>
        <w:rFonts w:ascii="Courier New" w:hAnsi="Courier New" w:hint="default"/>
      </w:rPr>
    </w:lvl>
    <w:lvl w:ilvl="8" w:tplc="3EBAD21C">
      <w:start w:val="1"/>
      <w:numFmt w:val="bullet"/>
      <w:lvlText w:val=""/>
      <w:lvlJc w:val="left"/>
      <w:pPr>
        <w:ind w:left="6480" w:hanging="360"/>
      </w:pPr>
      <w:rPr>
        <w:rFonts w:ascii="Wingdings" w:hAnsi="Wingdings" w:hint="default"/>
      </w:rPr>
    </w:lvl>
  </w:abstractNum>
  <w:abstractNum w:abstractNumId="44" w15:restartNumberingAfterBreak="0">
    <w:nsid w:val="3F9DA6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3FC2CD07"/>
    <w:multiLevelType w:val="hybridMultilevel"/>
    <w:tmpl w:val="4244B6B0"/>
    <w:lvl w:ilvl="0" w:tplc="33CA5898">
      <w:start w:val="1"/>
      <w:numFmt w:val="bullet"/>
      <w:lvlText w:val=""/>
      <w:lvlJc w:val="left"/>
      <w:pPr>
        <w:ind w:left="720" w:hanging="360"/>
      </w:pPr>
      <w:rPr>
        <w:rFonts w:ascii="Wingdings,Sans-Serif" w:hAnsi="Wingdings,Sans-Serif" w:hint="default"/>
      </w:rPr>
    </w:lvl>
    <w:lvl w:ilvl="1" w:tplc="47D06CDA">
      <w:start w:val="1"/>
      <w:numFmt w:val="bullet"/>
      <w:lvlText w:val="o"/>
      <w:lvlJc w:val="left"/>
      <w:pPr>
        <w:ind w:left="1440" w:hanging="360"/>
      </w:pPr>
      <w:rPr>
        <w:rFonts w:ascii="Courier New" w:hAnsi="Courier New" w:hint="default"/>
      </w:rPr>
    </w:lvl>
    <w:lvl w:ilvl="2" w:tplc="6ABAD860">
      <w:start w:val="1"/>
      <w:numFmt w:val="bullet"/>
      <w:lvlText w:val=""/>
      <w:lvlJc w:val="left"/>
      <w:pPr>
        <w:ind w:left="2160" w:hanging="360"/>
      </w:pPr>
      <w:rPr>
        <w:rFonts w:ascii="Wingdings" w:hAnsi="Wingdings" w:hint="default"/>
      </w:rPr>
    </w:lvl>
    <w:lvl w:ilvl="3" w:tplc="6C78D622">
      <w:start w:val="1"/>
      <w:numFmt w:val="bullet"/>
      <w:lvlText w:val=""/>
      <w:lvlJc w:val="left"/>
      <w:pPr>
        <w:ind w:left="2880" w:hanging="360"/>
      </w:pPr>
      <w:rPr>
        <w:rFonts w:ascii="Symbol" w:hAnsi="Symbol" w:hint="default"/>
      </w:rPr>
    </w:lvl>
    <w:lvl w:ilvl="4" w:tplc="6CF21C92">
      <w:start w:val="1"/>
      <w:numFmt w:val="bullet"/>
      <w:lvlText w:val="o"/>
      <w:lvlJc w:val="left"/>
      <w:pPr>
        <w:ind w:left="3600" w:hanging="360"/>
      </w:pPr>
      <w:rPr>
        <w:rFonts w:ascii="Courier New" w:hAnsi="Courier New" w:hint="default"/>
      </w:rPr>
    </w:lvl>
    <w:lvl w:ilvl="5" w:tplc="4FAA97D6">
      <w:start w:val="1"/>
      <w:numFmt w:val="bullet"/>
      <w:lvlText w:val=""/>
      <w:lvlJc w:val="left"/>
      <w:pPr>
        <w:ind w:left="4320" w:hanging="360"/>
      </w:pPr>
      <w:rPr>
        <w:rFonts w:ascii="Wingdings" w:hAnsi="Wingdings" w:hint="default"/>
      </w:rPr>
    </w:lvl>
    <w:lvl w:ilvl="6" w:tplc="5E58B644">
      <w:start w:val="1"/>
      <w:numFmt w:val="bullet"/>
      <w:lvlText w:val=""/>
      <w:lvlJc w:val="left"/>
      <w:pPr>
        <w:ind w:left="5040" w:hanging="360"/>
      </w:pPr>
      <w:rPr>
        <w:rFonts w:ascii="Symbol" w:hAnsi="Symbol" w:hint="default"/>
      </w:rPr>
    </w:lvl>
    <w:lvl w:ilvl="7" w:tplc="ED00A8B6">
      <w:start w:val="1"/>
      <w:numFmt w:val="bullet"/>
      <w:lvlText w:val="o"/>
      <w:lvlJc w:val="left"/>
      <w:pPr>
        <w:ind w:left="5760" w:hanging="360"/>
      </w:pPr>
      <w:rPr>
        <w:rFonts w:ascii="Courier New" w:hAnsi="Courier New" w:hint="default"/>
      </w:rPr>
    </w:lvl>
    <w:lvl w:ilvl="8" w:tplc="00B0B47A">
      <w:start w:val="1"/>
      <w:numFmt w:val="bullet"/>
      <w:lvlText w:val=""/>
      <w:lvlJc w:val="left"/>
      <w:pPr>
        <w:ind w:left="6480" w:hanging="360"/>
      </w:pPr>
      <w:rPr>
        <w:rFonts w:ascii="Wingdings" w:hAnsi="Wingdings" w:hint="default"/>
      </w:rPr>
    </w:lvl>
  </w:abstractNum>
  <w:abstractNum w:abstractNumId="46" w15:restartNumberingAfterBreak="0">
    <w:nsid w:val="4246990D"/>
    <w:multiLevelType w:val="hybridMultilevel"/>
    <w:tmpl w:val="FFFFFFFF"/>
    <w:lvl w:ilvl="0" w:tplc="ED14CCC6">
      <w:start w:val="1"/>
      <w:numFmt w:val="bullet"/>
      <w:lvlText w:val="·"/>
      <w:lvlJc w:val="left"/>
      <w:pPr>
        <w:ind w:left="720" w:hanging="360"/>
      </w:pPr>
      <w:rPr>
        <w:rFonts w:ascii="Symbol" w:hAnsi="Symbol" w:hint="default"/>
      </w:rPr>
    </w:lvl>
    <w:lvl w:ilvl="1" w:tplc="72EAF494">
      <w:start w:val="1"/>
      <w:numFmt w:val="bullet"/>
      <w:lvlText w:val="o"/>
      <w:lvlJc w:val="left"/>
      <w:pPr>
        <w:ind w:left="1440" w:hanging="360"/>
      </w:pPr>
      <w:rPr>
        <w:rFonts w:ascii="Courier New" w:hAnsi="Courier New" w:hint="default"/>
      </w:rPr>
    </w:lvl>
    <w:lvl w:ilvl="2" w:tplc="79565A44">
      <w:start w:val="1"/>
      <w:numFmt w:val="bullet"/>
      <w:lvlText w:val=""/>
      <w:lvlJc w:val="left"/>
      <w:pPr>
        <w:ind w:left="2160" w:hanging="360"/>
      </w:pPr>
      <w:rPr>
        <w:rFonts w:ascii="Wingdings" w:hAnsi="Wingdings" w:hint="default"/>
      </w:rPr>
    </w:lvl>
    <w:lvl w:ilvl="3" w:tplc="7C78A8F6">
      <w:start w:val="1"/>
      <w:numFmt w:val="bullet"/>
      <w:lvlText w:val=""/>
      <w:lvlJc w:val="left"/>
      <w:pPr>
        <w:ind w:left="2880" w:hanging="360"/>
      </w:pPr>
      <w:rPr>
        <w:rFonts w:ascii="Symbol" w:hAnsi="Symbol" w:hint="default"/>
      </w:rPr>
    </w:lvl>
    <w:lvl w:ilvl="4" w:tplc="92926F3A">
      <w:start w:val="1"/>
      <w:numFmt w:val="bullet"/>
      <w:lvlText w:val="o"/>
      <w:lvlJc w:val="left"/>
      <w:pPr>
        <w:ind w:left="3600" w:hanging="360"/>
      </w:pPr>
      <w:rPr>
        <w:rFonts w:ascii="Courier New" w:hAnsi="Courier New" w:hint="default"/>
      </w:rPr>
    </w:lvl>
    <w:lvl w:ilvl="5" w:tplc="6E8A1C56">
      <w:start w:val="1"/>
      <w:numFmt w:val="bullet"/>
      <w:lvlText w:val=""/>
      <w:lvlJc w:val="left"/>
      <w:pPr>
        <w:ind w:left="4320" w:hanging="360"/>
      </w:pPr>
      <w:rPr>
        <w:rFonts w:ascii="Wingdings" w:hAnsi="Wingdings" w:hint="default"/>
      </w:rPr>
    </w:lvl>
    <w:lvl w:ilvl="6" w:tplc="512C972A">
      <w:start w:val="1"/>
      <w:numFmt w:val="bullet"/>
      <w:lvlText w:val=""/>
      <w:lvlJc w:val="left"/>
      <w:pPr>
        <w:ind w:left="5040" w:hanging="360"/>
      </w:pPr>
      <w:rPr>
        <w:rFonts w:ascii="Symbol" w:hAnsi="Symbol" w:hint="default"/>
      </w:rPr>
    </w:lvl>
    <w:lvl w:ilvl="7" w:tplc="D028454A">
      <w:start w:val="1"/>
      <w:numFmt w:val="bullet"/>
      <w:lvlText w:val="o"/>
      <w:lvlJc w:val="left"/>
      <w:pPr>
        <w:ind w:left="5760" w:hanging="360"/>
      </w:pPr>
      <w:rPr>
        <w:rFonts w:ascii="Courier New" w:hAnsi="Courier New" w:hint="default"/>
      </w:rPr>
    </w:lvl>
    <w:lvl w:ilvl="8" w:tplc="A2565D8A">
      <w:start w:val="1"/>
      <w:numFmt w:val="bullet"/>
      <w:lvlText w:val=""/>
      <w:lvlJc w:val="left"/>
      <w:pPr>
        <w:ind w:left="6480" w:hanging="360"/>
      </w:pPr>
      <w:rPr>
        <w:rFonts w:ascii="Wingdings" w:hAnsi="Wingdings" w:hint="default"/>
      </w:rPr>
    </w:lvl>
  </w:abstractNum>
  <w:abstractNum w:abstractNumId="47" w15:restartNumberingAfterBreak="0">
    <w:nsid w:val="42CF3D93"/>
    <w:multiLevelType w:val="multilevel"/>
    <w:tmpl w:val="E8DCC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2D52DCD"/>
    <w:multiLevelType w:val="multilevel"/>
    <w:tmpl w:val="C10C9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545D637"/>
    <w:multiLevelType w:val="hybridMultilevel"/>
    <w:tmpl w:val="D0BE85F8"/>
    <w:lvl w:ilvl="0" w:tplc="19C4DED8">
      <w:start w:val="1"/>
      <w:numFmt w:val="bullet"/>
      <w:lvlText w:val=""/>
      <w:lvlJc w:val="left"/>
      <w:pPr>
        <w:ind w:left="720" w:hanging="360"/>
      </w:pPr>
      <w:rPr>
        <w:rFonts w:ascii="Wingdings,Sans-Serif" w:hAnsi="Wingdings,Sans-Serif" w:hint="default"/>
      </w:rPr>
    </w:lvl>
    <w:lvl w:ilvl="1" w:tplc="A2CAC4B4">
      <w:start w:val="1"/>
      <w:numFmt w:val="bullet"/>
      <w:lvlText w:val="o"/>
      <w:lvlJc w:val="left"/>
      <w:pPr>
        <w:ind w:left="1440" w:hanging="360"/>
      </w:pPr>
      <w:rPr>
        <w:rFonts w:ascii="Courier New" w:hAnsi="Courier New" w:hint="default"/>
      </w:rPr>
    </w:lvl>
    <w:lvl w:ilvl="2" w:tplc="D368FEF4">
      <w:start w:val="1"/>
      <w:numFmt w:val="bullet"/>
      <w:lvlText w:val=""/>
      <w:lvlJc w:val="left"/>
      <w:pPr>
        <w:ind w:left="2160" w:hanging="360"/>
      </w:pPr>
      <w:rPr>
        <w:rFonts w:ascii="Wingdings" w:hAnsi="Wingdings" w:hint="default"/>
      </w:rPr>
    </w:lvl>
    <w:lvl w:ilvl="3" w:tplc="691A86C0">
      <w:start w:val="1"/>
      <w:numFmt w:val="bullet"/>
      <w:lvlText w:val=""/>
      <w:lvlJc w:val="left"/>
      <w:pPr>
        <w:ind w:left="2880" w:hanging="360"/>
      </w:pPr>
      <w:rPr>
        <w:rFonts w:ascii="Symbol" w:hAnsi="Symbol" w:hint="default"/>
      </w:rPr>
    </w:lvl>
    <w:lvl w:ilvl="4" w:tplc="DEEEDCDA">
      <w:start w:val="1"/>
      <w:numFmt w:val="bullet"/>
      <w:lvlText w:val="o"/>
      <w:lvlJc w:val="left"/>
      <w:pPr>
        <w:ind w:left="3600" w:hanging="360"/>
      </w:pPr>
      <w:rPr>
        <w:rFonts w:ascii="Courier New" w:hAnsi="Courier New" w:hint="default"/>
      </w:rPr>
    </w:lvl>
    <w:lvl w:ilvl="5" w:tplc="3782EDF6">
      <w:start w:val="1"/>
      <w:numFmt w:val="bullet"/>
      <w:lvlText w:val=""/>
      <w:lvlJc w:val="left"/>
      <w:pPr>
        <w:ind w:left="4320" w:hanging="360"/>
      </w:pPr>
      <w:rPr>
        <w:rFonts w:ascii="Wingdings" w:hAnsi="Wingdings" w:hint="default"/>
      </w:rPr>
    </w:lvl>
    <w:lvl w:ilvl="6" w:tplc="77AC8AC6">
      <w:start w:val="1"/>
      <w:numFmt w:val="bullet"/>
      <w:lvlText w:val=""/>
      <w:lvlJc w:val="left"/>
      <w:pPr>
        <w:ind w:left="5040" w:hanging="360"/>
      </w:pPr>
      <w:rPr>
        <w:rFonts w:ascii="Symbol" w:hAnsi="Symbol" w:hint="default"/>
      </w:rPr>
    </w:lvl>
    <w:lvl w:ilvl="7" w:tplc="5EFA2C96">
      <w:start w:val="1"/>
      <w:numFmt w:val="bullet"/>
      <w:lvlText w:val="o"/>
      <w:lvlJc w:val="left"/>
      <w:pPr>
        <w:ind w:left="5760" w:hanging="360"/>
      </w:pPr>
      <w:rPr>
        <w:rFonts w:ascii="Courier New" w:hAnsi="Courier New" w:hint="default"/>
      </w:rPr>
    </w:lvl>
    <w:lvl w:ilvl="8" w:tplc="F258C6A0">
      <w:start w:val="1"/>
      <w:numFmt w:val="bullet"/>
      <w:lvlText w:val=""/>
      <w:lvlJc w:val="left"/>
      <w:pPr>
        <w:ind w:left="6480" w:hanging="360"/>
      </w:pPr>
      <w:rPr>
        <w:rFonts w:ascii="Wingdings" w:hAnsi="Wingdings" w:hint="default"/>
      </w:rPr>
    </w:lvl>
  </w:abstractNum>
  <w:abstractNum w:abstractNumId="50" w15:restartNumberingAfterBreak="0">
    <w:nsid w:val="4FAE0AFD"/>
    <w:multiLevelType w:val="multilevel"/>
    <w:tmpl w:val="634E3FC0"/>
    <w:lvl w:ilvl="0">
      <w:start w:val="1"/>
      <w:numFmt w:val="bullet"/>
      <w:lvlText w:val=""/>
      <w:lvlJc w:val="left"/>
      <w:pPr>
        <w:tabs>
          <w:tab w:val="num" w:pos="720"/>
        </w:tabs>
        <w:ind w:left="720" w:hanging="360"/>
      </w:pPr>
      <w:rPr>
        <w:rFonts w:ascii="Symbol" w:hAnsi="Symbol" w:hint="default"/>
        <w:sz w:val="20"/>
      </w:rPr>
    </w:lvl>
    <w:lvl w:ilvl="1">
      <w:start w:val="20"/>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02F63E3"/>
    <w:multiLevelType w:val="hybridMultilevel"/>
    <w:tmpl w:val="AF88954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2" w15:restartNumberingAfterBreak="0">
    <w:nsid w:val="519301EA"/>
    <w:multiLevelType w:val="hybridMultilevel"/>
    <w:tmpl w:val="16A064DE"/>
    <w:lvl w:ilvl="0" w:tplc="365004B6">
      <w:start w:val="1"/>
      <w:numFmt w:val="bullet"/>
      <w:lvlText w:val=""/>
      <w:lvlJc w:val="left"/>
      <w:pPr>
        <w:ind w:left="720" w:hanging="360"/>
      </w:pPr>
      <w:rPr>
        <w:rFonts w:ascii="Symbol" w:hAnsi="Symbol" w:hint="default"/>
      </w:rPr>
    </w:lvl>
    <w:lvl w:ilvl="1" w:tplc="0608D0EC">
      <w:start w:val="1"/>
      <w:numFmt w:val="bullet"/>
      <w:lvlText w:val="o"/>
      <w:lvlJc w:val="left"/>
      <w:pPr>
        <w:ind w:left="1440" w:hanging="360"/>
      </w:pPr>
      <w:rPr>
        <w:rFonts w:ascii="Courier New" w:hAnsi="Courier New" w:hint="default"/>
      </w:rPr>
    </w:lvl>
    <w:lvl w:ilvl="2" w:tplc="A6B639DC">
      <w:start w:val="1"/>
      <w:numFmt w:val="bullet"/>
      <w:lvlText w:val=""/>
      <w:lvlJc w:val="left"/>
      <w:pPr>
        <w:ind w:left="2160" w:hanging="360"/>
      </w:pPr>
      <w:rPr>
        <w:rFonts w:ascii="Wingdings" w:hAnsi="Wingdings" w:hint="default"/>
      </w:rPr>
    </w:lvl>
    <w:lvl w:ilvl="3" w:tplc="2040B16E">
      <w:start w:val="1"/>
      <w:numFmt w:val="bullet"/>
      <w:lvlText w:val=""/>
      <w:lvlJc w:val="left"/>
      <w:pPr>
        <w:ind w:left="2880" w:hanging="360"/>
      </w:pPr>
      <w:rPr>
        <w:rFonts w:ascii="Symbol" w:hAnsi="Symbol" w:hint="default"/>
      </w:rPr>
    </w:lvl>
    <w:lvl w:ilvl="4" w:tplc="353A70C2">
      <w:start w:val="1"/>
      <w:numFmt w:val="bullet"/>
      <w:lvlText w:val="o"/>
      <w:lvlJc w:val="left"/>
      <w:pPr>
        <w:ind w:left="3600" w:hanging="360"/>
      </w:pPr>
      <w:rPr>
        <w:rFonts w:ascii="Courier New" w:hAnsi="Courier New" w:hint="default"/>
      </w:rPr>
    </w:lvl>
    <w:lvl w:ilvl="5" w:tplc="2AC8B4B8">
      <w:start w:val="1"/>
      <w:numFmt w:val="bullet"/>
      <w:lvlText w:val=""/>
      <w:lvlJc w:val="left"/>
      <w:pPr>
        <w:ind w:left="4320" w:hanging="360"/>
      </w:pPr>
      <w:rPr>
        <w:rFonts w:ascii="Wingdings" w:hAnsi="Wingdings" w:hint="default"/>
      </w:rPr>
    </w:lvl>
    <w:lvl w:ilvl="6" w:tplc="A6C66E7A">
      <w:start w:val="1"/>
      <w:numFmt w:val="bullet"/>
      <w:lvlText w:val=""/>
      <w:lvlJc w:val="left"/>
      <w:pPr>
        <w:ind w:left="5040" w:hanging="360"/>
      </w:pPr>
      <w:rPr>
        <w:rFonts w:ascii="Symbol" w:hAnsi="Symbol" w:hint="default"/>
      </w:rPr>
    </w:lvl>
    <w:lvl w:ilvl="7" w:tplc="9DA08098">
      <w:start w:val="1"/>
      <w:numFmt w:val="bullet"/>
      <w:lvlText w:val="o"/>
      <w:lvlJc w:val="left"/>
      <w:pPr>
        <w:ind w:left="5760" w:hanging="360"/>
      </w:pPr>
      <w:rPr>
        <w:rFonts w:ascii="Courier New" w:hAnsi="Courier New" w:hint="default"/>
      </w:rPr>
    </w:lvl>
    <w:lvl w:ilvl="8" w:tplc="E580EFE4">
      <w:start w:val="1"/>
      <w:numFmt w:val="bullet"/>
      <w:lvlText w:val=""/>
      <w:lvlJc w:val="left"/>
      <w:pPr>
        <w:ind w:left="6480" w:hanging="360"/>
      </w:pPr>
      <w:rPr>
        <w:rFonts w:ascii="Wingdings" w:hAnsi="Wingdings" w:hint="default"/>
      </w:rPr>
    </w:lvl>
  </w:abstractNum>
  <w:abstractNum w:abstractNumId="53" w15:restartNumberingAfterBreak="0">
    <w:nsid w:val="59F5C4AD"/>
    <w:multiLevelType w:val="hybridMultilevel"/>
    <w:tmpl w:val="D64EFDA0"/>
    <w:lvl w:ilvl="0" w:tplc="AC687EB0">
      <w:start w:val="1"/>
      <w:numFmt w:val="bullet"/>
      <w:lvlText w:val=""/>
      <w:lvlJc w:val="left"/>
      <w:pPr>
        <w:ind w:left="720" w:hanging="360"/>
      </w:pPr>
      <w:rPr>
        <w:rFonts w:ascii="Wingdings,Sans-Serif" w:hAnsi="Wingdings,Sans-Serif" w:hint="default"/>
      </w:rPr>
    </w:lvl>
    <w:lvl w:ilvl="1" w:tplc="9D961BE0">
      <w:start w:val="1"/>
      <w:numFmt w:val="bullet"/>
      <w:lvlText w:val="o"/>
      <w:lvlJc w:val="left"/>
      <w:pPr>
        <w:ind w:left="1440" w:hanging="360"/>
      </w:pPr>
      <w:rPr>
        <w:rFonts w:ascii="Courier New" w:hAnsi="Courier New" w:hint="default"/>
      </w:rPr>
    </w:lvl>
    <w:lvl w:ilvl="2" w:tplc="DD861988">
      <w:start w:val="1"/>
      <w:numFmt w:val="bullet"/>
      <w:lvlText w:val=""/>
      <w:lvlJc w:val="left"/>
      <w:pPr>
        <w:ind w:left="2160" w:hanging="360"/>
      </w:pPr>
      <w:rPr>
        <w:rFonts w:ascii="Wingdings" w:hAnsi="Wingdings" w:hint="default"/>
      </w:rPr>
    </w:lvl>
    <w:lvl w:ilvl="3" w:tplc="E8280176">
      <w:start w:val="1"/>
      <w:numFmt w:val="bullet"/>
      <w:lvlText w:val=""/>
      <w:lvlJc w:val="left"/>
      <w:pPr>
        <w:ind w:left="2880" w:hanging="360"/>
      </w:pPr>
      <w:rPr>
        <w:rFonts w:ascii="Symbol" w:hAnsi="Symbol" w:hint="default"/>
      </w:rPr>
    </w:lvl>
    <w:lvl w:ilvl="4" w:tplc="73E0C780">
      <w:start w:val="1"/>
      <w:numFmt w:val="bullet"/>
      <w:lvlText w:val="o"/>
      <w:lvlJc w:val="left"/>
      <w:pPr>
        <w:ind w:left="3600" w:hanging="360"/>
      </w:pPr>
      <w:rPr>
        <w:rFonts w:ascii="Courier New" w:hAnsi="Courier New" w:hint="default"/>
      </w:rPr>
    </w:lvl>
    <w:lvl w:ilvl="5" w:tplc="09822D96">
      <w:start w:val="1"/>
      <w:numFmt w:val="bullet"/>
      <w:lvlText w:val=""/>
      <w:lvlJc w:val="left"/>
      <w:pPr>
        <w:ind w:left="4320" w:hanging="360"/>
      </w:pPr>
      <w:rPr>
        <w:rFonts w:ascii="Wingdings" w:hAnsi="Wingdings" w:hint="default"/>
      </w:rPr>
    </w:lvl>
    <w:lvl w:ilvl="6" w:tplc="426A4226">
      <w:start w:val="1"/>
      <w:numFmt w:val="bullet"/>
      <w:lvlText w:val=""/>
      <w:lvlJc w:val="left"/>
      <w:pPr>
        <w:ind w:left="5040" w:hanging="360"/>
      </w:pPr>
      <w:rPr>
        <w:rFonts w:ascii="Symbol" w:hAnsi="Symbol" w:hint="default"/>
      </w:rPr>
    </w:lvl>
    <w:lvl w:ilvl="7" w:tplc="4224CFFA">
      <w:start w:val="1"/>
      <w:numFmt w:val="bullet"/>
      <w:lvlText w:val="o"/>
      <w:lvlJc w:val="left"/>
      <w:pPr>
        <w:ind w:left="5760" w:hanging="360"/>
      </w:pPr>
      <w:rPr>
        <w:rFonts w:ascii="Courier New" w:hAnsi="Courier New" w:hint="default"/>
      </w:rPr>
    </w:lvl>
    <w:lvl w:ilvl="8" w:tplc="34AE5C86">
      <w:start w:val="1"/>
      <w:numFmt w:val="bullet"/>
      <w:lvlText w:val=""/>
      <w:lvlJc w:val="left"/>
      <w:pPr>
        <w:ind w:left="6480" w:hanging="360"/>
      </w:pPr>
      <w:rPr>
        <w:rFonts w:ascii="Wingdings" w:hAnsi="Wingdings" w:hint="default"/>
      </w:rPr>
    </w:lvl>
  </w:abstractNum>
  <w:abstractNum w:abstractNumId="54" w15:restartNumberingAfterBreak="0">
    <w:nsid w:val="5AD0038E"/>
    <w:multiLevelType w:val="hybridMultilevel"/>
    <w:tmpl w:val="FFFFFFFF"/>
    <w:lvl w:ilvl="0" w:tplc="2A2411A2">
      <w:start w:val="1"/>
      <w:numFmt w:val="bullet"/>
      <w:lvlText w:val=""/>
      <w:lvlJc w:val="left"/>
      <w:pPr>
        <w:ind w:left="720" w:hanging="360"/>
      </w:pPr>
      <w:rPr>
        <w:rFonts w:ascii="Symbol" w:hAnsi="Symbol" w:hint="default"/>
      </w:rPr>
    </w:lvl>
    <w:lvl w:ilvl="1" w:tplc="DEF04D22">
      <w:start w:val="1"/>
      <w:numFmt w:val="bullet"/>
      <w:lvlText w:val="o"/>
      <w:lvlJc w:val="left"/>
      <w:pPr>
        <w:ind w:left="1440" w:hanging="360"/>
      </w:pPr>
      <w:rPr>
        <w:rFonts w:ascii="Courier New" w:hAnsi="Courier New" w:hint="default"/>
      </w:rPr>
    </w:lvl>
    <w:lvl w:ilvl="2" w:tplc="AAECA2BE">
      <w:start w:val="1"/>
      <w:numFmt w:val="bullet"/>
      <w:lvlText w:val=""/>
      <w:lvlJc w:val="left"/>
      <w:pPr>
        <w:ind w:left="2160" w:hanging="360"/>
      </w:pPr>
      <w:rPr>
        <w:rFonts w:ascii="Wingdings" w:hAnsi="Wingdings" w:hint="default"/>
      </w:rPr>
    </w:lvl>
    <w:lvl w:ilvl="3" w:tplc="E9D05C30">
      <w:start w:val="1"/>
      <w:numFmt w:val="bullet"/>
      <w:lvlText w:val=""/>
      <w:lvlJc w:val="left"/>
      <w:pPr>
        <w:ind w:left="2880" w:hanging="360"/>
      </w:pPr>
      <w:rPr>
        <w:rFonts w:ascii="Symbol" w:hAnsi="Symbol" w:hint="default"/>
      </w:rPr>
    </w:lvl>
    <w:lvl w:ilvl="4" w:tplc="3508FC70">
      <w:start w:val="1"/>
      <w:numFmt w:val="bullet"/>
      <w:lvlText w:val="o"/>
      <w:lvlJc w:val="left"/>
      <w:pPr>
        <w:ind w:left="3600" w:hanging="360"/>
      </w:pPr>
      <w:rPr>
        <w:rFonts w:ascii="Courier New" w:hAnsi="Courier New" w:hint="default"/>
      </w:rPr>
    </w:lvl>
    <w:lvl w:ilvl="5" w:tplc="DC542616">
      <w:start w:val="1"/>
      <w:numFmt w:val="bullet"/>
      <w:lvlText w:val=""/>
      <w:lvlJc w:val="left"/>
      <w:pPr>
        <w:ind w:left="4320" w:hanging="360"/>
      </w:pPr>
      <w:rPr>
        <w:rFonts w:ascii="Wingdings" w:hAnsi="Wingdings" w:hint="default"/>
      </w:rPr>
    </w:lvl>
    <w:lvl w:ilvl="6" w:tplc="84D43E2A">
      <w:start w:val="1"/>
      <w:numFmt w:val="bullet"/>
      <w:lvlText w:val=""/>
      <w:lvlJc w:val="left"/>
      <w:pPr>
        <w:ind w:left="5040" w:hanging="360"/>
      </w:pPr>
      <w:rPr>
        <w:rFonts w:ascii="Symbol" w:hAnsi="Symbol" w:hint="default"/>
      </w:rPr>
    </w:lvl>
    <w:lvl w:ilvl="7" w:tplc="5CFED430">
      <w:start w:val="1"/>
      <w:numFmt w:val="bullet"/>
      <w:lvlText w:val="o"/>
      <w:lvlJc w:val="left"/>
      <w:pPr>
        <w:ind w:left="5760" w:hanging="360"/>
      </w:pPr>
      <w:rPr>
        <w:rFonts w:ascii="Courier New" w:hAnsi="Courier New" w:hint="default"/>
      </w:rPr>
    </w:lvl>
    <w:lvl w:ilvl="8" w:tplc="EF4A9FD0">
      <w:start w:val="1"/>
      <w:numFmt w:val="bullet"/>
      <w:lvlText w:val=""/>
      <w:lvlJc w:val="left"/>
      <w:pPr>
        <w:ind w:left="6480" w:hanging="360"/>
      </w:pPr>
      <w:rPr>
        <w:rFonts w:ascii="Wingdings" w:hAnsi="Wingdings" w:hint="default"/>
      </w:rPr>
    </w:lvl>
  </w:abstractNum>
  <w:abstractNum w:abstractNumId="55" w15:restartNumberingAfterBreak="0">
    <w:nsid w:val="5C45072F"/>
    <w:multiLevelType w:val="hybridMultilevel"/>
    <w:tmpl w:val="68224CCE"/>
    <w:lvl w:ilvl="0" w:tplc="02D043AE">
      <w:start w:val="1"/>
      <w:numFmt w:val="bullet"/>
      <w:lvlText w:val=""/>
      <w:lvlJc w:val="left"/>
      <w:pPr>
        <w:ind w:left="720" w:hanging="360"/>
      </w:pPr>
      <w:rPr>
        <w:rFonts w:ascii="Wingdings,Sans-Serif" w:hAnsi="Wingdings,Sans-Serif" w:hint="default"/>
      </w:rPr>
    </w:lvl>
    <w:lvl w:ilvl="1" w:tplc="BF829012">
      <w:start w:val="1"/>
      <w:numFmt w:val="bullet"/>
      <w:lvlText w:val="o"/>
      <w:lvlJc w:val="left"/>
      <w:pPr>
        <w:ind w:left="1440" w:hanging="360"/>
      </w:pPr>
      <w:rPr>
        <w:rFonts w:ascii="Courier New" w:hAnsi="Courier New" w:hint="default"/>
      </w:rPr>
    </w:lvl>
    <w:lvl w:ilvl="2" w:tplc="79D45CFE">
      <w:start w:val="1"/>
      <w:numFmt w:val="bullet"/>
      <w:lvlText w:val=""/>
      <w:lvlJc w:val="left"/>
      <w:pPr>
        <w:ind w:left="2160" w:hanging="360"/>
      </w:pPr>
      <w:rPr>
        <w:rFonts w:ascii="Wingdings" w:hAnsi="Wingdings" w:hint="default"/>
      </w:rPr>
    </w:lvl>
    <w:lvl w:ilvl="3" w:tplc="DF265526">
      <w:start w:val="1"/>
      <w:numFmt w:val="bullet"/>
      <w:lvlText w:val=""/>
      <w:lvlJc w:val="left"/>
      <w:pPr>
        <w:ind w:left="2880" w:hanging="360"/>
      </w:pPr>
      <w:rPr>
        <w:rFonts w:ascii="Symbol" w:hAnsi="Symbol" w:hint="default"/>
      </w:rPr>
    </w:lvl>
    <w:lvl w:ilvl="4" w:tplc="E9061428">
      <w:start w:val="1"/>
      <w:numFmt w:val="bullet"/>
      <w:lvlText w:val="o"/>
      <w:lvlJc w:val="left"/>
      <w:pPr>
        <w:ind w:left="3600" w:hanging="360"/>
      </w:pPr>
      <w:rPr>
        <w:rFonts w:ascii="Courier New" w:hAnsi="Courier New" w:hint="default"/>
      </w:rPr>
    </w:lvl>
    <w:lvl w:ilvl="5" w:tplc="ACEEB8E6">
      <w:start w:val="1"/>
      <w:numFmt w:val="bullet"/>
      <w:lvlText w:val=""/>
      <w:lvlJc w:val="left"/>
      <w:pPr>
        <w:ind w:left="4320" w:hanging="360"/>
      </w:pPr>
      <w:rPr>
        <w:rFonts w:ascii="Wingdings" w:hAnsi="Wingdings" w:hint="default"/>
      </w:rPr>
    </w:lvl>
    <w:lvl w:ilvl="6" w:tplc="BD1ECD5A">
      <w:start w:val="1"/>
      <w:numFmt w:val="bullet"/>
      <w:lvlText w:val=""/>
      <w:lvlJc w:val="left"/>
      <w:pPr>
        <w:ind w:left="5040" w:hanging="360"/>
      </w:pPr>
      <w:rPr>
        <w:rFonts w:ascii="Symbol" w:hAnsi="Symbol" w:hint="default"/>
      </w:rPr>
    </w:lvl>
    <w:lvl w:ilvl="7" w:tplc="79D41FC6">
      <w:start w:val="1"/>
      <w:numFmt w:val="bullet"/>
      <w:lvlText w:val="o"/>
      <w:lvlJc w:val="left"/>
      <w:pPr>
        <w:ind w:left="5760" w:hanging="360"/>
      </w:pPr>
      <w:rPr>
        <w:rFonts w:ascii="Courier New" w:hAnsi="Courier New" w:hint="default"/>
      </w:rPr>
    </w:lvl>
    <w:lvl w:ilvl="8" w:tplc="625E2298">
      <w:start w:val="1"/>
      <w:numFmt w:val="bullet"/>
      <w:lvlText w:val=""/>
      <w:lvlJc w:val="left"/>
      <w:pPr>
        <w:ind w:left="6480" w:hanging="360"/>
      </w:pPr>
      <w:rPr>
        <w:rFonts w:ascii="Wingdings" w:hAnsi="Wingdings" w:hint="default"/>
      </w:rPr>
    </w:lvl>
  </w:abstractNum>
  <w:abstractNum w:abstractNumId="56" w15:restartNumberingAfterBreak="0">
    <w:nsid w:val="5CCAF446"/>
    <w:multiLevelType w:val="hybridMultilevel"/>
    <w:tmpl w:val="AD22A0CC"/>
    <w:lvl w:ilvl="0" w:tplc="3A60F62C">
      <w:start w:val="1"/>
      <w:numFmt w:val="bullet"/>
      <w:lvlText w:val=""/>
      <w:lvlJc w:val="left"/>
      <w:pPr>
        <w:ind w:left="720" w:hanging="360"/>
      </w:pPr>
      <w:rPr>
        <w:rFonts w:ascii="Wingdings,Sans-Serif" w:hAnsi="Wingdings,Sans-Serif" w:hint="default"/>
      </w:rPr>
    </w:lvl>
    <w:lvl w:ilvl="1" w:tplc="82A8F066">
      <w:start w:val="1"/>
      <w:numFmt w:val="bullet"/>
      <w:lvlText w:val="o"/>
      <w:lvlJc w:val="left"/>
      <w:pPr>
        <w:ind w:left="1440" w:hanging="360"/>
      </w:pPr>
      <w:rPr>
        <w:rFonts w:ascii="Courier New" w:hAnsi="Courier New" w:hint="default"/>
      </w:rPr>
    </w:lvl>
    <w:lvl w:ilvl="2" w:tplc="0DF84512">
      <w:start w:val="1"/>
      <w:numFmt w:val="bullet"/>
      <w:lvlText w:val=""/>
      <w:lvlJc w:val="left"/>
      <w:pPr>
        <w:ind w:left="2160" w:hanging="360"/>
      </w:pPr>
      <w:rPr>
        <w:rFonts w:ascii="Wingdings" w:hAnsi="Wingdings" w:hint="default"/>
      </w:rPr>
    </w:lvl>
    <w:lvl w:ilvl="3" w:tplc="1252261E">
      <w:start w:val="1"/>
      <w:numFmt w:val="bullet"/>
      <w:lvlText w:val=""/>
      <w:lvlJc w:val="left"/>
      <w:pPr>
        <w:ind w:left="2880" w:hanging="360"/>
      </w:pPr>
      <w:rPr>
        <w:rFonts w:ascii="Symbol" w:hAnsi="Symbol" w:hint="default"/>
      </w:rPr>
    </w:lvl>
    <w:lvl w:ilvl="4" w:tplc="B770F94A">
      <w:start w:val="1"/>
      <w:numFmt w:val="bullet"/>
      <w:lvlText w:val="o"/>
      <w:lvlJc w:val="left"/>
      <w:pPr>
        <w:ind w:left="3600" w:hanging="360"/>
      </w:pPr>
      <w:rPr>
        <w:rFonts w:ascii="Courier New" w:hAnsi="Courier New" w:hint="default"/>
      </w:rPr>
    </w:lvl>
    <w:lvl w:ilvl="5" w:tplc="47666664">
      <w:start w:val="1"/>
      <w:numFmt w:val="bullet"/>
      <w:lvlText w:val=""/>
      <w:lvlJc w:val="left"/>
      <w:pPr>
        <w:ind w:left="4320" w:hanging="360"/>
      </w:pPr>
      <w:rPr>
        <w:rFonts w:ascii="Wingdings" w:hAnsi="Wingdings" w:hint="default"/>
      </w:rPr>
    </w:lvl>
    <w:lvl w:ilvl="6" w:tplc="7C5C5996">
      <w:start w:val="1"/>
      <w:numFmt w:val="bullet"/>
      <w:lvlText w:val=""/>
      <w:lvlJc w:val="left"/>
      <w:pPr>
        <w:ind w:left="5040" w:hanging="360"/>
      </w:pPr>
      <w:rPr>
        <w:rFonts w:ascii="Symbol" w:hAnsi="Symbol" w:hint="default"/>
      </w:rPr>
    </w:lvl>
    <w:lvl w:ilvl="7" w:tplc="48766A0E">
      <w:start w:val="1"/>
      <w:numFmt w:val="bullet"/>
      <w:lvlText w:val="o"/>
      <w:lvlJc w:val="left"/>
      <w:pPr>
        <w:ind w:left="5760" w:hanging="360"/>
      </w:pPr>
      <w:rPr>
        <w:rFonts w:ascii="Courier New" w:hAnsi="Courier New" w:hint="default"/>
      </w:rPr>
    </w:lvl>
    <w:lvl w:ilvl="8" w:tplc="FF340B0E">
      <w:start w:val="1"/>
      <w:numFmt w:val="bullet"/>
      <w:lvlText w:val=""/>
      <w:lvlJc w:val="left"/>
      <w:pPr>
        <w:ind w:left="6480" w:hanging="360"/>
      </w:pPr>
      <w:rPr>
        <w:rFonts w:ascii="Wingdings" w:hAnsi="Wingdings" w:hint="default"/>
      </w:rPr>
    </w:lvl>
  </w:abstractNum>
  <w:abstractNum w:abstractNumId="57" w15:restartNumberingAfterBreak="0">
    <w:nsid w:val="61EF524C"/>
    <w:multiLevelType w:val="hybridMultilevel"/>
    <w:tmpl w:val="2B7A2F82"/>
    <w:lvl w:ilvl="0" w:tplc="F4888FD6">
      <w:start w:val="1"/>
      <w:numFmt w:val="decimal"/>
      <w:lvlText w:val="%1."/>
      <w:lvlJc w:val="left"/>
      <w:pPr>
        <w:ind w:left="720" w:hanging="360"/>
      </w:pPr>
    </w:lvl>
    <w:lvl w:ilvl="1" w:tplc="96E09DA6">
      <w:start w:val="1"/>
      <w:numFmt w:val="lowerLetter"/>
      <w:lvlText w:val="%2."/>
      <w:lvlJc w:val="left"/>
      <w:pPr>
        <w:ind w:left="1440" w:hanging="360"/>
      </w:pPr>
    </w:lvl>
    <w:lvl w:ilvl="2" w:tplc="64CC49C2">
      <w:start w:val="1"/>
      <w:numFmt w:val="lowerRoman"/>
      <w:lvlText w:val="%3."/>
      <w:lvlJc w:val="right"/>
      <w:pPr>
        <w:ind w:left="2160" w:hanging="180"/>
      </w:pPr>
    </w:lvl>
    <w:lvl w:ilvl="3" w:tplc="F79A50FA">
      <w:start w:val="1"/>
      <w:numFmt w:val="decimal"/>
      <w:lvlText w:val="%4."/>
      <w:lvlJc w:val="left"/>
      <w:pPr>
        <w:ind w:left="2880" w:hanging="360"/>
      </w:pPr>
    </w:lvl>
    <w:lvl w:ilvl="4" w:tplc="F870AC76">
      <w:start w:val="1"/>
      <w:numFmt w:val="lowerLetter"/>
      <w:lvlText w:val="%5."/>
      <w:lvlJc w:val="left"/>
      <w:pPr>
        <w:ind w:left="3600" w:hanging="360"/>
      </w:pPr>
    </w:lvl>
    <w:lvl w:ilvl="5" w:tplc="B664AC5E">
      <w:start w:val="1"/>
      <w:numFmt w:val="lowerRoman"/>
      <w:lvlText w:val="%6."/>
      <w:lvlJc w:val="right"/>
      <w:pPr>
        <w:ind w:left="4320" w:hanging="180"/>
      </w:pPr>
    </w:lvl>
    <w:lvl w:ilvl="6" w:tplc="3C3A08CA">
      <w:start w:val="1"/>
      <w:numFmt w:val="decimal"/>
      <w:lvlText w:val="%7."/>
      <w:lvlJc w:val="left"/>
      <w:pPr>
        <w:ind w:left="5040" w:hanging="360"/>
      </w:pPr>
    </w:lvl>
    <w:lvl w:ilvl="7" w:tplc="6646FA7A">
      <w:start w:val="1"/>
      <w:numFmt w:val="lowerLetter"/>
      <w:lvlText w:val="%8."/>
      <w:lvlJc w:val="left"/>
      <w:pPr>
        <w:ind w:left="5760" w:hanging="360"/>
      </w:pPr>
    </w:lvl>
    <w:lvl w:ilvl="8" w:tplc="CF1CF046">
      <w:start w:val="1"/>
      <w:numFmt w:val="lowerRoman"/>
      <w:lvlText w:val="%9."/>
      <w:lvlJc w:val="right"/>
      <w:pPr>
        <w:ind w:left="6480" w:hanging="180"/>
      </w:pPr>
    </w:lvl>
  </w:abstractNum>
  <w:abstractNum w:abstractNumId="58" w15:restartNumberingAfterBreak="0">
    <w:nsid w:val="62308CE3"/>
    <w:multiLevelType w:val="hybridMultilevel"/>
    <w:tmpl w:val="4706399C"/>
    <w:lvl w:ilvl="0" w:tplc="628029CA">
      <w:start w:val="1"/>
      <w:numFmt w:val="bullet"/>
      <w:lvlText w:val=""/>
      <w:lvlJc w:val="left"/>
      <w:pPr>
        <w:ind w:left="720" w:hanging="360"/>
      </w:pPr>
      <w:rPr>
        <w:rFonts w:ascii="Wingdings,Sans-Serif" w:hAnsi="Wingdings,Sans-Serif" w:hint="default"/>
      </w:rPr>
    </w:lvl>
    <w:lvl w:ilvl="1" w:tplc="7B04EEDA">
      <w:start w:val="1"/>
      <w:numFmt w:val="bullet"/>
      <w:lvlText w:val="o"/>
      <w:lvlJc w:val="left"/>
      <w:pPr>
        <w:ind w:left="1440" w:hanging="360"/>
      </w:pPr>
      <w:rPr>
        <w:rFonts w:ascii="Courier New" w:hAnsi="Courier New" w:hint="default"/>
      </w:rPr>
    </w:lvl>
    <w:lvl w:ilvl="2" w:tplc="A2982124">
      <w:start w:val="1"/>
      <w:numFmt w:val="bullet"/>
      <w:lvlText w:val=""/>
      <w:lvlJc w:val="left"/>
      <w:pPr>
        <w:ind w:left="2160" w:hanging="360"/>
      </w:pPr>
      <w:rPr>
        <w:rFonts w:ascii="Wingdings" w:hAnsi="Wingdings" w:hint="default"/>
      </w:rPr>
    </w:lvl>
    <w:lvl w:ilvl="3" w:tplc="DFE602B8">
      <w:start w:val="1"/>
      <w:numFmt w:val="bullet"/>
      <w:lvlText w:val=""/>
      <w:lvlJc w:val="left"/>
      <w:pPr>
        <w:ind w:left="2880" w:hanging="360"/>
      </w:pPr>
      <w:rPr>
        <w:rFonts w:ascii="Symbol" w:hAnsi="Symbol" w:hint="default"/>
      </w:rPr>
    </w:lvl>
    <w:lvl w:ilvl="4" w:tplc="BCD83D14">
      <w:start w:val="1"/>
      <w:numFmt w:val="bullet"/>
      <w:lvlText w:val="o"/>
      <w:lvlJc w:val="left"/>
      <w:pPr>
        <w:ind w:left="3600" w:hanging="360"/>
      </w:pPr>
      <w:rPr>
        <w:rFonts w:ascii="Courier New" w:hAnsi="Courier New" w:hint="default"/>
      </w:rPr>
    </w:lvl>
    <w:lvl w:ilvl="5" w:tplc="7F64B78E">
      <w:start w:val="1"/>
      <w:numFmt w:val="bullet"/>
      <w:lvlText w:val=""/>
      <w:lvlJc w:val="left"/>
      <w:pPr>
        <w:ind w:left="4320" w:hanging="360"/>
      </w:pPr>
      <w:rPr>
        <w:rFonts w:ascii="Wingdings" w:hAnsi="Wingdings" w:hint="default"/>
      </w:rPr>
    </w:lvl>
    <w:lvl w:ilvl="6" w:tplc="6BA03796">
      <w:start w:val="1"/>
      <w:numFmt w:val="bullet"/>
      <w:lvlText w:val=""/>
      <w:lvlJc w:val="left"/>
      <w:pPr>
        <w:ind w:left="5040" w:hanging="360"/>
      </w:pPr>
      <w:rPr>
        <w:rFonts w:ascii="Symbol" w:hAnsi="Symbol" w:hint="default"/>
      </w:rPr>
    </w:lvl>
    <w:lvl w:ilvl="7" w:tplc="D0F00C60">
      <w:start w:val="1"/>
      <w:numFmt w:val="bullet"/>
      <w:lvlText w:val="o"/>
      <w:lvlJc w:val="left"/>
      <w:pPr>
        <w:ind w:left="5760" w:hanging="360"/>
      </w:pPr>
      <w:rPr>
        <w:rFonts w:ascii="Courier New" w:hAnsi="Courier New" w:hint="default"/>
      </w:rPr>
    </w:lvl>
    <w:lvl w:ilvl="8" w:tplc="3DF0B3F2">
      <w:start w:val="1"/>
      <w:numFmt w:val="bullet"/>
      <w:lvlText w:val=""/>
      <w:lvlJc w:val="left"/>
      <w:pPr>
        <w:ind w:left="6480" w:hanging="360"/>
      </w:pPr>
      <w:rPr>
        <w:rFonts w:ascii="Wingdings" w:hAnsi="Wingdings" w:hint="default"/>
      </w:rPr>
    </w:lvl>
  </w:abstractNum>
  <w:abstractNum w:abstractNumId="59" w15:restartNumberingAfterBreak="0">
    <w:nsid w:val="66B91543"/>
    <w:multiLevelType w:val="multilevel"/>
    <w:tmpl w:val="A69E9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7296991"/>
    <w:multiLevelType w:val="hybridMultilevel"/>
    <w:tmpl w:val="B5BA4DE8"/>
    <w:lvl w:ilvl="0" w:tplc="18DC3310">
      <w:start w:val="1"/>
      <w:numFmt w:val="bullet"/>
      <w:lvlText w:val=""/>
      <w:lvlJc w:val="left"/>
      <w:pPr>
        <w:ind w:left="720" w:hanging="360"/>
      </w:pPr>
      <w:rPr>
        <w:rFonts w:ascii="Wingdings,Sans-Serif" w:hAnsi="Wingdings,Sans-Serif" w:hint="default"/>
      </w:rPr>
    </w:lvl>
    <w:lvl w:ilvl="1" w:tplc="5EC422FE">
      <w:start w:val="1"/>
      <w:numFmt w:val="bullet"/>
      <w:lvlText w:val="o"/>
      <w:lvlJc w:val="left"/>
      <w:pPr>
        <w:ind w:left="1440" w:hanging="360"/>
      </w:pPr>
      <w:rPr>
        <w:rFonts w:ascii="Courier New" w:hAnsi="Courier New" w:hint="default"/>
      </w:rPr>
    </w:lvl>
    <w:lvl w:ilvl="2" w:tplc="D48EC70C">
      <w:start w:val="1"/>
      <w:numFmt w:val="bullet"/>
      <w:lvlText w:val=""/>
      <w:lvlJc w:val="left"/>
      <w:pPr>
        <w:ind w:left="2160" w:hanging="360"/>
      </w:pPr>
      <w:rPr>
        <w:rFonts w:ascii="Wingdings" w:hAnsi="Wingdings" w:hint="default"/>
      </w:rPr>
    </w:lvl>
    <w:lvl w:ilvl="3" w:tplc="A42227A0">
      <w:start w:val="1"/>
      <w:numFmt w:val="bullet"/>
      <w:lvlText w:val=""/>
      <w:lvlJc w:val="left"/>
      <w:pPr>
        <w:ind w:left="2880" w:hanging="360"/>
      </w:pPr>
      <w:rPr>
        <w:rFonts w:ascii="Symbol" w:hAnsi="Symbol" w:hint="default"/>
      </w:rPr>
    </w:lvl>
    <w:lvl w:ilvl="4" w:tplc="8A6251B2">
      <w:start w:val="1"/>
      <w:numFmt w:val="bullet"/>
      <w:lvlText w:val="o"/>
      <w:lvlJc w:val="left"/>
      <w:pPr>
        <w:ind w:left="3600" w:hanging="360"/>
      </w:pPr>
      <w:rPr>
        <w:rFonts w:ascii="Courier New" w:hAnsi="Courier New" w:hint="default"/>
      </w:rPr>
    </w:lvl>
    <w:lvl w:ilvl="5" w:tplc="69E4E5B4">
      <w:start w:val="1"/>
      <w:numFmt w:val="bullet"/>
      <w:lvlText w:val=""/>
      <w:lvlJc w:val="left"/>
      <w:pPr>
        <w:ind w:left="4320" w:hanging="360"/>
      </w:pPr>
      <w:rPr>
        <w:rFonts w:ascii="Wingdings" w:hAnsi="Wingdings" w:hint="default"/>
      </w:rPr>
    </w:lvl>
    <w:lvl w:ilvl="6" w:tplc="ABAC5A7E">
      <w:start w:val="1"/>
      <w:numFmt w:val="bullet"/>
      <w:lvlText w:val=""/>
      <w:lvlJc w:val="left"/>
      <w:pPr>
        <w:ind w:left="5040" w:hanging="360"/>
      </w:pPr>
      <w:rPr>
        <w:rFonts w:ascii="Symbol" w:hAnsi="Symbol" w:hint="default"/>
      </w:rPr>
    </w:lvl>
    <w:lvl w:ilvl="7" w:tplc="12605DDC">
      <w:start w:val="1"/>
      <w:numFmt w:val="bullet"/>
      <w:lvlText w:val="o"/>
      <w:lvlJc w:val="left"/>
      <w:pPr>
        <w:ind w:left="5760" w:hanging="360"/>
      </w:pPr>
      <w:rPr>
        <w:rFonts w:ascii="Courier New" w:hAnsi="Courier New" w:hint="default"/>
      </w:rPr>
    </w:lvl>
    <w:lvl w:ilvl="8" w:tplc="514A0720">
      <w:start w:val="1"/>
      <w:numFmt w:val="bullet"/>
      <w:lvlText w:val=""/>
      <w:lvlJc w:val="left"/>
      <w:pPr>
        <w:ind w:left="6480" w:hanging="360"/>
      </w:pPr>
      <w:rPr>
        <w:rFonts w:ascii="Wingdings" w:hAnsi="Wingdings" w:hint="default"/>
      </w:rPr>
    </w:lvl>
  </w:abstractNum>
  <w:abstractNum w:abstractNumId="61" w15:restartNumberingAfterBreak="0">
    <w:nsid w:val="674BED31"/>
    <w:multiLevelType w:val="hybridMultilevel"/>
    <w:tmpl w:val="EEFCFD74"/>
    <w:lvl w:ilvl="0" w:tplc="F1DE90F4">
      <w:start w:val="1"/>
      <w:numFmt w:val="bullet"/>
      <w:lvlText w:val=""/>
      <w:lvlJc w:val="left"/>
      <w:pPr>
        <w:ind w:left="720" w:hanging="360"/>
      </w:pPr>
      <w:rPr>
        <w:rFonts w:ascii="Wingdings,Sans-Serif" w:hAnsi="Wingdings,Sans-Serif" w:hint="default"/>
      </w:rPr>
    </w:lvl>
    <w:lvl w:ilvl="1" w:tplc="7CA2BA26">
      <w:start w:val="1"/>
      <w:numFmt w:val="bullet"/>
      <w:lvlText w:val="o"/>
      <w:lvlJc w:val="left"/>
      <w:pPr>
        <w:ind w:left="1440" w:hanging="360"/>
      </w:pPr>
      <w:rPr>
        <w:rFonts w:ascii="Courier New" w:hAnsi="Courier New" w:hint="default"/>
      </w:rPr>
    </w:lvl>
    <w:lvl w:ilvl="2" w:tplc="B936CD38">
      <w:start w:val="1"/>
      <w:numFmt w:val="bullet"/>
      <w:lvlText w:val=""/>
      <w:lvlJc w:val="left"/>
      <w:pPr>
        <w:ind w:left="2160" w:hanging="360"/>
      </w:pPr>
      <w:rPr>
        <w:rFonts w:ascii="Wingdings" w:hAnsi="Wingdings" w:hint="default"/>
      </w:rPr>
    </w:lvl>
    <w:lvl w:ilvl="3" w:tplc="959E3B98">
      <w:start w:val="1"/>
      <w:numFmt w:val="bullet"/>
      <w:lvlText w:val=""/>
      <w:lvlJc w:val="left"/>
      <w:pPr>
        <w:ind w:left="2880" w:hanging="360"/>
      </w:pPr>
      <w:rPr>
        <w:rFonts w:ascii="Symbol" w:hAnsi="Symbol" w:hint="default"/>
      </w:rPr>
    </w:lvl>
    <w:lvl w:ilvl="4" w:tplc="BFE654D6">
      <w:start w:val="1"/>
      <w:numFmt w:val="bullet"/>
      <w:lvlText w:val="o"/>
      <w:lvlJc w:val="left"/>
      <w:pPr>
        <w:ind w:left="3600" w:hanging="360"/>
      </w:pPr>
      <w:rPr>
        <w:rFonts w:ascii="Courier New" w:hAnsi="Courier New" w:hint="default"/>
      </w:rPr>
    </w:lvl>
    <w:lvl w:ilvl="5" w:tplc="E91465EA">
      <w:start w:val="1"/>
      <w:numFmt w:val="bullet"/>
      <w:lvlText w:val=""/>
      <w:lvlJc w:val="left"/>
      <w:pPr>
        <w:ind w:left="4320" w:hanging="360"/>
      </w:pPr>
      <w:rPr>
        <w:rFonts w:ascii="Wingdings" w:hAnsi="Wingdings" w:hint="default"/>
      </w:rPr>
    </w:lvl>
    <w:lvl w:ilvl="6" w:tplc="223EF288">
      <w:start w:val="1"/>
      <w:numFmt w:val="bullet"/>
      <w:lvlText w:val=""/>
      <w:lvlJc w:val="left"/>
      <w:pPr>
        <w:ind w:left="5040" w:hanging="360"/>
      </w:pPr>
      <w:rPr>
        <w:rFonts w:ascii="Symbol" w:hAnsi="Symbol" w:hint="default"/>
      </w:rPr>
    </w:lvl>
    <w:lvl w:ilvl="7" w:tplc="E3E0899A">
      <w:start w:val="1"/>
      <w:numFmt w:val="bullet"/>
      <w:lvlText w:val="o"/>
      <w:lvlJc w:val="left"/>
      <w:pPr>
        <w:ind w:left="5760" w:hanging="360"/>
      </w:pPr>
      <w:rPr>
        <w:rFonts w:ascii="Courier New" w:hAnsi="Courier New" w:hint="default"/>
      </w:rPr>
    </w:lvl>
    <w:lvl w:ilvl="8" w:tplc="6880871C">
      <w:start w:val="1"/>
      <w:numFmt w:val="bullet"/>
      <w:lvlText w:val=""/>
      <w:lvlJc w:val="left"/>
      <w:pPr>
        <w:ind w:left="6480" w:hanging="360"/>
      </w:pPr>
      <w:rPr>
        <w:rFonts w:ascii="Wingdings" w:hAnsi="Wingdings" w:hint="default"/>
      </w:rPr>
    </w:lvl>
  </w:abstractNum>
  <w:abstractNum w:abstractNumId="62" w15:restartNumberingAfterBreak="0">
    <w:nsid w:val="68F0B0A5"/>
    <w:multiLevelType w:val="hybridMultilevel"/>
    <w:tmpl w:val="9948DA10"/>
    <w:lvl w:ilvl="0" w:tplc="53045896">
      <w:start w:val="1"/>
      <w:numFmt w:val="bullet"/>
      <w:lvlText w:val=""/>
      <w:lvlJc w:val="left"/>
      <w:pPr>
        <w:ind w:left="720" w:hanging="360"/>
      </w:pPr>
      <w:rPr>
        <w:rFonts w:ascii="Wingdings,Sans-Serif" w:hAnsi="Wingdings,Sans-Serif" w:hint="default"/>
      </w:rPr>
    </w:lvl>
    <w:lvl w:ilvl="1" w:tplc="E2324378">
      <w:start w:val="1"/>
      <w:numFmt w:val="bullet"/>
      <w:lvlText w:val="o"/>
      <w:lvlJc w:val="left"/>
      <w:pPr>
        <w:ind w:left="1440" w:hanging="360"/>
      </w:pPr>
      <w:rPr>
        <w:rFonts w:ascii="Courier New" w:hAnsi="Courier New" w:hint="default"/>
      </w:rPr>
    </w:lvl>
    <w:lvl w:ilvl="2" w:tplc="C8F63146">
      <w:start w:val="1"/>
      <w:numFmt w:val="bullet"/>
      <w:lvlText w:val=""/>
      <w:lvlJc w:val="left"/>
      <w:pPr>
        <w:ind w:left="2160" w:hanging="360"/>
      </w:pPr>
      <w:rPr>
        <w:rFonts w:ascii="Wingdings" w:hAnsi="Wingdings" w:hint="default"/>
      </w:rPr>
    </w:lvl>
    <w:lvl w:ilvl="3" w:tplc="DAB02248">
      <w:start w:val="1"/>
      <w:numFmt w:val="bullet"/>
      <w:lvlText w:val=""/>
      <w:lvlJc w:val="left"/>
      <w:pPr>
        <w:ind w:left="2880" w:hanging="360"/>
      </w:pPr>
      <w:rPr>
        <w:rFonts w:ascii="Symbol" w:hAnsi="Symbol" w:hint="default"/>
      </w:rPr>
    </w:lvl>
    <w:lvl w:ilvl="4" w:tplc="880A7C9A">
      <w:start w:val="1"/>
      <w:numFmt w:val="bullet"/>
      <w:lvlText w:val="o"/>
      <w:lvlJc w:val="left"/>
      <w:pPr>
        <w:ind w:left="3600" w:hanging="360"/>
      </w:pPr>
      <w:rPr>
        <w:rFonts w:ascii="Courier New" w:hAnsi="Courier New" w:hint="default"/>
      </w:rPr>
    </w:lvl>
    <w:lvl w:ilvl="5" w:tplc="879E3098">
      <w:start w:val="1"/>
      <w:numFmt w:val="bullet"/>
      <w:lvlText w:val=""/>
      <w:lvlJc w:val="left"/>
      <w:pPr>
        <w:ind w:left="4320" w:hanging="360"/>
      </w:pPr>
      <w:rPr>
        <w:rFonts w:ascii="Wingdings" w:hAnsi="Wingdings" w:hint="default"/>
      </w:rPr>
    </w:lvl>
    <w:lvl w:ilvl="6" w:tplc="B51A25A2">
      <w:start w:val="1"/>
      <w:numFmt w:val="bullet"/>
      <w:lvlText w:val=""/>
      <w:lvlJc w:val="left"/>
      <w:pPr>
        <w:ind w:left="5040" w:hanging="360"/>
      </w:pPr>
      <w:rPr>
        <w:rFonts w:ascii="Symbol" w:hAnsi="Symbol" w:hint="default"/>
      </w:rPr>
    </w:lvl>
    <w:lvl w:ilvl="7" w:tplc="16227E24">
      <w:start w:val="1"/>
      <w:numFmt w:val="bullet"/>
      <w:lvlText w:val="o"/>
      <w:lvlJc w:val="left"/>
      <w:pPr>
        <w:ind w:left="5760" w:hanging="360"/>
      </w:pPr>
      <w:rPr>
        <w:rFonts w:ascii="Courier New" w:hAnsi="Courier New" w:hint="default"/>
      </w:rPr>
    </w:lvl>
    <w:lvl w:ilvl="8" w:tplc="D0804D16">
      <w:start w:val="1"/>
      <w:numFmt w:val="bullet"/>
      <w:lvlText w:val=""/>
      <w:lvlJc w:val="left"/>
      <w:pPr>
        <w:ind w:left="6480" w:hanging="360"/>
      </w:pPr>
      <w:rPr>
        <w:rFonts w:ascii="Wingdings" w:hAnsi="Wingdings" w:hint="default"/>
      </w:rPr>
    </w:lvl>
  </w:abstractNum>
  <w:abstractNum w:abstractNumId="63" w15:restartNumberingAfterBreak="0">
    <w:nsid w:val="69140330"/>
    <w:multiLevelType w:val="hybridMultilevel"/>
    <w:tmpl w:val="03B0D96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4" w15:restartNumberingAfterBreak="0">
    <w:nsid w:val="69D717EB"/>
    <w:multiLevelType w:val="multilevel"/>
    <w:tmpl w:val="ABE4B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AA1183E"/>
    <w:multiLevelType w:val="hybridMultilevel"/>
    <w:tmpl w:val="4172037A"/>
    <w:lvl w:ilvl="0" w:tplc="A2480D2C">
      <w:start w:val="1"/>
      <w:numFmt w:val="bullet"/>
      <w:lvlText w:val=""/>
      <w:lvlJc w:val="left"/>
      <w:pPr>
        <w:ind w:left="720" w:hanging="360"/>
      </w:pPr>
      <w:rPr>
        <w:rFonts w:ascii="Wingdings,Sans-Serif" w:hAnsi="Wingdings,Sans-Serif" w:hint="default"/>
      </w:rPr>
    </w:lvl>
    <w:lvl w:ilvl="1" w:tplc="C89CAB7E">
      <w:start w:val="1"/>
      <w:numFmt w:val="bullet"/>
      <w:lvlText w:val="o"/>
      <w:lvlJc w:val="left"/>
      <w:pPr>
        <w:ind w:left="1440" w:hanging="360"/>
      </w:pPr>
      <w:rPr>
        <w:rFonts w:ascii="Courier New" w:hAnsi="Courier New" w:hint="default"/>
      </w:rPr>
    </w:lvl>
    <w:lvl w:ilvl="2" w:tplc="832830FA">
      <w:start w:val="1"/>
      <w:numFmt w:val="bullet"/>
      <w:lvlText w:val=""/>
      <w:lvlJc w:val="left"/>
      <w:pPr>
        <w:ind w:left="2160" w:hanging="360"/>
      </w:pPr>
      <w:rPr>
        <w:rFonts w:ascii="Wingdings" w:hAnsi="Wingdings" w:hint="default"/>
      </w:rPr>
    </w:lvl>
    <w:lvl w:ilvl="3" w:tplc="2D661226">
      <w:start w:val="1"/>
      <w:numFmt w:val="bullet"/>
      <w:lvlText w:val=""/>
      <w:lvlJc w:val="left"/>
      <w:pPr>
        <w:ind w:left="2880" w:hanging="360"/>
      </w:pPr>
      <w:rPr>
        <w:rFonts w:ascii="Symbol" w:hAnsi="Symbol" w:hint="default"/>
      </w:rPr>
    </w:lvl>
    <w:lvl w:ilvl="4" w:tplc="9336E886">
      <w:start w:val="1"/>
      <w:numFmt w:val="bullet"/>
      <w:lvlText w:val="o"/>
      <w:lvlJc w:val="left"/>
      <w:pPr>
        <w:ind w:left="3600" w:hanging="360"/>
      </w:pPr>
      <w:rPr>
        <w:rFonts w:ascii="Courier New" w:hAnsi="Courier New" w:hint="default"/>
      </w:rPr>
    </w:lvl>
    <w:lvl w:ilvl="5" w:tplc="081C786E">
      <w:start w:val="1"/>
      <w:numFmt w:val="bullet"/>
      <w:lvlText w:val=""/>
      <w:lvlJc w:val="left"/>
      <w:pPr>
        <w:ind w:left="4320" w:hanging="360"/>
      </w:pPr>
      <w:rPr>
        <w:rFonts w:ascii="Wingdings" w:hAnsi="Wingdings" w:hint="default"/>
      </w:rPr>
    </w:lvl>
    <w:lvl w:ilvl="6" w:tplc="BA38B0B0">
      <w:start w:val="1"/>
      <w:numFmt w:val="bullet"/>
      <w:lvlText w:val=""/>
      <w:lvlJc w:val="left"/>
      <w:pPr>
        <w:ind w:left="5040" w:hanging="360"/>
      </w:pPr>
      <w:rPr>
        <w:rFonts w:ascii="Symbol" w:hAnsi="Symbol" w:hint="default"/>
      </w:rPr>
    </w:lvl>
    <w:lvl w:ilvl="7" w:tplc="DC4625CC">
      <w:start w:val="1"/>
      <w:numFmt w:val="bullet"/>
      <w:lvlText w:val="o"/>
      <w:lvlJc w:val="left"/>
      <w:pPr>
        <w:ind w:left="5760" w:hanging="360"/>
      </w:pPr>
      <w:rPr>
        <w:rFonts w:ascii="Courier New" w:hAnsi="Courier New" w:hint="default"/>
      </w:rPr>
    </w:lvl>
    <w:lvl w:ilvl="8" w:tplc="6D76DC7E">
      <w:start w:val="1"/>
      <w:numFmt w:val="bullet"/>
      <w:lvlText w:val=""/>
      <w:lvlJc w:val="left"/>
      <w:pPr>
        <w:ind w:left="6480" w:hanging="360"/>
      </w:pPr>
      <w:rPr>
        <w:rFonts w:ascii="Wingdings" w:hAnsi="Wingdings" w:hint="default"/>
      </w:rPr>
    </w:lvl>
  </w:abstractNum>
  <w:abstractNum w:abstractNumId="66" w15:restartNumberingAfterBreak="0">
    <w:nsid w:val="6B97608C"/>
    <w:multiLevelType w:val="hybridMultilevel"/>
    <w:tmpl w:val="A5228558"/>
    <w:lvl w:ilvl="0" w:tplc="E07222A6">
      <w:start w:val="1"/>
      <w:numFmt w:val="bullet"/>
      <w:lvlText w:val=""/>
      <w:lvlJc w:val="left"/>
      <w:pPr>
        <w:ind w:left="720" w:hanging="360"/>
      </w:pPr>
      <w:rPr>
        <w:rFonts w:ascii="Wingdings,Sans-Serif" w:hAnsi="Wingdings,Sans-Serif" w:hint="default"/>
      </w:rPr>
    </w:lvl>
    <w:lvl w:ilvl="1" w:tplc="AEAC7670">
      <w:start w:val="1"/>
      <w:numFmt w:val="bullet"/>
      <w:lvlText w:val="o"/>
      <w:lvlJc w:val="left"/>
      <w:pPr>
        <w:ind w:left="1440" w:hanging="360"/>
      </w:pPr>
      <w:rPr>
        <w:rFonts w:ascii="Courier New" w:hAnsi="Courier New" w:hint="default"/>
      </w:rPr>
    </w:lvl>
    <w:lvl w:ilvl="2" w:tplc="487AF6A8">
      <w:start w:val="1"/>
      <w:numFmt w:val="bullet"/>
      <w:lvlText w:val=""/>
      <w:lvlJc w:val="left"/>
      <w:pPr>
        <w:ind w:left="2160" w:hanging="360"/>
      </w:pPr>
      <w:rPr>
        <w:rFonts w:ascii="Wingdings" w:hAnsi="Wingdings" w:hint="default"/>
      </w:rPr>
    </w:lvl>
    <w:lvl w:ilvl="3" w:tplc="55D682A8">
      <w:start w:val="1"/>
      <w:numFmt w:val="bullet"/>
      <w:lvlText w:val=""/>
      <w:lvlJc w:val="left"/>
      <w:pPr>
        <w:ind w:left="2880" w:hanging="360"/>
      </w:pPr>
      <w:rPr>
        <w:rFonts w:ascii="Symbol" w:hAnsi="Symbol" w:hint="default"/>
      </w:rPr>
    </w:lvl>
    <w:lvl w:ilvl="4" w:tplc="E9AE55C6">
      <w:start w:val="1"/>
      <w:numFmt w:val="bullet"/>
      <w:lvlText w:val="o"/>
      <w:lvlJc w:val="left"/>
      <w:pPr>
        <w:ind w:left="3600" w:hanging="360"/>
      </w:pPr>
      <w:rPr>
        <w:rFonts w:ascii="Courier New" w:hAnsi="Courier New" w:hint="default"/>
      </w:rPr>
    </w:lvl>
    <w:lvl w:ilvl="5" w:tplc="180E34CC">
      <w:start w:val="1"/>
      <w:numFmt w:val="bullet"/>
      <w:lvlText w:val=""/>
      <w:lvlJc w:val="left"/>
      <w:pPr>
        <w:ind w:left="4320" w:hanging="360"/>
      </w:pPr>
      <w:rPr>
        <w:rFonts w:ascii="Wingdings" w:hAnsi="Wingdings" w:hint="default"/>
      </w:rPr>
    </w:lvl>
    <w:lvl w:ilvl="6" w:tplc="C582937E">
      <w:start w:val="1"/>
      <w:numFmt w:val="bullet"/>
      <w:lvlText w:val=""/>
      <w:lvlJc w:val="left"/>
      <w:pPr>
        <w:ind w:left="5040" w:hanging="360"/>
      </w:pPr>
      <w:rPr>
        <w:rFonts w:ascii="Symbol" w:hAnsi="Symbol" w:hint="default"/>
      </w:rPr>
    </w:lvl>
    <w:lvl w:ilvl="7" w:tplc="F306EA44">
      <w:start w:val="1"/>
      <w:numFmt w:val="bullet"/>
      <w:lvlText w:val="o"/>
      <w:lvlJc w:val="left"/>
      <w:pPr>
        <w:ind w:left="5760" w:hanging="360"/>
      </w:pPr>
      <w:rPr>
        <w:rFonts w:ascii="Courier New" w:hAnsi="Courier New" w:hint="default"/>
      </w:rPr>
    </w:lvl>
    <w:lvl w:ilvl="8" w:tplc="D856EFD6">
      <w:start w:val="1"/>
      <w:numFmt w:val="bullet"/>
      <w:lvlText w:val=""/>
      <w:lvlJc w:val="left"/>
      <w:pPr>
        <w:ind w:left="6480" w:hanging="360"/>
      </w:pPr>
      <w:rPr>
        <w:rFonts w:ascii="Wingdings" w:hAnsi="Wingdings" w:hint="default"/>
      </w:rPr>
    </w:lvl>
  </w:abstractNum>
  <w:abstractNum w:abstractNumId="67" w15:restartNumberingAfterBreak="0">
    <w:nsid w:val="6D8E1D97"/>
    <w:multiLevelType w:val="hybridMultilevel"/>
    <w:tmpl w:val="AF5622B6"/>
    <w:lvl w:ilvl="0" w:tplc="CC7646A6">
      <w:start w:val="1"/>
      <w:numFmt w:val="bullet"/>
      <w:lvlText w:val=""/>
      <w:lvlJc w:val="left"/>
      <w:pPr>
        <w:ind w:left="720" w:hanging="360"/>
      </w:pPr>
      <w:rPr>
        <w:rFonts w:ascii="Symbol" w:hAnsi="Symbol" w:hint="default"/>
        <w:color w:val="auto"/>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8" w15:restartNumberingAfterBreak="0">
    <w:nsid w:val="6DC26E62"/>
    <w:multiLevelType w:val="hybridMultilevel"/>
    <w:tmpl w:val="06C8818A"/>
    <w:lvl w:ilvl="0" w:tplc="2E329E1A">
      <w:start w:val="1"/>
      <w:numFmt w:val="bullet"/>
      <w:lvlText w:val=""/>
      <w:lvlJc w:val="left"/>
      <w:pPr>
        <w:ind w:left="720" w:hanging="360"/>
      </w:pPr>
      <w:rPr>
        <w:rFonts w:ascii="Wingdings,Sans-Serif" w:hAnsi="Wingdings,Sans-Serif" w:hint="default"/>
      </w:rPr>
    </w:lvl>
    <w:lvl w:ilvl="1" w:tplc="D716E6B6">
      <w:start w:val="1"/>
      <w:numFmt w:val="bullet"/>
      <w:lvlText w:val="o"/>
      <w:lvlJc w:val="left"/>
      <w:pPr>
        <w:ind w:left="1440" w:hanging="360"/>
      </w:pPr>
      <w:rPr>
        <w:rFonts w:ascii="Courier New" w:hAnsi="Courier New" w:hint="default"/>
      </w:rPr>
    </w:lvl>
    <w:lvl w:ilvl="2" w:tplc="4FF4C5BA">
      <w:start w:val="1"/>
      <w:numFmt w:val="bullet"/>
      <w:lvlText w:val=""/>
      <w:lvlJc w:val="left"/>
      <w:pPr>
        <w:ind w:left="2160" w:hanging="360"/>
      </w:pPr>
      <w:rPr>
        <w:rFonts w:ascii="Wingdings" w:hAnsi="Wingdings" w:hint="default"/>
      </w:rPr>
    </w:lvl>
    <w:lvl w:ilvl="3" w:tplc="0066AA6A">
      <w:start w:val="1"/>
      <w:numFmt w:val="bullet"/>
      <w:lvlText w:val=""/>
      <w:lvlJc w:val="left"/>
      <w:pPr>
        <w:ind w:left="2880" w:hanging="360"/>
      </w:pPr>
      <w:rPr>
        <w:rFonts w:ascii="Symbol" w:hAnsi="Symbol" w:hint="default"/>
      </w:rPr>
    </w:lvl>
    <w:lvl w:ilvl="4" w:tplc="37529CBC">
      <w:start w:val="1"/>
      <w:numFmt w:val="bullet"/>
      <w:lvlText w:val="o"/>
      <w:lvlJc w:val="left"/>
      <w:pPr>
        <w:ind w:left="3600" w:hanging="360"/>
      </w:pPr>
      <w:rPr>
        <w:rFonts w:ascii="Courier New" w:hAnsi="Courier New" w:hint="default"/>
      </w:rPr>
    </w:lvl>
    <w:lvl w:ilvl="5" w:tplc="53288628">
      <w:start w:val="1"/>
      <w:numFmt w:val="bullet"/>
      <w:lvlText w:val=""/>
      <w:lvlJc w:val="left"/>
      <w:pPr>
        <w:ind w:left="4320" w:hanging="360"/>
      </w:pPr>
      <w:rPr>
        <w:rFonts w:ascii="Wingdings" w:hAnsi="Wingdings" w:hint="default"/>
      </w:rPr>
    </w:lvl>
    <w:lvl w:ilvl="6" w:tplc="46163F58">
      <w:start w:val="1"/>
      <w:numFmt w:val="bullet"/>
      <w:lvlText w:val=""/>
      <w:lvlJc w:val="left"/>
      <w:pPr>
        <w:ind w:left="5040" w:hanging="360"/>
      </w:pPr>
      <w:rPr>
        <w:rFonts w:ascii="Symbol" w:hAnsi="Symbol" w:hint="default"/>
      </w:rPr>
    </w:lvl>
    <w:lvl w:ilvl="7" w:tplc="8544F246">
      <w:start w:val="1"/>
      <w:numFmt w:val="bullet"/>
      <w:lvlText w:val="o"/>
      <w:lvlJc w:val="left"/>
      <w:pPr>
        <w:ind w:left="5760" w:hanging="360"/>
      </w:pPr>
      <w:rPr>
        <w:rFonts w:ascii="Courier New" w:hAnsi="Courier New" w:hint="default"/>
      </w:rPr>
    </w:lvl>
    <w:lvl w:ilvl="8" w:tplc="F41C5E12">
      <w:start w:val="1"/>
      <w:numFmt w:val="bullet"/>
      <w:lvlText w:val=""/>
      <w:lvlJc w:val="left"/>
      <w:pPr>
        <w:ind w:left="6480" w:hanging="360"/>
      </w:pPr>
      <w:rPr>
        <w:rFonts w:ascii="Wingdings" w:hAnsi="Wingdings" w:hint="default"/>
      </w:rPr>
    </w:lvl>
  </w:abstractNum>
  <w:abstractNum w:abstractNumId="69" w15:restartNumberingAfterBreak="0">
    <w:nsid w:val="6E40E0E7"/>
    <w:multiLevelType w:val="hybridMultilevel"/>
    <w:tmpl w:val="0E40163A"/>
    <w:lvl w:ilvl="0" w:tplc="192E73CE">
      <w:start w:val="1"/>
      <w:numFmt w:val="bullet"/>
      <w:lvlText w:val=""/>
      <w:lvlJc w:val="left"/>
      <w:pPr>
        <w:ind w:left="720" w:hanging="360"/>
      </w:pPr>
      <w:rPr>
        <w:rFonts w:ascii="Symbol" w:hAnsi="Symbol" w:hint="default"/>
      </w:rPr>
    </w:lvl>
    <w:lvl w:ilvl="1" w:tplc="45FE920C">
      <w:start w:val="1"/>
      <w:numFmt w:val="bullet"/>
      <w:lvlText w:val="o"/>
      <w:lvlJc w:val="left"/>
      <w:pPr>
        <w:ind w:left="1440" w:hanging="360"/>
      </w:pPr>
      <w:rPr>
        <w:rFonts w:ascii="Courier New" w:hAnsi="Courier New" w:hint="default"/>
      </w:rPr>
    </w:lvl>
    <w:lvl w:ilvl="2" w:tplc="52026F3C">
      <w:start w:val="1"/>
      <w:numFmt w:val="bullet"/>
      <w:lvlText w:val=""/>
      <w:lvlJc w:val="left"/>
      <w:pPr>
        <w:ind w:left="2160" w:hanging="360"/>
      </w:pPr>
      <w:rPr>
        <w:rFonts w:ascii="Wingdings" w:hAnsi="Wingdings" w:hint="default"/>
      </w:rPr>
    </w:lvl>
    <w:lvl w:ilvl="3" w:tplc="C29EC5E8">
      <w:start w:val="1"/>
      <w:numFmt w:val="bullet"/>
      <w:lvlText w:val=""/>
      <w:lvlJc w:val="left"/>
      <w:pPr>
        <w:ind w:left="2880" w:hanging="360"/>
      </w:pPr>
      <w:rPr>
        <w:rFonts w:ascii="Symbol" w:hAnsi="Symbol" w:hint="default"/>
      </w:rPr>
    </w:lvl>
    <w:lvl w:ilvl="4" w:tplc="EBBADDB2">
      <w:start w:val="1"/>
      <w:numFmt w:val="bullet"/>
      <w:lvlText w:val="o"/>
      <w:lvlJc w:val="left"/>
      <w:pPr>
        <w:ind w:left="3600" w:hanging="360"/>
      </w:pPr>
      <w:rPr>
        <w:rFonts w:ascii="Courier New" w:hAnsi="Courier New" w:hint="default"/>
      </w:rPr>
    </w:lvl>
    <w:lvl w:ilvl="5" w:tplc="A0D47ECC">
      <w:start w:val="1"/>
      <w:numFmt w:val="bullet"/>
      <w:lvlText w:val=""/>
      <w:lvlJc w:val="left"/>
      <w:pPr>
        <w:ind w:left="4320" w:hanging="360"/>
      </w:pPr>
      <w:rPr>
        <w:rFonts w:ascii="Wingdings" w:hAnsi="Wingdings" w:hint="default"/>
      </w:rPr>
    </w:lvl>
    <w:lvl w:ilvl="6" w:tplc="DF4AB4D6">
      <w:start w:val="1"/>
      <w:numFmt w:val="bullet"/>
      <w:lvlText w:val=""/>
      <w:lvlJc w:val="left"/>
      <w:pPr>
        <w:ind w:left="5040" w:hanging="360"/>
      </w:pPr>
      <w:rPr>
        <w:rFonts w:ascii="Symbol" w:hAnsi="Symbol" w:hint="default"/>
      </w:rPr>
    </w:lvl>
    <w:lvl w:ilvl="7" w:tplc="FF70F6DE">
      <w:start w:val="1"/>
      <w:numFmt w:val="bullet"/>
      <w:lvlText w:val="o"/>
      <w:lvlJc w:val="left"/>
      <w:pPr>
        <w:ind w:left="5760" w:hanging="360"/>
      </w:pPr>
      <w:rPr>
        <w:rFonts w:ascii="Courier New" w:hAnsi="Courier New" w:hint="default"/>
      </w:rPr>
    </w:lvl>
    <w:lvl w:ilvl="8" w:tplc="3C68CA48">
      <w:start w:val="1"/>
      <w:numFmt w:val="bullet"/>
      <w:lvlText w:val=""/>
      <w:lvlJc w:val="left"/>
      <w:pPr>
        <w:ind w:left="6480" w:hanging="360"/>
      </w:pPr>
      <w:rPr>
        <w:rFonts w:ascii="Wingdings" w:hAnsi="Wingdings" w:hint="default"/>
      </w:rPr>
    </w:lvl>
  </w:abstractNum>
  <w:abstractNum w:abstractNumId="70" w15:restartNumberingAfterBreak="0">
    <w:nsid w:val="6F2C42E4"/>
    <w:multiLevelType w:val="hybridMultilevel"/>
    <w:tmpl w:val="CE6459FE"/>
    <w:lvl w:ilvl="0" w:tplc="CC187120">
      <w:start w:val="2"/>
      <w:numFmt w:val="lowerRoman"/>
      <w:lvlText w:val="(%1)"/>
      <w:lvlJc w:val="left"/>
      <w:pPr>
        <w:ind w:left="668" w:hanging="385"/>
      </w:pPr>
      <w:rPr>
        <w:rFonts w:ascii="Arial" w:eastAsia="Arial" w:hAnsi="Arial" w:cs="Arial" w:hint="default"/>
        <w:color w:val="4E4D4D"/>
        <w:spacing w:val="-9"/>
        <w:w w:val="100"/>
        <w:sz w:val="22"/>
        <w:szCs w:val="22"/>
        <w:lang w:val="es-ES" w:eastAsia="en-US" w:bidi="ar-SA"/>
      </w:rPr>
    </w:lvl>
    <w:lvl w:ilvl="1" w:tplc="5E1CBD92">
      <w:numFmt w:val="bullet"/>
      <w:lvlText w:val="•"/>
      <w:lvlJc w:val="left"/>
      <w:pPr>
        <w:ind w:left="1508" w:hanging="385"/>
      </w:pPr>
      <w:rPr>
        <w:rFonts w:hint="default"/>
        <w:lang w:val="es-ES" w:eastAsia="en-US" w:bidi="ar-SA"/>
      </w:rPr>
    </w:lvl>
    <w:lvl w:ilvl="2" w:tplc="1D00E366">
      <w:numFmt w:val="bullet"/>
      <w:lvlText w:val="•"/>
      <w:lvlJc w:val="left"/>
      <w:pPr>
        <w:ind w:left="2356" w:hanging="385"/>
      </w:pPr>
      <w:rPr>
        <w:rFonts w:hint="default"/>
        <w:lang w:val="es-ES" w:eastAsia="en-US" w:bidi="ar-SA"/>
      </w:rPr>
    </w:lvl>
    <w:lvl w:ilvl="3" w:tplc="854C4DF2">
      <w:numFmt w:val="bullet"/>
      <w:lvlText w:val="•"/>
      <w:lvlJc w:val="left"/>
      <w:pPr>
        <w:ind w:left="3204" w:hanging="385"/>
      </w:pPr>
      <w:rPr>
        <w:rFonts w:hint="default"/>
        <w:lang w:val="es-ES" w:eastAsia="en-US" w:bidi="ar-SA"/>
      </w:rPr>
    </w:lvl>
    <w:lvl w:ilvl="4" w:tplc="A84C071C">
      <w:numFmt w:val="bullet"/>
      <w:lvlText w:val="•"/>
      <w:lvlJc w:val="left"/>
      <w:pPr>
        <w:ind w:left="4052" w:hanging="385"/>
      </w:pPr>
      <w:rPr>
        <w:rFonts w:hint="default"/>
        <w:lang w:val="es-ES" w:eastAsia="en-US" w:bidi="ar-SA"/>
      </w:rPr>
    </w:lvl>
    <w:lvl w:ilvl="5" w:tplc="0038DDD4">
      <w:numFmt w:val="bullet"/>
      <w:lvlText w:val="•"/>
      <w:lvlJc w:val="left"/>
      <w:pPr>
        <w:ind w:left="4900" w:hanging="385"/>
      </w:pPr>
      <w:rPr>
        <w:rFonts w:hint="default"/>
        <w:lang w:val="es-ES" w:eastAsia="en-US" w:bidi="ar-SA"/>
      </w:rPr>
    </w:lvl>
    <w:lvl w:ilvl="6" w:tplc="90A80DC4">
      <w:numFmt w:val="bullet"/>
      <w:lvlText w:val="•"/>
      <w:lvlJc w:val="left"/>
      <w:pPr>
        <w:ind w:left="5748" w:hanging="385"/>
      </w:pPr>
      <w:rPr>
        <w:rFonts w:hint="default"/>
        <w:lang w:val="es-ES" w:eastAsia="en-US" w:bidi="ar-SA"/>
      </w:rPr>
    </w:lvl>
    <w:lvl w:ilvl="7" w:tplc="8266FFAC">
      <w:numFmt w:val="bullet"/>
      <w:lvlText w:val="•"/>
      <w:lvlJc w:val="left"/>
      <w:pPr>
        <w:ind w:left="6596" w:hanging="385"/>
      </w:pPr>
      <w:rPr>
        <w:rFonts w:hint="default"/>
        <w:lang w:val="es-ES" w:eastAsia="en-US" w:bidi="ar-SA"/>
      </w:rPr>
    </w:lvl>
    <w:lvl w:ilvl="8" w:tplc="0FF47362">
      <w:numFmt w:val="bullet"/>
      <w:lvlText w:val="•"/>
      <w:lvlJc w:val="left"/>
      <w:pPr>
        <w:ind w:left="7444" w:hanging="385"/>
      </w:pPr>
      <w:rPr>
        <w:rFonts w:hint="default"/>
        <w:lang w:val="es-ES" w:eastAsia="en-US" w:bidi="ar-SA"/>
      </w:rPr>
    </w:lvl>
  </w:abstractNum>
  <w:abstractNum w:abstractNumId="71" w15:restartNumberingAfterBreak="0">
    <w:nsid w:val="703E99DA"/>
    <w:multiLevelType w:val="hybridMultilevel"/>
    <w:tmpl w:val="EDEAC7A2"/>
    <w:lvl w:ilvl="0" w:tplc="3BEC600C">
      <w:start w:val="1"/>
      <w:numFmt w:val="bullet"/>
      <w:lvlText w:val=""/>
      <w:lvlJc w:val="left"/>
      <w:pPr>
        <w:ind w:left="720" w:hanging="360"/>
      </w:pPr>
      <w:rPr>
        <w:rFonts w:ascii="Symbol" w:hAnsi="Symbol" w:hint="default"/>
      </w:rPr>
    </w:lvl>
    <w:lvl w:ilvl="1" w:tplc="496049E8">
      <w:start w:val="1"/>
      <w:numFmt w:val="bullet"/>
      <w:lvlText w:val="o"/>
      <w:lvlJc w:val="left"/>
      <w:pPr>
        <w:ind w:left="1440" w:hanging="360"/>
      </w:pPr>
      <w:rPr>
        <w:rFonts w:ascii="Courier New" w:hAnsi="Courier New" w:hint="default"/>
      </w:rPr>
    </w:lvl>
    <w:lvl w:ilvl="2" w:tplc="9956DED8">
      <w:start w:val="1"/>
      <w:numFmt w:val="bullet"/>
      <w:lvlText w:val=""/>
      <w:lvlJc w:val="left"/>
      <w:pPr>
        <w:ind w:left="2160" w:hanging="360"/>
      </w:pPr>
      <w:rPr>
        <w:rFonts w:ascii="Wingdings" w:hAnsi="Wingdings" w:hint="default"/>
      </w:rPr>
    </w:lvl>
    <w:lvl w:ilvl="3" w:tplc="C1FEC064">
      <w:start w:val="1"/>
      <w:numFmt w:val="bullet"/>
      <w:lvlText w:val=""/>
      <w:lvlJc w:val="left"/>
      <w:pPr>
        <w:ind w:left="2880" w:hanging="360"/>
      </w:pPr>
      <w:rPr>
        <w:rFonts w:ascii="Symbol" w:hAnsi="Symbol" w:hint="default"/>
      </w:rPr>
    </w:lvl>
    <w:lvl w:ilvl="4" w:tplc="3502F6D4">
      <w:start w:val="1"/>
      <w:numFmt w:val="bullet"/>
      <w:lvlText w:val="o"/>
      <w:lvlJc w:val="left"/>
      <w:pPr>
        <w:ind w:left="3600" w:hanging="360"/>
      </w:pPr>
      <w:rPr>
        <w:rFonts w:ascii="Courier New" w:hAnsi="Courier New" w:hint="default"/>
      </w:rPr>
    </w:lvl>
    <w:lvl w:ilvl="5" w:tplc="C52A563C">
      <w:start w:val="1"/>
      <w:numFmt w:val="bullet"/>
      <w:lvlText w:val=""/>
      <w:lvlJc w:val="left"/>
      <w:pPr>
        <w:ind w:left="4320" w:hanging="360"/>
      </w:pPr>
      <w:rPr>
        <w:rFonts w:ascii="Wingdings" w:hAnsi="Wingdings" w:hint="default"/>
      </w:rPr>
    </w:lvl>
    <w:lvl w:ilvl="6" w:tplc="CDAAA3B0">
      <w:start w:val="1"/>
      <w:numFmt w:val="bullet"/>
      <w:lvlText w:val=""/>
      <w:lvlJc w:val="left"/>
      <w:pPr>
        <w:ind w:left="5040" w:hanging="360"/>
      </w:pPr>
      <w:rPr>
        <w:rFonts w:ascii="Symbol" w:hAnsi="Symbol" w:hint="default"/>
      </w:rPr>
    </w:lvl>
    <w:lvl w:ilvl="7" w:tplc="3B08EE42">
      <w:start w:val="1"/>
      <w:numFmt w:val="bullet"/>
      <w:lvlText w:val="o"/>
      <w:lvlJc w:val="left"/>
      <w:pPr>
        <w:ind w:left="5760" w:hanging="360"/>
      </w:pPr>
      <w:rPr>
        <w:rFonts w:ascii="Courier New" w:hAnsi="Courier New" w:hint="default"/>
      </w:rPr>
    </w:lvl>
    <w:lvl w:ilvl="8" w:tplc="126E8C4A">
      <w:start w:val="1"/>
      <w:numFmt w:val="bullet"/>
      <w:lvlText w:val=""/>
      <w:lvlJc w:val="left"/>
      <w:pPr>
        <w:ind w:left="6480" w:hanging="360"/>
      </w:pPr>
      <w:rPr>
        <w:rFonts w:ascii="Wingdings" w:hAnsi="Wingdings" w:hint="default"/>
      </w:rPr>
    </w:lvl>
  </w:abstractNum>
  <w:abstractNum w:abstractNumId="72" w15:restartNumberingAfterBreak="0">
    <w:nsid w:val="74E71CED"/>
    <w:multiLevelType w:val="hybridMultilevel"/>
    <w:tmpl w:val="44FA8450"/>
    <w:lvl w:ilvl="0" w:tplc="240A0001">
      <w:start w:val="1"/>
      <w:numFmt w:val="bullet"/>
      <w:lvlText w:val=""/>
      <w:lvlJc w:val="left"/>
      <w:pPr>
        <w:ind w:left="1068"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58658E4"/>
    <w:multiLevelType w:val="multilevel"/>
    <w:tmpl w:val="D3D64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604EFBF"/>
    <w:multiLevelType w:val="hybridMultilevel"/>
    <w:tmpl w:val="DAA0C9AC"/>
    <w:lvl w:ilvl="0" w:tplc="6F7EC022">
      <w:start w:val="1"/>
      <w:numFmt w:val="bullet"/>
      <w:lvlText w:val=""/>
      <w:lvlJc w:val="left"/>
      <w:pPr>
        <w:ind w:left="720" w:hanging="360"/>
      </w:pPr>
      <w:rPr>
        <w:rFonts w:ascii="Wingdings,Sans-Serif" w:hAnsi="Wingdings,Sans-Serif" w:hint="default"/>
      </w:rPr>
    </w:lvl>
    <w:lvl w:ilvl="1" w:tplc="794CDF0E">
      <w:start w:val="1"/>
      <w:numFmt w:val="bullet"/>
      <w:lvlText w:val="o"/>
      <w:lvlJc w:val="left"/>
      <w:pPr>
        <w:ind w:left="1440" w:hanging="360"/>
      </w:pPr>
      <w:rPr>
        <w:rFonts w:ascii="Courier New" w:hAnsi="Courier New" w:hint="default"/>
      </w:rPr>
    </w:lvl>
    <w:lvl w:ilvl="2" w:tplc="DF9ACD38">
      <w:start w:val="1"/>
      <w:numFmt w:val="bullet"/>
      <w:lvlText w:val=""/>
      <w:lvlJc w:val="left"/>
      <w:pPr>
        <w:ind w:left="2160" w:hanging="360"/>
      </w:pPr>
      <w:rPr>
        <w:rFonts w:ascii="Wingdings" w:hAnsi="Wingdings" w:hint="default"/>
      </w:rPr>
    </w:lvl>
    <w:lvl w:ilvl="3" w:tplc="5F48E174">
      <w:start w:val="1"/>
      <w:numFmt w:val="bullet"/>
      <w:lvlText w:val=""/>
      <w:lvlJc w:val="left"/>
      <w:pPr>
        <w:ind w:left="2880" w:hanging="360"/>
      </w:pPr>
      <w:rPr>
        <w:rFonts w:ascii="Symbol" w:hAnsi="Symbol" w:hint="default"/>
      </w:rPr>
    </w:lvl>
    <w:lvl w:ilvl="4" w:tplc="DC0C5850">
      <w:start w:val="1"/>
      <w:numFmt w:val="bullet"/>
      <w:lvlText w:val="o"/>
      <w:lvlJc w:val="left"/>
      <w:pPr>
        <w:ind w:left="3600" w:hanging="360"/>
      </w:pPr>
      <w:rPr>
        <w:rFonts w:ascii="Courier New" w:hAnsi="Courier New" w:hint="default"/>
      </w:rPr>
    </w:lvl>
    <w:lvl w:ilvl="5" w:tplc="4C5CF05A">
      <w:start w:val="1"/>
      <w:numFmt w:val="bullet"/>
      <w:lvlText w:val=""/>
      <w:lvlJc w:val="left"/>
      <w:pPr>
        <w:ind w:left="4320" w:hanging="360"/>
      </w:pPr>
      <w:rPr>
        <w:rFonts w:ascii="Wingdings" w:hAnsi="Wingdings" w:hint="default"/>
      </w:rPr>
    </w:lvl>
    <w:lvl w:ilvl="6" w:tplc="3EE411D0">
      <w:start w:val="1"/>
      <w:numFmt w:val="bullet"/>
      <w:lvlText w:val=""/>
      <w:lvlJc w:val="left"/>
      <w:pPr>
        <w:ind w:left="5040" w:hanging="360"/>
      </w:pPr>
      <w:rPr>
        <w:rFonts w:ascii="Symbol" w:hAnsi="Symbol" w:hint="default"/>
      </w:rPr>
    </w:lvl>
    <w:lvl w:ilvl="7" w:tplc="BDE45B68">
      <w:start w:val="1"/>
      <w:numFmt w:val="bullet"/>
      <w:lvlText w:val="o"/>
      <w:lvlJc w:val="left"/>
      <w:pPr>
        <w:ind w:left="5760" w:hanging="360"/>
      </w:pPr>
      <w:rPr>
        <w:rFonts w:ascii="Courier New" w:hAnsi="Courier New" w:hint="default"/>
      </w:rPr>
    </w:lvl>
    <w:lvl w:ilvl="8" w:tplc="3BCC4C80">
      <w:start w:val="1"/>
      <w:numFmt w:val="bullet"/>
      <w:lvlText w:val=""/>
      <w:lvlJc w:val="left"/>
      <w:pPr>
        <w:ind w:left="6480" w:hanging="360"/>
      </w:pPr>
      <w:rPr>
        <w:rFonts w:ascii="Wingdings" w:hAnsi="Wingdings" w:hint="default"/>
      </w:rPr>
    </w:lvl>
  </w:abstractNum>
  <w:abstractNum w:abstractNumId="75" w15:restartNumberingAfterBreak="0">
    <w:nsid w:val="79FE4BE1"/>
    <w:multiLevelType w:val="hybridMultilevel"/>
    <w:tmpl w:val="9510105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6" w15:restartNumberingAfterBreak="0">
    <w:nsid w:val="7A23693B"/>
    <w:multiLevelType w:val="hybridMultilevel"/>
    <w:tmpl w:val="7E10C1FC"/>
    <w:lvl w:ilvl="0" w:tplc="609E1A88">
      <w:start w:val="1"/>
      <w:numFmt w:val="decimal"/>
      <w:lvlText w:val="%1-"/>
      <w:lvlJc w:val="left"/>
      <w:pPr>
        <w:ind w:left="720" w:hanging="360"/>
      </w:pPr>
    </w:lvl>
    <w:lvl w:ilvl="1" w:tplc="2102CC42">
      <w:start w:val="1"/>
      <w:numFmt w:val="lowerLetter"/>
      <w:lvlText w:val="%2."/>
      <w:lvlJc w:val="left"/>
      <w:pPr>
        <w:ind w:left="1440" w:hanging="360"/>
      </w:pPr>
    </w:lvl>
    <w:lvl w:ilvl="2" w:tplc="9404FA26">
      <w:start w:val="1"/>
      <w:numFmt w:val="lowerRoman"/>
      <w:lvlText w:val="%3."/>
      <w:lvlJc w:val="right"/>
      <w:pPr>
        <w:ind w:left="2160" w:hanging="180"/>
      </w:pPr>
    </w:lvl>
    <w:lvl w:ilvl="3" w:tplc="44EECB68">
      <w:start w:val="1"/>
      <w:numFmt w:val="decimal"/>
      <w:lvlText w:val="%4."/>
      <w:lvlJc w:val="left"/>
      <w:pPr>
        <w:ind w:left="2880" w:hanging="360"/>
      </w:pPr>
    </w:lvl>
    <w:lvl w:ilvl="4" w:tplc="D14E2356">
      <w:start w:val="1"/>
      <w:numFmt w:val="lowerLetter"/>
      <w:lvlText w:val="%5."/>
      <w:lvlJc w:val="left"/>
      <w:pPr>
        <w:ind w:left="3600" w:hanging="360"/>
      </w:pPr>
    </w:lvl>
    <w:lvl w:ilvl="5" w:tplc="0F26904A">
      <w:start w:val="1"/>
      <w:numFmt w:val="lowerRoman"/>
      <w:lvlText w:val="%6."/>
      <w:lvlJc w:val="right"/>
      <w:pPr>
        <w:ind w:left="4320" w:hanging="180"/>
      </w:pPr>
    </w:lvl>
    <w:lvl w:ilvl="6" w:tplc="EA820B02">
      <w:start w:val="1"/>
      <w:numFmt w:val="decimal"/>
      <w:lvlText w:val="%7."/>
      <w:lvlJc w:val="left"/>
      <w:pPr>
        <w:ind w:left="5040" w:hanging="360"/>
      </w:pPr>
    </w:lvl>
    <w:lvl w:ilvl="7" w:tplc="923C9602">
      <w:start w:val="1"/>
      <w:numFmt w:val="lowerLetter"/>
      <w:lvlText w:val="%8."/>
      <w:lvlJc w:val="left"/>
      <w:pPr>
        <w:ind w:left="5760" w:hanging="360"/>
      </w:pPr>
    </w:lvl>
    <w:lvl w:ilvl="8" w:tplc="63D66414">
      <w:start w:val="1"/>
      <w:numFmt w:val="lowerRoman"/>
      <w:lvlText w:val="%9."/>
      <w:lvlJc w:val="right"/>
      <w:pPr>
        <w:ind w:left="6480" w:hanging="180"/>
      </w:pPr>
    </w:lvl>
  </w:abstractNum>
  <w:abstractNum w:abstractNumId="77" w15:restartNumberingAfterBreak="0">
    <w:nsid w:val="7B147B13"/>
    <w:multiLevelType w:val="multilevel"/>
    <w:tmpl w:val="BDB6A6D6"/>
    <w:lvl w:ilvl="0">
      <w:start w:val="1"/>
      <w:numFmt w:val="bullet"/>
      <w:lvlText w:val="o"/>
      <w:lvlJc w:val="left"/>
      <w:pPr>
        <w:ind w:left="720" w:hanging="360"/>
      </w:pPr>
      <w:rPr>
        <w:rFonts w:ascii="Courier New" w:hAnsi="Courier New" w:cs="Courier New" w:hint="default"/>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FB818AD"/>
    <w:multiLevelType w:val="multilevel"/>
    <w:tmpl w:val="5B288C74"/>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517932070">
    <w:abstractNumId w:val="26"/>
  </w:num>
  <w:num w:numId="2" w16cid:durableId="366221801">
    <w:abstractNumId w:val="74"/>
  </w:num>
  <w:num w:numId="3" w16cid:durableId="1186556471">
    <w:abstractNumId w:val="62"/>
  </w:num>
  <w:num w:numId="4" w16cid:durableId="1308390726">
    <w:abstractNumId w:val="66"/>
  </w:num>
  <w:num w:numId="5" w16cid:durableId="1600259124">
    <w:abstractNumId w:val="61"/>
  </w:num>
  <w:num w:numId="6" w16cid:durableId="1500921514">
    <w:abstractNumId w:val="8"/>
  </w:num>
  <w:num w:numId="7" w16cid:durableId="1800419490">
    <w:abstractNumId w:val="15"/>
  </w:num>
  <w:num w:numId="8" w16cid:durableId="677386428">
    <w:abstractNumId w:val="16"/>
  </w:num>
  <w:num w:numId="9" w16cid:durableId="493690502">
    <w:abstractNumId w:val="49"/>
  </w:num>
  <w:num w:numId="10" w16cid:durableId="101924710">
    <w:abstractNumId w:val="45"/>
  </w:num>
  <w:num w:numId="11" w16cid:durableId="729428979">
    <w:abstractNumId w:val="56"/>
  </w:num>
  <w:num w:numId="12" w16cid:durableId="340592704">
    <w:abstractNumId w:val="68"/>
  </w:num>
  <w:num w:numId="13" w16cid:durableId="623658362">
    <w:abstractNumId w:val="9"/>
  </w:num>
  <w:num w:numId="14" w16cid:durableId="756944360">
    <w:abstractNumId w:val="29"/>
  </w:num>
  <w:num w:numId="15" w16cid:durableId="1892110107">
    <w:abstractNumId w:val="55"/>
  </w:num>
  <w:num w:numId="16" w16cid:durableId="1986473619">
    <w:abstractNumId w:val="39"/>
  </w:num>
  <w:num w:numId="17" w16cid:durableId="632978782">
    <w:abstractNumId w:val="38"/>
  </w:num>
  <w:num w:numId="18" w16cid:durableId="137770690">
    <w:abstractNumId w:val="60"/>
  </w:num>
  <w:num w:numId="19" w16cid:durableId="1822425764">
    <w:abstractNumId w:val="11"/>
  </w:num>
  <w:num w:numId="20" w16cid:durableId="502203302">
    <w:abstractNumId w:val="43"/>
  </w:num>
  <w:num w:numId="21" w16cid:durableId="1408961076">
    <w:abstractNumId w:val="65"/>
  </w:num>
  <w:num w:numId="22" w16cid:durableId="849759239">
    <w:abstractNumId w:val="17"/>
  </w:num>
  <w:num w:numId="23" w16cid:durableId="1736002788">
    <w:abstractNumId w:val="34"/>
  </w:num>
  <w:num w:numId="24" w16cid:durableId="1871643235">
    <w:abstractNumId w:val="53"/>
  </w:num>
  <w:num w:numId="25" w16cid:durableId="883101619">
    <w:abstractNumId w:val="13"/>
  </w:num>
  <w:num w:numId="26" w16cid:durableId="1135219757">
    <w:abstractNumId w:val="3"/>
  </w:num>
  <w:num w:numId="27" w16cid:durableId="309287431">
    <w:abstractNumId w:val="58"/>
  </w:num>
  <w:num w:numId="28" w16cid:durableId="491724293">
    <w:abstractNumId w:val="69"/>
  </w:num>
  <w:num w:numId="29" w16cid:durableId="1118180900">
    <w:abstractNumId w:val="28"/>
  </w:num>
  <w:num w:numId="30" w16cid:durableId="1706323118">
    <w:abstractNumId w:val="71"/>
  </w:num>
  <w:num w:numId="31" w16cid:durableId="930704259">
    <w:abstractNumId w:val="52"/>
  </w:num>
  <w:num w:numId="32" w16cid:durableId="1764303664">
    <w:abstractNumId w:val="5"/>
  </w:num>
  <w:num w:numId="33" w16cid:durableId="1741446412">
    <w:abstractNumId w:val="37"/>
  </w:num>
  <w:num w:numId="34" w16cid:durableId="2086685760">
    <w:abstractNumId w:val="2"/>
  </w:num>
  <w:num w:numId="35" w16cid:durableId="1522426918">
    <w:abstractNumId w:val="57"/>
  </w:num>
  <w:num w:numId="36" w16cid:durableId="2098137451">
    <w:abstractNumId w:val="40"/>
  </w:num>
  <w:num w:numId="37" w16cid:durableId="32510968">
    <w:abstractNumId w:val="30"/>
  </w:num>
  <w:num w:numId="38" w16cid:durableId="1501891169">
    <w:abstractNumId w:val="25"/>
  </w:num>
  <w:num w:numId="39" w16cid:durableId="1242176473">
    <w:abstractNumId w:val="22"/>
  </w:num>
  <w:num w:numId="40" w16cid:durableId="832599205">
    <w:abstractNumId w:val="0"/>
  </w:num>
  <w:num w:numId="41" w16cid:durableId="1116481451">
    <w:abstractNumId w:val="76"/>
  </w:num>
  <w:num w:numId="42" w16cid:durableId="975717020">
    <w:abstractNumId w:val="46"/>
  </w:num>
  <w:num w:numId="43" w16cid:durableId="773482043">
    <w:abstractNumId w:val="54"/>
  </w:num>
  <w:num w:numId="44" w16cid:durableId="1675567159">
    <w:abstractNumId w:val="78"/>
  </w:num>
  <w:num w:numId="45" w16cid:durableId="286814754">
    <w:abstractNumId w:val="18"/>
  </w:num>
  <w:num w:numId="46" w16cid:durableId="1757946127">
    <w:abstractNumId w:val="21"/>
  </w:num>
  <w:num w:numId="47" w16cid:durableId="251397188">
    <w:abstractNumId w:val="7"/>
  </w:num>
  <w:num w:numId="48" w16cid:durableId="1940065557">
    <w:abstractNumId w:val="31"/>
  </w:num>
  <w:num w:numId="49" w16cid:durableId="2117825427">
    <w:abstractNumId w:val="20"/>
  </w:num>
  <w:num w:numId="50" w16cid:durableId="384767458">
    <w:abstractNumId w:val="6"/>
  </w:num>
  <w:num w:numId="51" w16cid:durableId="210465315">
    <w:abstractNumId w:val="51"/>
  </w:num>
  <w:num w:numId="52" w16cid:durableId="1711416721">
    <w:abstractNumId w:val="33"/>
  </w:num>
  <w:num w:numId="53" w16cid:durableId="517354039">
    <w:abstractNumId w:val="44"/>
  </w:num>
  <w:num w:numId="54" w16cid:durableId="108359814">
    <w:abstractNumId w:val="23"/>
  </w:num>
  <w:num w:numId="55" w16cid:durableId="401030602">
    <w:abstractNumId w:val="67"/>
  </w:num>
  <w:num w:numId="56" w16cid:durableId="1448236918">
    <w:abstractNumId w:val="14"/>
  </w:num>
  <w:num w:numId="57" w16cid:durableId="699628353">
    <w:abstractNumId w:val="35"/>
  </w:num>
  <w:num w:numId="58" w16cid:durableId="908883129">
    <w:abstractNumId w:val="10"/>
  </w:num>
  <w:num w:numId="59" w16cid:durableId="229770669">
    <w:abstractNumId w:val="77"/>
  </w:num>
  <w:num w:numId="60" w16cid:durableId="1610775223">
    <w:abstractNumId w:val="72"/>
  </w:num>
  <w:num w:numId="61" w16cid:durableId="659038956">
    <w:abstractNumId w:val="36"/>
  </w:num>
  <w:num w:numId="62" w16cid:durableId="1547526093">
    <w:abstractNumId w:val="42"/>
  </w:num>
  <w:num w:numId="63" w16cid:durableId="920217614">
    <w:abstractNumId w:val="19"/>
  </w:num>
  <w:num w:numId="64" w16cid:durableId="513223480">
    <w:abstractNumId w:val="41"/>
  </w:num>
  <w:num w:numId="65" w16cid:durableId="1430194346">
    <w:abstractNumId w:val="12"/>
  </w:num>
  <w:num w:numId="66" w16cid:durableId="2016566644">
    <w:abstractNumId w:val="75"/>
  </w:num>
  <w:num w:numId="67" w16cid:durableId="1384791628">
    <w:abstractNumId w:val="47"/>
  </w:num>
  <w:num w:numId="68" w16cid:durableId="1263144642">
    <w:abstractNumId w:val="59"/>
  </w:num>
  <w:num w:numId="69" w16cid:durableId="2144809715">
    <w:abstractNumId w:val="50"/>
  </w:num>
  <w:num w:numId="70" w16cid:durableId="1889216506">
    <w:abstractNumId w:val="27"/>
  </w:num>
  <w:num w:numId="71" w16cid:durableId="506403134">
    <w:abstractNumId w:val="64"/>
  </w:num>
  <w:num w:numId="72" w16cid:durableId="275255506">
    <w:abstractNumId w:val="1"/>
  </w:num>
  <w:num w:numId="73" w16cid:durableId="1492981823">
    <w:abstractNumId w:val="4"/>
  </w:num>
  <w:num w:numId="74" w16cid:durableId="739986164">
    <w:abstractNumId w:val="32"/>
  </w:num>
  <w:num w:numId="75" w16cid:durableId="1343582855">
    <w:abstractNumId w:val="63"/>
  </w:num>
  <w:num w:numId="76" w16cid:durableId="1982345191">
    <w:abstractNumId w:val="48"/>
  </w:num>
  <w:num w:numId="77" w16cid:durableId="1841654664">
    <w:abstractNumId w:val="24"/>
  </w:num>
  <w:num w:numId="78" w16cid:durableId="246884181">
    <w:abstractNumId w:val="70"/>
  </w:num>
  <w:num w:numId="79" w16cid:durableId="105466624">
    <w:abstractNumId w:val="7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74B609E"/>
    <w:rsid w:val="0000015B"/>
    <w:rsid w:val="000001A8"/>
    <w:rsid w:val="00000279"/>
    <w:rsid w:val="00000350"/>
    <w:rsid w:val="0000057E"/>
    <w:rsid w:val="000007EE"/>
    <w:rsid w:val="0000088E"/>
    <w:rsid w:val="00000995"/>
    <w:rsid w:val="00000AD4"/>
    <w:rsid w:val="00000BA3"/>
    <w:rsid w:val="00000CB0"/>
    <w:rsid w:val="0000102D"/>
    <w:rsid w:val="00001078"/>
    <w:rsid w:val="00001097"/>
    <w:rsid w:val="000010A5"/>
    <w:rsid w:val="00001428"/>
    <w:rsid w:val="000017B4"/>
    <w:rsid w:val="00001DCB"/>
    <w:rsid w:val="0000243F"/>
    <w:rsid w:val="00002695"/>
    <w:rsid w:val="00002A31"/>
    <w:rsid w:val="00002C51"/>
    <w:rsid w:val="000030AD"/>
    <w:rsid w:val="000032D7"/>
    <w:rsid w:val="000035B6"/>
    <w:rsid w:val="00003B8E"/>
    <w:rsid w:val="00003F4D"/>
    <w:rsid w:val="0000473F"/>
    <w:rsid w:val="00004A0A"/>
    <w:rsid w:val="00004B66"/>
    <w:rsid w:val="00004BB6"/>
    <w:rsid w:val="00004E93"/>
    <w:rsid w:val="00004EA3"/>
    <w:rsid w:val="00004F82"/>
    <w:rsid w:val="00005054"/>
    <w:rsid w:val="00005326"/>
    <w:rsid w:val="00005360"/>
    <w:rsid w:val="000055A1"/>
    <w:rsid w:val="0000585F"/>
    <w:rsid w:val="000058A3"/>
    <w:rsid w:val="00005BE5"/>
    <w:rsid w:val="00005DE6"/>
    <w:rsid w:val="00006004"/>
    <w:rsid w:val="00006355"/>
    <w:rsid w:val="00006449"/>
    <w:rsid w:val="0000666C"/>
    <w:rsid w:val="0000667D"/>
    <w:rsid w:val="00006924"/>
    <w:rsid w:val="00006AF7"/>
    <w:rsid w:val="00006D43"/>
    <w:rsid w:val="00006EC4"/>
    <w:rsid w:val="00006F6F"/>
    <w:rsid w:val="0000709B"/>
    <w:rsid w:val="00007148"/>
    <w:rsid w:val="00007817"/>
    <w:rsid w:val="00007835"/>
    <w:rsid w:val="00010432"/>
    <w:rsid w:val="000105AE"/>
    <w:rsid w:val="000106E1"/>
    <w:rsid w:val="0001078B"/>
    <w:rsid w:val="00010AA4"/>
    <w:rsid w:val="00010B88"/>
    <w:rsid w:val="00010B89"/>
    <w:rsid w:val="00010EB1"/>
    <w:rsid w:val="00011224"/>
    <w:rsid w:val="000113D3"/>
    <w:rsid w:val="0001148A"/>
    <w:rsid w:val="00011BD3"/>
    <w:rsid w:val="00011D2C"/>
    <w:rsid w:val="00011EE3"/>
    <w:rsid w:val="00012485"/>
    <w:rsid w:val="000124BF"/>
    <w:rsid w:val="000124D2"/>
    <w:rsid w:val="00012822"/>
    <w:rsid w:val="000128AE"/>
    <w:rsid w:val="000128FE"/>
    <w:rsid w:val="0001343B"/>
    <w:rsid w:val="0001346B"/>
    <w:rsid w:val="00013646"/>
    <w:rsid w:val="00013651"/>
    <w:rsid w:val="000136D4"/>
    <w:rsid w:val="00013ACD"/>
    <w:rsid w:val="00013E15"/>
    <w:rsid w:val="00013FC9"/>
    <w:rsid w:val="00013FF0"/>
    <w:rsid w:val="000140A9"/>
    <w:rsid w:val="000142F5"/>
    <w:rsid w:val="0001431A"/>
    <w:rsid w:val="00014B27"/>
    <w:rsid w:val="00014C51"/>
    <w:rsid w:val="00014C56"/>
    <w:rsid w:val="00014D38"/>
    <w:rsid w:val="00015287"/>
    <w:rsid w:val="0001533C"/>
    <w:rsid w:val="000157EC"/>
    <w:rsid w:val="00015A5B"/>
    <w:rsid w:val="00015D2A"/>
    <w:rsid w:val="00015E0A"/>
    <w:rsid w:val="00015FAC"/>
    <w:rsid w:val="0001608E"/>
    <w:rsid w:val="0001635E"/>
    <w:rsid w:val="00016474"/>
    <w:rsid w:val="000164D3"/>
    <w:rsid w:val="00016746"/>
    <w:rsid w:val="000167EC"/>
    <w:rsid w:val="00016967"/>
    <w:rsid w:val="00016996"/>
    <w:rsid w:val="00016BF9"/>
    <w:rsid w:val="00016C79"/>
    <w:rsid w:val="000170E8"/>
    <w:rsid w:val="00017194"/>
    <w:rsid w:val="0001725A"/>
    <w:rsid w:val="000173F5"/>
    <w:rsid w:val="0001761C"/>
    <w:rsid w:val="00017972"/>
    <w:rsid w:val="000179A4"/>
    <w:rsid w:val="000179F2"/>
    <w:rsid w:val="00017A97"/>
    <w:rsid w:val="00017B0D"/>
    <w:rsid w:val="00017C3B"/>
    <w:rsid w:val="00017C98"/>
    <w:rsid w:val="00017D88"/>
    <w:rsid w:val="00017DED"/>
    <w:rsid w:val="00017E45"/>
    <w:rsid w:val="000203C8"/>
    <w:rsid w:val="0002073B"/>
    <w:rsid w:val="00020925"/>
    <w:rsid w:val="0002095E"/>
    <w:rsid w:val="00020A81"/>
    <w:rsid w:val="00020BBC"/>
    <w:rsid w:val="00020C4B"/>
    <w:rsid w:val="00020DA6"/>
    <w:rsid w:val="000213F3"/>
    <w:rsid w:val="000214F5"/>
    <w:rsid w:val="00021610"/>
    <w:rsid w:val="000218BF"/>
    <w:rsid w:val="00021A47"/>
    <w:rsid w:val="00021E81"/>
    <w:rsid w:val="00021E9A"/>
    <w:rsid w:val="00021F29"/>
    <w:rsid w:val="00022110"/>
    <w:rsid w:val="000221BC"/>
    <w:rsid w:val="0002240C"/>
    <w:rsid w:val="0002249F"/>
    <w:rsid w:val="0002289F"/>
    <w:rsid w:val="00022950"/>
    <w:rsid w:val="000229F2"/>
    <w:rsid w:val="00022D49"/>
    <w:rsid w:val="00022F00"/>
    <w:rsid w:val="000233FF"/>
    <w:rsid w:val="0002340A"/>
    <w:rsid w:val="00023666"/>
    <w:rsid w:val="00023A80"/>
    <w:rsid w:val="00023E24"/>
    <w:rsid w:val="00024055"/>
    <w:rsid w:val="0002405F"/>
    <w:rsid w:val="00024218"/>
    <w:rsid w:val="000242A9"/>
    <w:rsid w:val="00024820"/>
    <w:rsid w:val="00024958"/>
    <w:rsid w:val="0002499C"/>
    <w:rsid w:val="00024A11"/>
    <w:rsid w:val="00024C50"/>
    <w:rsid w:val="00024CF9"/>
    <w:rsid w:val="00024DB7"/>
    <w:rsid w:val="00024FFB"/>
    <w:rsid w:val="00025013"/>
    <w:rsid w:val="000250F8"/>
    <w:rsid w:val="00025626"/>
    <w:rsid w:val="0002595A"/>
    <w:rsid w:val="00025B19"/>
    <w:rsid w:val="00025D10"/>
    <w:rsid w:val="00025E2A"/>
    <w:rsid w:val="00026511"/>
    <w:rsid w:val="00026AE4"/>
    <w:rsid w:val="00026E96"/>
    <w:rsid w:val="00026F0D"/>
    <w:rsid w:val="000271EA"/>
    <w:rsid w:val="0002793D"/>
    <w:rsid w:val="00027C78"/>
    <w:rsid w:val="000300C2"/>
    <w:rsid w:val="0003044A"/>
    <w:rsid w:val="000305A3"/>
    <w:rsid w:val="00030787"/>
    <w:rsid w:val="00030839"/>
    <w:rsid w:val="00031120"/>
    <w:rsid w:val="000313A4"/>
    <w:rsid w:val="0003169B"/>
    <w:rsid w:val="000317E2"/>
    <w:rsid w:val="00031BC4"/>
    <w:rsid w:val="00031EAE"/>
    <w:rsid w:val="00031FB9"/>
    <w:rsid w:val="00032016"/>
    <w:rsid w:val="0003201C"/>
    <w:rsid w:val="00032062"/>
    <w:rsid w:val="000324FE"/>
    <w:rsid w:val="0003250B"/>
    <w:rsid w:val="00032701"/>
    <w:rsid w:val="00032998"/>
    <w:rsid w:val="00033037"/>
    <w:rsid w:val="00033091"/>
    <w:rsid w:val="000332D3"/>
    <w:rsid w:val="0003356C"/>
    <w:rsid w:val="00033673"/>
    <w:rsid w:val="00033699"/>
    <w:rsid w:val="0003376F"/>
    <w:rsid w:val="00033791"/>
    <w:rsid w:val="00033AB7"/>
    <w:rsid w:val="000340D7"/>
    <w:rsid w:val="00034335"/>
    <w:rsid w:val="00034391"/>
    <w:rsid w:val="000343A8"/>
    <w:rsid w:val="000344ED"/>
    <w:rsid w:val="0003469D"/>
    <w:rsid w:val="00034724"/>
    <w:rsid w:val="00034B07"/>
    <w:rsid w:val="00034BB9"/>
    <w:rsid w:val="000350A3"/>
    <w:rsid w:val="00035252"/>
    <w:rsid w:val="000353C4"/>
    <w:rsid w:val="00035595"/>
    <w:rsid w:val="00035868"/>
    <w:rsid w:val="0003594C"/>
    <w:rsid w:val="00035BD4"/>
    <w:rsid w:val="00035C8E"/>
    <w:rsid w:val="000361AC"/>
    <w:rsid w:val="00036311"/>
    <w:rsid w:val="000365DA"/>
    <w:rsid w:val="000367AF"/>
    <w:rsid w:val="000369A4"/>
    <w:rsid w:val="00036D20"/>
    <w:rsid w:val="00036DAD"/>
    <w:rsid w:val="0003712E"/>
    <w:rsid w:val="00037204"/>
    <w:rsid w:val="00037973"/>
    <w:rsid w:val="000379EE"/>
    <w:rsid w:val="00037AD5"/>
    <w:rsid w:val="00040291"/>
    <w:rsid w:val="0004098F"/>
    <w:rsid w:val="00040FB2"/>
    <w:rsid w:val="00040FE3"/>
    <w:rsid w:val="0004170B"/>
    <w:rsid w:val="00041A0C"/>
    <w:rsid w:val="00041C7F"/>
    <w:rsid w:val="00041D3D"/>
    <w:rsid w:val="00041E2A"/>
    <w:rsid w:val="00041E96"/>
    <w:rsid w:val="00041F60"/>
    <w:rsid w:val="0004228A"/>
    <w:rsid w:val="00042AAA"/>
    <w:rsid w:val="00042BAB"/>
    <w:rsid w:val="00042D2E"/>
    <w:rsid w:val="00042E5F"/>
    <w:rsid w:val="00043190"/>
    <w:rsid w:val="00043581"/>
    <w:rsid w:val="00043631"/>
    <w:rsid w:val="00043A7F"/>
    <w:rsid w:val="00043B3B"/>
    <w:rsid w:val="00043E1B"/>
    <w:rsid w:val="000443B8"/>
    <w:rsid w:val="00044452"/>
    <w:rsid w:val="00044727"/>
    <w:rsid w:val="0004483E"/>
    <w:rsid w:val="00044C79"/>
    <w:rsid w:val="00045115"/>
    <w:rsid w:val="0004543A"/>
    <w:rsid w:val="0004550B"/>
    <w:rsid w:val="00045580"/>
    <w:rsid w:val="00045957"/>
    <w:rsid w:val="00045AE1"/>
    <w:rsid w:val="00045C8D"/>
    <w:rsid w:val="00046123"/>
    <w:rsid w:val="00046540"/>
    <w:rsid w:val="000468C7"/>
    <w:rsid w:val="000469E8"/>
    <w:rsid w:val="00047165"/>
    <w:rsid w:val="00047207"/>
    <w:rsid w:val="00047316"/>
    <w:rsid w:val="0004749B"/>
    <w:rsid w:val="00047510"/>
    <w:rsid w:val="000476C2"/>
    <w:rsid w:val="00047848"/>
    <w:rsid w:val="00047CCB"/>
    <w:rsid w:val="00047DE6"/>
    <w:rsid w:val="00047EBA"/>
    <w:rsid w:val="00047F40"/>
    <w:rsid w:val="000500B2"/>
    <w:rsid w:val="0005017A"/>
    <w:rsid w:val="000502E8"/>
    <w:rsid w:val="0005049F"/>
    <w:rsid w:val="0005054F"/>
    <w:rsid w:val="000509E9"/>
    <w:rsid w:val="00050A19"/>
    <w:rsid w:val="00050CE5"/>
    <w:rsid w:val="00050DFD"/>
    <w:rsid w:val="000512AD"/>
    <w:rsid w:val="000514CB"/>
    <w:rsid w:val="00051626"/>
    <w:rsid w:val="000518B2"/>
    <w:rsid w:val="000518CA"/>
    <w:rsid w:val="0005196E"/>
    <w:rsid w:val="00051B17"/>
    <w:rsid w:val="00051BF8"/>
    <w:rsid w:val="00051C1E"/>
    <w:rsid w:val="00052058"/>
    <w:rsid w:val="00052926"/>
    <w:rsid w:val="00052E33"/>
    <w:rsid w:val="00052EF9"/>
    <w:rsid w:val="00052F26"/>
    <w:rsid w:val="00053261"/>
    <w:rsid w:val="00053461"/>
    <w:rsid w:val="0005361E"/>
    <w:rsid w:val="000539AC"/>
    <w:rsid w:val="00053BD5"/>
    <w:rsid w:val="00053F77"/>
    <w:rsid w:val="00054199"/>
    <w:rsid w:val="000542A5"/>
    <w:rsid w:val="000545B1"/>
    <w:rsid w:val="0005482E"/>
    <w:rsid w:val="000548BA"/>
    <w:rsid w:val="00054E3C"/>
    <w:rsid w:val="000553BB"/>
    <w:rsid w:val="00055743"/>
    <w:rsid w:val="00055B4C"/>
    <w:rsid w:val="00055B9E"/>
    <w:rsid w:val="00055D39"/>
    <w:rsid w:val="0005605F"/>
    <w:rsid w:val="000560D4"/>
    <w:rsid w:val="00056240"/>
    <w:rsid w:val="00056329"/>
    <w:rsid w:val="0005644F"/>
    <w:rsid w:val="00056B58"/>
    <w:rsid w:val="00056C44"/>
    <w:rsid w:val="00056EBE"/>
    <w:rsid w:val="00056EFE"/>
    <w:rsid w:val="00056F4C"/>
    <w:rsid w:val="00056FA4"/>
    <w:rsid w:val="000570DC"/>
    <w:rsid w:val="000572F6"/>
    <w:rsid w:val="000572F7"/>
    <w:rsid w:val="00057692"/>
    <w:rsid w:val="000576D7"/>
    <w:rsid w:val="00057828"/>
    <w:rsid w:val="00057ABF"/>
    <w:rsid w:val="00057F89"/>
    <w:rsid w:val="000601B0"/>
    <w:rsid w:val="0006025B"/>
    <w:rsid w:val="000608C3"/>
    <w:rsid w:val="00060E78"/>
    <w:rsid w:val="00060F66"/>
    <w:rsid w:val="000610B7"/>
    <w:rsid w:val="000614D9"/>
    <w:rsid w:val="000618B0"/>
    <w:rsid w:val="0006191A"/>
    <w:rsid w:val="00061BA3"/>
    <w:rsid w:val="00061FE2"/>
    <w:rsid w:val="00062036"/>
    <w:rsid w:val="000624FA"/>
    <w:rsid w:val="00062550"/>
    <w:rsid w:val="00062B9B"/>
    <w:rsid w:val="00062BFE"/>
    <w:rsid w:val="00063195"/>
    <w:rsid w:val="000631A6"/>
    <w:rsid w:val="000632C7"/>
    <w:rsid w:val="000633A6"/>
    <w:rsid w:val="000633EF"/>
    <w:rsid w:val="00063566"/>
    <w:rsid w:val="000635B0"/>
    <w:rsid w:val="0006368B"/>
    <w:rsid w:val="00063A91"/>
    <w:rsid w:val="00063AA3"/>
    <w:rsid w:val="00063B80"/>
    <w:rsid w:val="00063C8F"/>
    <w:rsid w:val="00064194"/>
    <w:rsid w:val="00064363"/>
    <w:rsid w:val="000643B7"/>
    <w:rsid w:val="00064436"/>
    <w:rsid w:val="00064483"/>
    <w:rsid w:val="0006453D"/>
    <w:rsid w:val="000646AB"/>
    <w:rsid w:val="00064B0F"/>
    <w:rsid w:val="00064E9A"/>
    <w:rsid w:val="00065592"/>
    <w:rsid w:val="00065633"/>
    <w:rsid w:val="00065841"/>
    <w:rsid w:val="00065A57"/>
    <w:rsid w:val="00065C69"/>
    <w:rsid w:val="0006616C"/>
    <w:rsid w:val="0006617C"/>
    <w:rsid w:val="000663B7"/>
    <w:rsid w:val="00066455"/>
    <w:rsid w:val="000669BB"/>
    <w:rsid w:val="000669C0"/>
    <w:rsid w:val="00066C24"/>
    <w:rsid w:val="00066C81"/>
    <w:rsid w:val="00066E36"/>
    <w:rsid w:val="000673F0"/>
    <w:rsid w:val="0006783E"/>
    <w:rsid w:val="00067847"/>
    <w:rsid w:val="000679FC"/>
    <w:rsid w:val="00067A4D"/>
    <w:rsid w:val="00067FC7"/>
    <w:rsid w:val="000700AD"/>
    <w:rsid w:val="000700C5"/>
    <w:rsid w:val="00070331"/>
    <w:rsid w:val="00070634"/>
    <w:rsid w:val="00071199"/>
    <w:rsid w:val="000712E0"/>
    <w:rsid w:val="000714B1"/>
    <w:rsid w:val="00071699"/>
    <w:rsid w:val="00071AF6"/>
    <w:rsid w:val="00071C20"/>
    <w:rsid w:val="00071F5C"/>
    <w:rsid w:val="000720D9"/>
    <w:rsid w:val="0007234E"/>
    <w:rsid w:val="0007273A"/>
    <w:rsid w:val="000729EE"/>
    <w:rsid w:val="0007304D"/>
    <w:rsid w:val="000731F6"/>
    <w:rsid w:val="0007325F"/>
    <w:rsid w:val="00073334"/>
    <w:rsid w:val="000733BA"/>
    <w:rsid w:val="00073686"/>
    <w:rsid w:val="00073978"/>
    <w:rsid w:val="00073A27"/>
    <w:rsid w:val="00073FD5"/>
    <w:rsid w:val="00073FD9"/>
    <w:rsid w:val="00074755"/>
    <w:rsid w:val="00074931"/>
    <w:rsid w:val="00074B71"/>
    <w:rsid w:val="00075021"/>
    <w:rsid w:val="0007504E"/>
    <w:rsid w:val="000752A9"/>
    <w:rsid w:val="0007583E"/>
    <w:rsid w:val="00075A46"/>
    <w:rsid w:val="00075C25"/>
    <w:rsid w:val="00075D07"/>
    <w:rsid w:val="00075F98"/>
    <w:rsid w:val="000766AC"/>
    <w:rsid w:val="00076717"/>
    <w:rsid w:val="000768B0"/>
    <w:rsid w:val="00076C6B"/>
    <w:rsid w:val="00076C96"/>
    <w:rsid w:val="00076F7D"/>
    <w:rsid w:val="00077128"/>
    <w:rsid w:val="00077435"/>
    <w:rsid w:val="00077BB6"/>
    <w:rsid w:val="00077E99"/>
    <w:rsid w:val="00077FD2"/>
    <w:rsid w:val="00080433"/>
    <w:rsid w:val="00080809"/>
    <w:rsid w:val="00080BCD"/>
    <w:rsid w:val="00080C96"/>
    <w:rsid w:val="00080E0D"/>
    <w:rsid w:val="00081024"/>
    <w:rsid w:val="00081100"/>
    <w:rsid w:val="00081547"/>
    <w:rsid w:val="00081715"/>
    <w:rsid w:val="0008201C"/>
    <w:rsid w:val="000821F0"/>
    <w:rsid w:val="000822F6"/>
    <w:rsid w:val="00082511"/>
    <w:rsid w:val="00082BA9"/>
    <w:rsid w:val="00082C38"/>
    <w:rsid w:val="00082C78"/>
    <w:rsid w:val="00082D95"/>
    <w:rsid w:val="00082D9D"/>
    <w:rsid w:val="00082F02"/>
    <w:rsid w:val="000831BA"/>
    <w:rsid w:val="0008325A"/>
    <w:rsid w:val="00083822"/>
    <w:rsid w:val="000839FD"/>
    <w:rsid w:val="00083C5B"/>
    <w:rsid w:val="000843BA"/>
    <w:rsid w:val="00084404"/>
    <w:rsid w:val="00084657"/>
    <w:rsid w:val="000848F2"/>
    <w:rsid w:val="0008496E"/>
    <w:rsid w:val="000849DA"/>
    <w:rsid w:val="00084C42"/>
    <w:rsid w:val="00085426"/>
    <w:rsid w:val="00085594"/>
    <w:rsid w:val="00085882"/>
    <w:rsid w:val="00085CC0"/>
    <w:rsid w:val="000865AA"/>
    <w:rsid w:val="0008676F"/>
    <w:rsid w:val="00086794"/>
    <w:rsid w:val="0008681E"/>
    <w:rsid w:val="00086A04"/>
    <w:rsid w:val="00086A55"/>
    <w:rsid w:val="00086A70"/>
    <w:rsid w:val="00087040"/>
    <w:rsid w:val="0008734E"/>
    <w:rsid w:val="000878F2"/>
    <w:rsid w:val="00087BF1"/>
    <w:rsid w:val="00087CDD"/>
    <w:rsid w:val="00087D83"/>
    <w:rsid w:val="00087FAB"/>
    <w:rsid w:val="0009021E"/>
    <w:rsid w:val="00090896"/>
    <w:rsid w:val="00090934"/>
    <w:rsid w:val="0009094E"/>
    <w:rsid w:val="00090D0A"/>
    <w:rsid w:val="00090E9D"/>
    <w:rsid w:val="000910E9"/>
    <w:rsid w:val="000917C1"/>
    <w:rsid w:val="00091980"/>
    <w:rsid w:val="00091F96"/>
    <w:rsid w:val="00091FFC"/>
    <w:rsid w:val="00092C5A"/>
    <w:rsid w:val="00092ED4"/>
    <w:rsid w:val="00092F13"/>
    <w:rsid w:val="0009314E"/>
    <w:rsid w:val="00093162"/>
    <w:rsid w:val="000931E5"/>
    <w:rsid w:val="00093211"/>
    <w:rsid w:val="00093553"/>
    <w:rsid w:val="0009355B"/>
    <w:rsid w:val="0009356B"/>
    <w:rsid w:val="00093636"/>
    <w:rsid w:val="00093734"/>
    <w:rsid w:val="000937DA"/>
    <w:rsid w:val="00093867"/>
    <w:rsid w:val="00093E85"/>
    <w:rsid w:val="00094306"/>
    <w:rsid w:val="0009433C"/>
    <w:rsid w:val="00094414"/>
    <w:rsid w:val="000947B4"/>
    <w:rsid w:val="000949A1"/>
    <w:rsid w:val="00094A9C"/>
    <w:rsid w:val="00094BC3"/>
    <w:rsid w:val="00094C27"/>
    <w:rsid w:val="00094C72"/>
    <w:rsid w:val="00094EDF"/>
    <w:rsid w:val="0009515C"/>
    <w:rsid w:val="000957B6"/>
    <w:rsid w:val="00095887"/>
    <w:rsid w:val="00095963"/>
    <w:rsid w:val="000959D6"/>
    <w:rsid w:val="00095AFE"/>
    <w:rsid w:val="00095C94"/>
    <w:rsid w:val="00095D1A"/>
    <w:rsid w:val="00095D64"/>
    <w:rsid w:val="0009612C"/>
    <w:rsid w:val="0009653C"/>
    <w:rsid w:val="00096621"/>
    <w:rsid w:val="00096642"/>
    <w:rsid w:val="000966F4"/>
    <w:rsid w:val="000968F8"/>
    <w:rsid w:val="00096A4F"/>
    <w:rsid w:val="00096C60"/>
    <w:rsid w:val="00096CA5"/>
    <w:rsid w:val="00096CBD"/>
    <w:rsid w:val="0009706A"/>
    <w:rsid w:val="00097114"/>
    <w:rsid w:val="00097152"/>
    <w:rsid w:val="000973D8"/>
    <w:rsid w:val="00097B8F"/>
    <w:rsid w:val="00097D3F"/>
    <w:rsid w:val="00097E71"/>
    <w:rsid w:val="00097E9A"/>
    <w:rsid w:val="0009B14A"/>
    <w:rsid w:val="000A01D1"/>
    <w:rsid w:val="000A0508"/>
    <w:rsid w:val="000A0594"/>
    <w:rsid w:val="000A0764"/>
    <w:rsid w:val="000A08BA"/>
    <w:rsid w:val="000A09EB"/>
    <w:rsid w:val="000A0F4D"/>
    <w:rsid w:val="000A1183"/>
    <w:rsid w:val="000A159E"/>
    <w:rsid w:val="000A15DA"/>
    <w:rsid w:val="000A170A"/>
    <w:rsid w:val="000A1BC1"/>
    <w:rsid w:val="000A2273"/>
    <w:rsid w:val="000A2574"/>
    <w:rsid w:val="000A2AA1"/>
    <w:rsid w:val="000A2C7A"/>
    <w:rsid w:val="000A2DFD"/>
    <w:rsid w:val="000A311C"/>
    <w:rsid w:val="000A39C0"/>
    <w:rsid w:val="000A3BA8"/>
    <w:rsid w:val="000A3DFB"/>
    <w:rsid w:val="000A3E67"/>
    <w:rsid w:val="000A3FD5"/>
    <w:rsid w:val="000A3FD9"/>
    <w:rsid w:val="000A3FFD"/>
    <w:rsid w:val="000A42BF"/>
    <w:rsid w:val="000A4419"/>
    <w:rsid w:val="000A4853"/>
    <w:rsid w:val="000A4F33"/>
    <w:rsid w:val="000A502C"/>
    <w:rsid w:val="000A57A5"/>
    <w:rsid w:val="000A5B24"/>
    <w:rsid w:val="000A5C65"/>
    <w:rsid w:val="000A5E97"/>
    <w:rsid w:val="000A5FB1"/>
    <w:rsid w:val="000A60F8"/>
    <w:rsid w:val="000A66DB"/>
    <w:rsid w:val="000A68A3"/>
    <w:rsid w:val="000A6BB8"/>
    <w:rsid w:val="000A6C3E"/>
    <w:rsid w:val="000A6FA2"/>
    <w:rsid w:val="000A7301"/>
    <w:rsid w:val="000A771E"/>
    <w:rsid w:val="000A7C98"/>
    <w:rsid w:val="000A7E19"/>
    <w:rsid w:val="000A7F5B"/>
    <w:rsid w:val="000B002D"/>
    <w:rsid w:val="000B02B3"/>
    <w:rsid w:val="000B050E"/>
    <w:rsid w:val="000B0AB0"/>
    <w:rsid w:val="000B0B76"/>
    <w:rsid w:val="000B1456"/>
    <w:rsid w:val="000B1519"/>
    <w:rsid w:val="000B1566"/>
    <w:rsid w:val="000B18C2"/>
    <w:rsid w:val="000B1974"/>
    <w:rsid w:val="000B1E61"/>
    <w:rsid w:val="000B2106"/>
    <w:rsid w:val="000B239D"/>
    <w:rsid w:val="000B2872"/>
    <w:rsid w:val="000B29AA"/>
    <w:rsid w:val="000B29C9"/>
    <w:rsid w:val="000B2B8D"/>
    <w:rsid w:val="000B2C27"/>
    <w:rsid w:val="000B2C31"/>
    <w:rsid w:val="000B2DC1"/>
    <w:rsid w:val="000B349A"/>
    <w:rsid w:val="000B3B27"/>
    <w:rsid w:val="000B3C3E"/>
    <w:rsid w:val="000B3F67"/>
    <w:rsid w:val="000B4185"/>
    <w:rsid w:val="000B4341"/>
    <w:rsid w:val="000B43D8"/>
    <w:rsid w:val="000B4541"/>
    <w:rsid w:val="000B492C"/>
    <w:rsid w:val="000B4A4D"/>
    <w:rsid w:val="000B4C68"/>
    <w:rsid w:val="000B4D47"/>
    <w:rsid w:val="000B50F7"/>
    <w:rsid w:val="000B51BA"/>
    <w:rsid w:val="000B5495"/>
    <w:rsid w:val="000B577D"/>
    <w:rsid w:val="000B5899"/>
    <w:rsid w:val="000B58B9"/>
    <w:rsid w:val="000B59B8"/>
    <w:rsid w:val="000B60AB"/>
    <w:rsid w:val="000B6525"/>
    <w:rsid w:val="000B697B"/>
    <w:rsid w:val="000B6A23"/>
    <w:rsid w:val="000B6A4F"/>
    <w:rsid w:val="000B6C34"/>
    <w:rsid w:val="000B6D73"/>
    <w:rsid w:val="000B6DA2"/>
    <w:rsid w:val="000B6E3E"/>
    <w:rsid w:val="000B7154"/>
    <w:rsid w:val="000B7181"/>
    <w:rsid w:val="000B7348"/>
    <w:rsid w:val="000B73BE"/>
    <w:rsid w:val="000B747F"/>
    <w:rsid w:val="000B749A"/>
    <w:rsid w:val="000B74DA"/>
    <w:rsid w:val="000B7667"/>
    <w:rsid w:val="000B77C0"/>
    <w:rsid w:val="000B7979"/>
    <w:rsid w:val="000B7BA3"/>
    <w:rsid w:val="000B7C11"/>
    <w:rsid w:val="000B7C63"/>
    <w:rsid w:val="000B7FEA"/>
    <w:rsid w:val="000C0116"/>
    <w:rsid w:val="000C016C"/>
    <w:rsid w:val="000C0FE3"/>
    <w:rsid w:val="000C1184"/>
    <w:rsid w:val="000C12E9"/>
    <w:rsid w:val="000C189C"/>
    <w:rsid w:val="000C1BD0"/>
    <w:rsid w:val="000C1F36"/>
    <w:rsid w:val="000C24DF"/>
    <w:rsid w:val="000C2550"/>
    <w:rsid w:val="000C258D"/>
    <w:rsid w:val="000C2675"/>
    <w:rsid w:val="000C26A6"/>
    <w:rsid w:val="000C27E8"/>
    <w:rsid w:val="000C29D6"/>
    <w:rsid w:val="000C3467"/>
    <w:rsid w:val="000C356C"/>
    <w:rsid w:val="000C367B"/>
    <w:rsid w:val="000C37D5"/>
    <w:rsid w:val="000C3AF4"/>
    <w:rsid w:val="000C3CE2"/>
    <w:rsid w:val="000C4559"/>
    <w:rsid w:val="000C4B2D"/>
    <w:rsid w:val="000C4B8B"/>
    <w:rsid w:val="000C4C7B"/>
    <w:rsid w:val="000C4D3F"/>
    <w:rsid w:val="000C503E"/>
    <w:rsid w:val="000C5069"/>
    <w:rsid w:val="000C507F"/>
    <w:rsid w:val="000C592D"/>
    <w:rsid w:val="000C5A4E"/>
    <w:rsid w:val="000C5DB0"/>
    <w:rsid w:val="000C5FE6"/>
    <w:rsid w:val="000C62F1"/>
    <w:rsid w:val="000C668D"/>
    <w:rsid w:val="000C68E3"/>
    <w:rsid w:val="000C6CCD"/>
    <w:rsid w:val="000C6D5D"/>
    <w:rsid w:val="000C6E1B"/>
    <w:rsid w:val="000C6EBE"/>
    <w:rsid w:val="000C748E"/>
    <w:rsid w:val="000C7B57"/>
    <w:rsid w:val="000C7CC3"/>
    <w:rsid w:val="000C7D13"/>
    <w:rsid w:val="000C7E1D"/>
    <w:rsid w:val="000D017C"/>
    <w:rsid w:val="000D03F3"/>
    <w:rsid w:val="000D08AD"/>
    <w:rsid w:val="000D0A8F"/>
    <w:rsid w:val="000D0B8C"/>
    <w:rsid w:val="000D11D2"/>
    <w:rsid w:val="000D11EC"/>
    <w:rsid w:val="000D1423"/>
    <w:rsid w:val="000D16E7"/>
    <w:rsid w:val="000D1771"/>
    <w:rsid w:val="000D18DD"/>
    <w:rsid w:val="000D1CA2"/>
    <w:rsid w:val="000D1FA0"/>
    <w:rsid w:val="000D1FAC"/>
    <w:rsid w:val="000D1FBA"/>
    <w:rsid w:val="000D1FC4"/>
    <w:rsid w:val="000D2000"/>
    <w:rsid w:val="000D2050"/>
    <w:rsid w:val="000D2162"/>
    <w:rsid w:val="000D2168"/>
    <w:rsid w:val="000D25DA"/>
    <w:rsid w:val="000D2667"/>
    <w:rsid w:val="000D26EA"/>
    <w:rsid w:val="000D3040"/>
    <w:rsid w:val="000D3817"/>
    <w:rsid w:val="000D3988"/>
    <w:rsid w:val="000D3CEF"/>
    <w:rsid w:val="000D3D76"/>
    <w:rsid w:val="000D3D8C"/>
    <w:rsid w:val="000D3E86"/>
    <w:rsid w:val="000D403A"/>
    <w:rsid w:val="000D43E5"/>
    <w:rsid w:val="000D440C"/>
    <w:rsid w:val="000D4718"/>
    <w:rsid w:val="000D4920"/>
    <w:rsid w:val="000D4FBD"/>
    <w:rsid w:val="000D511C"/>
    <w:rsid w:val="000D5179"/>
    <w:rsid w:val="000D51BB"/>
    <w:rsid w:val="000D5407"/>
    <w:rsid w:val="000D5606"/>
    <w:rsid w:val="000D5989"/>
    <w:rsid w:val="000D5FA9"/>
    <w:rsid w:val="000D6185"/>
    <w:rsid w:val="000D61B1"/>
    <w:rsid w:val="000D631B"/>
    <w:rsid w:val="000D6500"/>
    <w:rsid w:val="000D682B"/>
    <w:rsid w:val="000D695F"/>
    <w:rsid w:val="000D6A21"/>
    <w:rsid w:val="000D6A5F"/>
    <w:rsid w:val="000D6AAC"/>
    <w:rsid w:val="000D6BA3"/>
    <w:rsid w:val="000D6CE1"/>
    <w:rsid w:val="000D6D63"/>
    <w:rsid w:val="000D7483"/>
    <w:rsid w:val="000D759F"/>
    <w:rsid w:val="000D75BA"/>
    <w:rsid w:val="000D7B16"/>
    <w:rsid w:val="000D7D89"/>
    <w:rsid w:val="000E011C"/>
    <w:rsid w:val="000E09D2"/>
    <w:rsid w:val="000E0CED"/>
    <w:rsid w:val="000E0E3F"/>
    <w:rsid w:val="000E0EE4"/>
    <w:rsid w:val="000E102B"/>
    <w:rsid w:val="000E10E8"/>
    <w:rsid w:val="000E116A"/>
    <w:rsid w:val="000E12BD"/>
    <w:rsid w:val="000E12E0"/>
    <w:rsid w:val="000E1322"/>
    <w:rsid w:val="000E13F1"/>
    <w:rsid w:val="000E160A"/>
    <w:rsid w:val="000E177D"/>
    <w:rsid w:val="000E1834"/>
    <w:rsid w:val="000E1960"/>
    <w:rsid w:val="000E1999"/>
    <w:rsid w:val="000E1D04"/>
    <w:rsid w:val="000E2228"/>
    <w:rsid w:val="000E24B0"/>
    <w:rsid w:val="000E27A0"/>
    <w:rsid w:val="000E2CF1"/>
    <w:rsid w:val="000E2F39"/>
    <w:rsid w:val="000E32AD"/>
    <w:rsid w:val="000E3770"/>
    <w:rsid w:val="000E3A30"/>
    <w:rsid w:val="000E3B81"/>
    <w:rsid w:val="000E3F53"/>
    <w:rsid w:val="000E4222"/>
    <w:rsid w:val="000E4347"/>
    <w:rsid w:val="000E4706"/>
    <w:rsid w:val="000E4F13"/>
    <w:rsid w:val="000E52A3"/>
    <w:rsid w:val="000E53A3"/>
    <w:rsid w:val="000E53FD"/>
    <w:rsid w:val="000E5AC1"/>
    <w:rsid w:val="000E603C"/>
    <w:rsid w:val="000E6058"/>
    <w:rsid w:val="000E61F4"/>
    <w:rsid w:val="000E6614"/>
    <w:rsid w:val="000E6791"/>
    <w:rsid w:val="000E6AA9"/>
    <w:rsid w:val="000E6D98"/>
    <w:rsid w:val="000E6ECA"/>
    <w:rsid w:val="000E714D"/>
    <w:rsid w:val="000E766C"/>
    <w:rsid w:val="000E7685"/>
    <w:rsid w:val="000E7802"/>
    <w:rsid w:val="000E7972"/>
    <w:rsid w:val="000E79AF"/>
    <w:rsid w:val="000E7B4C"/>
    <w:rsid w:val="000E7C71"/>
    <w:rsid w:val="000E7DBA"/>
    <w:rsid w:val="000E7DC2"/>
    <w:rsid w:val="000F011D"/>
    <w:rsid w:val="000F037F"/>
    <w:rsid w:val="000F0B82"/>
    <w:rsid w:val="000F0F2E"/>
    <w:rsid w:val="000F0F40"/>
    <w:rsid w:val="000F11C2"/>
    <w:rsid w:val="000F1594"/>
    <w:rsid w:val="000F16C1"/>
    <w:rsid w:val="000F1821"/>
    <w:rsid w:val="000F1CE7"/>
    <w:rsid w:val="000F2426"/>
    <w:rsid w:val="000F2512"/>
    <w:rsid w:val="000F261D"/>
    <w:rsid w:val="000F2984"/>
    <w:rsid w:val="000F2C78"/>
    <w:rsid w:val="000F2D0B"/>
    <w:rsid w:val="000F2D46"/>
    <w:rsid w:val="000F2DD6"/>
    <w:rsid w:val="000F30AB"/>
    <w:rsid w:val="000F3249"/>
    <w:rsid w:val="000F32F7"/>
    <w:rsid w:val="000F357C"/>
    <w:rsid w:val="000F37EC"/>
    <w:rsid w:val="000F37F7"/>
    <w:rsid w:val="000F389B"/>
    <w:rsid w:val="000F3EFB"/>
    <w:rsid w:val="000F47CF"/>
    <w:rsid w:val="000F4C34"/>
    <w:rsid w:val="000F4D2C"/>
    <w:rsid w:val="000F4FD6"/>
    <w:rsid w:val="000F58BF"/>
    <w:rsid w:val="000F5BC1"/>
    <w:rsid w:val="000F5E3B"/>
    <w:rsid w:val="000F6205"/>
    <w:rsid w:val="000F651A"/>
    <w:rsid w:val="000F6BA4"/>
    <w:rsid w:val="000F6BF0"/>
    <w:rsid w:val="000F6E17"/>
    <w:rsid w:val="000F6F4C"/>
    <w:rsid w:val="000F7716"/>
    <w:rsid w:val="000F772F"/>
    <w:rsid w:val="000F7914"/>
    <w:rsid w:val="000F7A80"/>
    <w:rsid w:val="000F7BDE"/>
    <w:rsid w:val="000F7DC6"/>
    <w:rsid w:val="000F7F50"/>
    <w:rsid w:val="000F7F54"/>
    <w:rsid w:val="000F7F91"/>
    <w:rsid w:val="000F7FA4"/>
    <w:rsid w:val="000FDFC2"/>
    <w:rsid w:val="0010021C"/>
    <w:rsid w:val="0010024E"/>
    <w:rsid w:val="001003AE"/>
    <w:rsid w:val="001004FB"/>
    <w:rsid w:val="001007BB"/>
    <w:rsid w:val="00100BE0"/>
    <w:rsid w:val="00100E2F"/>
    <w:rsid w:val="00100F61"/>
    <w:rsid w:val="00101248"/>
    <w:rsid w:val="0010138C"/>
    <w:rsid w:val="00101725"/>
    <w:rsid w:val="0010181A"/>
    <w:rsid w:val="00101826"/>
    <w:rsid w:val="00101B1F"/>
    <w:rsid w:val="00101C22"/>
    <w:rsid w:val="00101FE1"/>
    <w:rsid w:val="0010220B"/>
    <w:rsid w:val="00102627"/>
    <w:rsid w:val="001026A4"/>
    <w:rsid w:val="001026F2"/>
    <w:rsid w:val="00102798"/>
    <w:rsid w:val="00102910"/>
    <w:rsid w:val="00102971"/>
    <w:rsid w:val="00102A68"/>
    <w:rsid w:val="00102C65"/>
    <w:rsid w:val="00102EEF"/>
    <w:rsid w:val="00103043"/>
    <w:rsid w:val="001030FB"/>
    <w:rsid w:val="001032F5"/>
    <w:rsid w:val="00103378"/>
    <w:rsid w:val="00103379"/>
    <w:rsid w:val="00103475"/>
    <w:rsid w:val="001037C0"/>
    <w:rsid w:val="001037D9"/>
    <w:rsid w:val="00103902"/>
    <w:rsid w:val="001039FE"/>
    <w:rsid w:val="00103B60"/>
    <w:rsid w:val="00103D43"/>
    <w:rsid w:val="00104108"/>
    <w:rsid w:val="00104568"/>
    <w:rsid w:val="001045C9"/>
    <w:rsid w:val="00104785"/>
    <w:rsid w:val="00104B8B"/>
    <w:rsid w:val="001050D7"/>
    <w:rsid w:val="0010554A"/>
    <w:rsid w:val="001057DD"/>
    <w:rsid w:val="001057F7"/>
    <w:rsid w:val="00105AD9"/>
    <w:rsid w:val="00105C30"/>
    <w:rsid w:val="00105E19"/>
    <w:rsid w:val="001063A7"/>
    <w:rsid w:val="0010648C"/>
    <w:rsid w:val="0010648D"/>
    <w:rsid w:val="0010655D"/>
    <w:rsid w:val="001065A6"/>
    <w:rsid w:val="00106C47"/>
    <w:rsid w:val="00106F94"/>
    <w:rsid w:val="00107148"/>
    <w:rsid w:val="0010728B"/>
    <w:rsid w:val="001072B0"/>
    <w:rsid w:val="0010770D"/>
    <w:rsid w:val="00107910"/>
    <w:rsid w:val="001079FF"/>
    <w:rsid w:val="00107CBA"/>
    <w:rsid w:val="00107E8A"/>
    <w:rsid w:val="00107EF3"/>
    <w:rsid w:val="001100FC"/>
    <w:rsid w:val="001101A1"/>
    <w:rsid w:val="001102C2"/>
    <w:rsid w:val="001107AE"/>
    <w:rsid w:val="00110C40"/>
    <w:rsid w:val="00110C5E"/>
    <w:rsid w:val="00110C5F"/>
    <w:rsid w:val="00110CD8"/>
    <w:rsid w:val="00111116"/>
    <w:rsid w:val="00111387"/>
    <w:rsid w:val="001114A1"/>
    <w:rsid w:val="001115B1"/>
    <w:rsid w:val="0011180D"/>
    <w:rsid w:val="00111B84"/>
    <w:rsid w:val="00111BB2"/>
    <w:rsid w:val="00111C02"/>
    <w:rsid w:val="00111E2A"/>
    <w:rsid w:val="00111EB7"/>
    <w:rsid w:val="0011231B"/>
    <w:rsid w:val="001126FD"/>
    <w:rsid w:val="001129AC"/>
    <w:rsid w:val="00112B68"/>
    <w:rsid w:val="00112CDB"/>
    <w:rsid w:val="00113626"/>
    <w:rsid w:val="001136DE"/>
    <w:rsid w:val="0011379E"/>
    <w:rsid w:val="00113BAE"/>
    <w:rsid w:val="00113CB3"/>
    <w:rsid w:val="00113D72"/>
    <w:rsid w:val="00113D86"/>
    <w:rsid w:val="00113E51"/>
    <w:rsid w:val="00113F4B"/>
    <w:rsid w:val="001140B7"/>
    <w:rsid w:val="001140BE"/>
    <w:rsid w:val="00114259"/>
    <w:rsid w:val="001143F5"/>
    <w:rsid w:val="00114594"/>
    <w:rsid w:val="0011491A"/>
    <w:rsid w:val="001149D6"/>
    <w:rsid w:val="00114A0A"/>
    <w:rsid w:val="00114A2C"/>
    <w:rsid w:val="00114A72"/>
    <w:rsid w:val="00114AB7"/>
    <w:rsid w:val="00114C18"/>
    <w:rsid w:val="00114CA8"/>
    <w:rsid w:val="00114D6C"/>
    <w:rsid w:val="00114E7A"/>
    <w:rsid w:val="001150FE"/>
    <w:rsid w:val="0011524F"/>
    <w:rsid w:val="00115821"/>
    <w:rsid w:val="00115874"/>
    <w:rsid w:val="00115BA6"/>
    <w:rsid w:val="00115C56"/>
    <w:rsid w:val="00115D52"/>
    <w:rsid w:val="00115EAD"/>
    <w:rsid w:val="001160AF"/>
    <w:rsid w:val="0011697C"/>
    <w:rsid w:val="00116D65"/>
    <w:rsid w:val="00117048"/>
    <w:rsid w:val="001171D3"/>
    <w:rsid w:val="001178B4"/>
    <w:rsid w:val="00117BBC"/>
    <w:rsid w:val="00117DF9"/>
    <w:rsid w:val="00117E61"/>
    <w:rsid w:val="00117E71"/>
    <w:rsid w:val="00118D4F"/>
    <w:rsid w:val="001203B9"/>
    <w:rsid w:val="00120484"/>
    <w:rsid w:val="00120757"/>
    <w:rsid w:val="00120CDE"/>
    <w:rsid w:val="00120E21"/>
    <w:rsid w:val="001210F5"/>
    <w:rsid w:val="00121198"/>
    <w:rsid w:val="001216E2"/>
    <w:rsid w:val="00121716"/>
    <w:rsid w:val="001219C6"/>
    <w:rsid w:val="00121D6B"/>
    <w:rsid w:val="00121D86"/>
    <w:rsid w:val="00121E9D"/>
    <w:rsid w:val="00121F1A"/>
    <w:rsid w:val="00121F6E"/>
    <w:rsid w:val="00122005"/>
    <w:rsid w:val="001220F1"/>
    <w:rsid w:val="00122299"/>
    <w:rsid w:val="001227DF"/>
    <w:rsid w:val="00122954"/>
    <w:rsid w:val="00122DBD"/>
    <w:rsid w:val="00122E31"/>
    <w:rsid w:val="00122FF4"/>
    <w:rsid w:val="001230EA"/>
    <w:rsid w:val="00123194"/>
    <w:rsid w:val="001233C3"/>
    <w:rsid w:val="001235B8"/>
    <w:rsid w:val="00123739"/>
    <w:rsid w:val="00123E41"/>
    <w:rsid w:val="001240E3"/>
    <w:rsid w:val="001242BF"/>
    <w:rsid w:val="001243DC"/>
    <w:rsid w:val="00124462"/>
    <w:rsid w:val="00124505"/>
    <w:rsid w:val="00124A36"/>
    <w:rsid w:val="00124B17"/>
    <w:rsid w:val="00124B6D"/>
    <w:rsid w:val="00124D6D"/>
    <w:rsid w:val="00124DC7"/>
    <w:rsid w:val="00124E55"/>
    <w:rsid w:val="0012525E"/>
    <w:rsid w:val="001254C9"/>
    <w:rsid w:val="001255D4"/>
    <w:rsid w:val="00125823"/>
    <w:rsid w:val="00125A29"/>
    <w:rsid w:val="00125D79"/>
    <w:rsid w:val="00126019"/>
    <w:rsid w:val="0012635E"/>
    <w:rsid w:val="00126421"/>
    <w:rsid w:val="001264B1"/>
    <w:rsid w:val="00126631"/>
    <w:rsid w:val="001269B9"/>
    <w:rsid w:val="00126A6A"/>
    <w:rsid w:val="00126BD1"/>
    <w:rsid w:val="00126F67"/>
    <w:rsid w:val="00126FA2"/>
    <w:rsid w:val="001270F0"/>
    <w:rsid w:val="00127338"/>
    <w:rsid w:val="001274B7"/>
    <w:rsid w:val="00127B27"/>
    <w:rsid w:val="00127EE1"/>
    <w:rsid w:val="00127F88"/>
    <w:rsid w:val="00130714"/>
    <w:rsid w:val="00130882"/>
    <w:rsid w:val="00130A2D"/>
    <w:rsid w:val="00130AA8"/>
    <w:rsid w:val="00130C1F"/>
    <w:rsid w:val="00130C50"/>
    <w:rsid w:val="00131346"/>
    <w:rsid w:val="001314D2"/>
    <w:rsid w:val="001314FC"/>
    <w:rsid w:val="00131583"/>
    <w:rsid w:val="001318DF"/>
    <w:rsid w:val="00131A91"/>
    <w:rsid w:val="00131CA2"/>
    <w:rsid w:val="0013265D"/>
    <w:rsid w:val="00132A8E"/>
    <w:rsid w:val="00132C93"/>
    <w:rsid w:val="00132EF8"/>
    <w:rsid w:val="00132F43"/>
    <w:rsid w:val="00133165"/>
    <w:rsid w:val="00133639"/>
    <w:rsid w:val="00133D19"/>
    <w:rsid w:val="00133DDC"/>
    <w:rsid w:val="00133EE0"/>
    <w:rsid w:val="0013404F"/>
    <w:rsid w:val="001340F8"/>
    <w:rsid w:val="001341B0"/>
    <w:rsid w:val="00134258"/>
    <w:rsid w:val="0013437C"/>
    <w:rsid w:val="0013448B"/>
    <w:rsid w:val="00134986"/>
    <w:rsid w:val="00134A54"/>
    <w:rsid w:val="00134B63"/>
    <w:rsid w:val="00134C4F"/>
    <w:rsid w:val="00134D39"/>
    <w:rsid w:val="00134DAB"/>
    <w:rsid w:val="00134EF7"/>
    <w:rsid w:val="001350C9"/>
    <w:rsid w:val="001350D1"/>
    <w:rsid w:val="00135304"/>
    <w:rsid w:val="0013551F"/>
    <w:rsid w:val="00135688"/>
    <w:rsid w:val="00135710"/>
    <w:rsid w:val="0013586C"/>
    <w:rsid w:val="0013589D"/>
    <w:rsid w:val="001359E7"/>
    <w:rsid w:val="00135BD4"/>
    <w:rsid w:val="00135CF6"/>
    <w:rsid w:val="00135DD2"/>
    <w:rsid w:val="0013603E"/>
    <w:rsid w:val="001364AB"/>
    <w:rsid w:val="001364BB"/>
    <w:rsid w:val="00136BEF"/>
    <w:rsid w:val="00136D10"/>
    <w:rsid w:val="001374D2"/>
    <w:rsid w:val="0013759A"/>
    <w:rsid w:val="00137833"/>
    <w:rsid w:val="00137A38"/>
    <w:rsid w:val="00137BBE"/>
    <w:rsid w:val="00137C70"/>
    <w:rsid w:val="00137E12"/>
    <w:rsid w:val="001400B1"/>
    <w:rsid w:val="001403B6"/>
    <w:rsid w:val="00140440"/>
    <w:rsid w:val="00140580"/>
    <w:rsid w:val="0014080C"/>
    <w:rsid w:val="00140971"/>
    <w:rsid w:val="00140A0B"/>
    <w:rsid w:val="00140C3C"/>
    <w:rsid w:val="00140D12"/>
    <w:rsid w:val="00140DE3"/>
    <w:rsid w:val="00141045"/>
    <w:rsid w:val="001413E7"/>
    <w:rsid w:val="001413FF"/>
    <w:rsid w:val="00141441"/>
    <w:rsid w:val="001414C7"/>
    <w:rsid w:val="0014171D"/>
    <w:rsid w:val="001419E3"/>
    <w:rsid w:val="00141B9C"/>
    <w:rsid w:val="00141D6A"/>
    <w:rsid w:val="00141EB3"/>
    <w:rsid w:val="00141F00"/>
    <w:rsid w:val="00142011"/>
    <w:rsid w:val="001421F6"/>
    <w:rsid w:val="001423E9"/>
    <w:rsid w:val="0014249E"/>
    <w:rsid w:val="00142523"/>
    <w:rsid w:val="001427DF"/>
    <w:rsid w:val="0014295E"/>
    <w:rsid w:val="0014296B"/>
    <w:rsid w:val="00142B6B"/>
    <w:rsid w:val="0014309E"/>
    <w:rsid w:val="0014324E"/>
    <w:rsid w:val="001433C8"/>
    <w:rsid w:val="001433CF"/>
    <w:rsid w:val="00143B4A"/>
    <w:rsid w:val="00143BED"/>
    <w:rsid w:val="00143DBF"/>
    <w:rsid w:val="00143E38"/>
    <w:rsid w:val="001440EB"/>
    <w:rsid w:val="001440FC"/>
    <w:rsid w:val="00144135"/>
    <w:rsid w:val="001443D1"/>
    <w:rsid w:val="001443DD"/>
    <w:rsid w:val="00144752"/>
    <w:rsid w:val="0014482F"/>
    <w:rsid w:val="00144C44"/>
    <w:rsid w:val="00145342"/>
    <w:rsid w:val="0014538A"/>
    <w:rsid w:val="00145712"/>
    <w:rsid w:val="001459E7"/>
    <w:rsid w:val="00145CD5"/>
    <w:rsid w:val="00145CF7"/>
    <w:rsid w:val="00145F28"/>
    <w:rsid w:val="00145FB9"/>
    <w:rsid w:val="00146004"/>
    <w:rsid w:val="0014616A"/>
    <w:rsid w:val="00146742"/>
    <w:rsid w:val="00146934"/>
    <w:rsid w:val="001469F2"/>
    <w:rsid w:val="00146A3F"/>
    <w:rsid w:val="00146A52"/>
    <w:rsid w:val="00146AE6"/>
    <w:rsid w:val="00146B86"/>
    <w:rsid w:val="00147190"/>
    <w:rsid w:val="001471B1"/>
    <w:rsid w:val="00147231"/>
    <w:rsid w:val="0014727D"/>
    <w:rsid w:val="00147814"/>
    <w:rsid w:val="00147BCC"/>
    <w:rsid w:val="00147CA1"/>
    <w:rsid w:val="00147CA9"/>
    <w:rsid w:val="00147EFC"/>
    <w:rsid w:val="00147FE1"/>
    <w:rsid w:val="0014C500"/>
    <w:rsid w:val="001501E2"/>
    <w:rsid w:val="00150338"/>
    <w:rsid w:val="001507E0"/>
    <w:rsid w:val="00150A12"/>
    <w:rsid w:val="00150B57"/>
    <w:rsid w:val="00150D9F"/>
    <w:rsid w:val="0015124B"/>
    <w:rsid w:val="00151365"/>
    <w:rsid w:val="00151366"/>
    <w:rsid w:val="00151511"/>
    <w:rsid w:val="001515BE"/>
    <w:rsid w:val="001516B9"/>
    <w:rsid w:val="001517AB"/>
    <w:rsid w:val="001518D6"/>
    <w:rsid w:val="00151A38"/>
    <w:rsid w:val="00151D88"/>
    <w:rsid w:val="001521E0"/>
    <w:rsid w:val="001522A6"/>
    <w:rsid w:val="0015232C"/>
    <w:rsid w:val="001528D4"/>
    <w:rsid w:val="00152DA6"/>
    <w:rsid w:val="00152F1E"/>
    <w:rsid w:val="0015327B"/>
    <w:rsid w:val="00153350"/>
    <w:rsid w:val="001533F1"/>
    <w:rsid w:val="0015356D"/>
    <w:rsid w:val="00153886"/>
    <w:rsid w:val="00153E5A"/>
    <w:rsid w:val="0015421E"/>
    <w:rsid w:val="001543A8"/>
    <w:rsid w:val="0015455E"/>
    <w:rsid w:val="00154BCE"/>
    <w:rsid w:val="001552EE"/>
    <w:rsid w:val="0015532B"/>
    <w:rsid w:val="00155741"/>
    <w:rsid w:val="001557E4"/>
    <w:rsid w:val="00155865"/>
    <w:rsid w:val="00155932"/>
    <w:rsid w:val="0015599E"/>
    <w:rsid w:val="001559AE"/>
    <w:rsid w:val="00155A0D"/>
    <w:rsid w:val="00155BF9"/>
    <w:rsid w:val="00155C29"/>
    <w:rsid w:val="00155E23"/>
    <w:rsid w:val="00155E52"/>
    <w:rsid w:val="00155F47"/>
    <w:rsid w:val="00156122"/>
    <w:rsid w:val="0015650C"/>
    <w:rsid w:val="0015652B"/>
    <w:rsid w:val="00156622"/>
    <w:rsid w:val="00156785"/>
    <w:rsid w:val="001567DC"/>
    <w:rsid w:val="00156E2E"/>
    <w:rsid w:val="00157002"/>
    <w:rsid w:val="001571A1"/>
    <w:rsid w:val="001572BE"/>
    <w:rsid w:val="00157425"/>
    <w:rsid w:val="00157B17"/>
    <w:rsid w:val="00157B8B"/>
    <w:rsid w:val="00157C01"/>
    <w:rsid w:val="00157CC2"/>
    <w:rsid w:val="00157D99"/>
    <w:rsid w:val="00160407"/>
    <w:rsid w:val="00160522"/>
    <w:rsid w:val="0016090E"/>
    <w:rsid w:val="00160CDB"/>
    <w:rsid w:val="00161024"/>
    <w:rsid w:val="00161124"/>
    <w:rsid w:val="00161181"/>
    <w:rsid w:val="00161524"/>
    <w:rsid w:val="001618BB"/>
    <w:rsid w:val="001618FA"/>
    <w:rsid w:val="00161D9B"/>
    <w:rsid w:val="00162003"/>
    <w:rsid w:val="00162897"/>
    <w:rsid w:val="001628D6"/>
    <w:rsid w:val="0016292D"/>
    <w:rsid w:val="00162BDC"/>
    <w:rsid w:val="00162C54"/>
    <w:rsid w:val="00162CBA"/>
    <w:rsid w:val="00162D98"/>
    <w:rsid w:val="00162E56"/>
    <w:rsid w:val="00163460"/>
    <w:rsid w:val="00163483"/>
    <w:rsid w:val="00163489"/>
    <w:rsid w:val="001636EF"/>
    <w:rsid w:val="001638C0"/>
    <w:rsid w:val="00163994"/>
    <w:rsid w:val="001639F6"/>
    <w:rsid w:val="00163F7F"/>
    <w:rsid w:val="00164123"/>
    <w:rsid w:val="00164173"/>
    <w:rsid w:val="001644E3"/>
    <w:rsid w:val="0016468F"/>
    <w:rsid w:val="001646B3"/>
    <w:rsid w:val="001646D0"/>
    <w:rsid w:val="00164B9E"/>
    <w:rsid w:val="00164F0B"/>
    <w:rsid w:val="0016501F"/>
    <w:rsid w:val="00165355"/>
    <w:rsid w:val="00165359"/>
    <w:rsid w:val="001654D7"/>
    <w:rsid w:val="00165992"/>
    <w:rsid w:val="00165AC3"/>
    <w:rsid w:val="00165D3A"/>
    <w:rsid w:val="0016682D"/>
    <w:rsid w:val="001668BD"/>
    <w:rsid w:val="00166E57"/>
    <w:rsid w:val="00166EB6"/>
    <w:rsid w:val="00166EBD"/>
    <w:rsid w:val="00166F28"/>
    <w:rsid w:val="00166F76"/>
    <w:rsid w:val="00167037"/>
    <w:rsid w:val="00167126"/>
    <w:rsid w:val="001675F8"/>
    <w:rsid w:val="00167766"/>
    <w:rsid w:val="001679A7"/>
    <w:rsid w:val="00167A16"/>
    <w:rsid w:val="00167CBC"/>
    <w:rsid w:val="001705F4"/>
    <w:rsid w:val="00170748"/>
    <w:rsid w:val="0017075D"/>
    <w:rsid w:val="00170D99"/>
    <w:rsid w:val="00170DF7"/>
    <w:rsid w:val="00171079"/>
    <w:rsid w:val="0017151C"/>
    <w:rsid w:val="001716AC"/>
    <w:rsid w:val="00171763"/>
    <w:rsid w:val="00171A01"/>
    <w:rsid w:val="00171C80"/>
    <w:rsid w:val="00171C8C"/>
    <w:rsid w:val="00171CF9"/>
    <w:rsid w:val="00171DBF"/>
    <w:rsid w:val="00171F6C"/>
    <w:rsid w:val="00171FDE"/>
    <w:rsid w:val="00172183"/>
    <w:rsid w:val="00172542"/>
    <w:rsid w:val="0017260A"/>
    <w:rsid w:val="001726C7"/>
    <w:rsid w:val="00172AFA"/>
    <w:rsid w:val="00172B4F"/>
    <w:rsid w:val="00172BBC"/>
    <w:rsid w:val="00172C0C"/>
    <w:rsid w:val="00172EDD"/>
    <w:rsid w:val="001731C2"/>
    <w:rsid w:val="0017341F"/>
    <w:rsid w:val="001736B4"/>
    <w:rsid w:val="001737C3"/>
    <w:rsid w:val="00173AF1"/>
    <w:rsid w:val="00173CE9"/>
    <w:rsid w:val="00173DD3"/>
    <w:rsid w:val="00174757"/>
    <w:rsid w:val="00174A6C"/>
    <w:rsid w:val="00174E1E"/>
    <w:rsid w:val="001755CD"/>
    <w:rsid w:val="00175710"/>
    <w:rsid w:val="00175AB5"/>
    <w:rsid w:val="00175F2A"/>
    <w:rsid w:val="00175F35"/>
    <w:rsid w:val="0017623D"/>
    <w:rsid w:val="0017639F"/>
    <w:rsid w:val="001764F4"/>
    <w:rsid w:val="001765A7"/>
    <w:rsid w:val="00176CB4"/>
    <w:rsid w:val="00176FE6"/>
    <w:rsid w:val="00177276"/>
    <w:rsid w:val="001772CC"/>
    <w:rsid w:val="00177360"/>
    <w:rsid w:val="00177542"/>
    <w:rsid w:val="001776E1"/>
    <w:rsid w:val="001777D4"/>
    <w:rsid w:val="00177838"/>
    <w:rsid w:val="00180042"/>
    <w:rsid w:val="00180185"/>
    <w:rsid w:val="0018029A"/>
    <w:rsid w:val="00180305"/>
    <w:rsid w:val="001804D5"/>
    <w:rsid w:val="00180788"/>
    <w:rsid w:val="00180903"/>
    <w:rsid w:val="00180927"/>
    <w:rsid w:val="00180B10"/>
    <w:rsid w:val="00180C71"/>
    <w:rsid w:val="00180D19"/>
    <w:rsid w:val="00180EA0"/>
    <w:rsid w:val="00181498"/>
    <w:rsid w:val="001814A8"/>
    <w:rsid w:val="0018156A"/>
    <w:rsid w:val="0018179E"/>
    <w:rsid w:val="00181833"/>
    <w:rsid w:val="00181D52"/>
    <w:rsid w:val="0018215B"/>
    <w:rsid w:val="001822AD"/>
    <w:rsid w:val="00182811"/>
    <w:rsid w:val="00182827"/>
    <w:rsid w:val="00182864"/>
    <w:rsid w:val="001829DD"/>
    <w:rsid w:val="00182A2F"/>
    <w:rsid w:val="00182A39"/>
    <w:rsid w:val="00182B9B"/>
    <w:rsid w:val="00182BA8"/>
    <w:rsid w:val="00182C33"/>
    <w:rsid w:val="00182C4C"/>
    <w:rsid w:val="00182CEE"/>
    <w:rsid w:val="0018308E"/>
    <w:rsid w:val="00183244"/>
    <w:rsid w:val="001836A2"/>
    <w:rsid w:val="001836DE"/>
    <w:rsid w:val="001839F5"/>
    <w:rsid w:val="00183E9A"/>
    <w:rsid w:val="001840A5"/>
    <w:rsid w:val="001843D5"/>
    <w:rsid w:val="0018463D"/>
    <w:rsid w:val="001847C2"/>
    <w:rsid w:val="00184A35"/>
    <w:rsid w:val="00184C53"/>
    <w:rsid w:val="00184E74"/>
    <w:rsid w:val="00185789"/>
    <w:rsid w:val="001859D0"/>
    <w:rsid w:val="00185AD0"/>
    <w:rsid w:val="00185BA5"/>
    <w:rsid w:val="00186041"/>
    <w:rsid w:val="0018659C"/>
    <w:rsid w:val="00186806"/>
    <w:rsid w:val="0018689A"/>
    <w:rsid w:val="001868E5"/>
    <w:rsid w:val="00186B31"/>
    <w:rsid w:val="00186F04"/>
    <w:rsid w:val="00187008"/>
    <w:rsid w:val="001870DE"/>
    <w:rsid w:val="001873A6"/>
    <w:rsid w:val="001873D0"/>
    <w:rsid w:val="001873D3"/>
    <w:rsid w:val="001873F7"/>
    <w:rsid w:val="0018744B"/>
    <w:rsid w:val="00187830"/>
    <w:rsid w:val="00187948"/>
    <w:rsid w:val="00187B68"/>
    <w:rsid w:val="00187EAE"/>
    <w:rsid w:val="00187FAC"/>
    <w:rsid w:val="0019012F"/>
    <w:rsid w:val="00190147"/>
    <w:rsid w:val="001901A5"/>
    <w:rsid w:val="00190211"/>
    <w:rsid w:val="001909F8"/>
    <w:rsid w:val="00190AB8"/>
    <w:rsid w:val="00190DB1"/>
    <w:rsid w:val="00191067"/>
    <w:rsid w:val="0019108E"/>
    <w:rsid w:val="00191462"/>
    <w:rsid w:val="0019163A"/>
    <w:rsid w:val="0019167A"/>
    <w:rsid w:val="001917EF"/>
    <w:rsid w:val="001918DD"/>
    <w:rsid w:val="001919ED"/>
    <w:rsid w:val="00191A2F"/>
    <w:rsid w:val="00191D6A"/>
    <w:rsid w:val="00192076"/>
    <w:rsid w:val="00192290"/>
    <w:rsid w:val="001922F6"/>
    <w:rsid w:val="00192410"/>
    <w:rsid w:val="0019292E"/>
    <w:rsid w:val="00192ABF"/>
    <w:rsid w:val="00192D79"/>
    <w:rsid w:val="00192E81"/>
    <w:rsid w:val="001931A3"/>
    <w:rsid w:val="0019345B"/>
    <w:rsid w:val="001937F8"/>
    <w:rsid w:val="001938E8"/>
    <w:rsid w:val="001939C0"/>
    <w:rsid w:val="00193BA4"/>
    <w:rsid w:val="0019424F"/>
    <w:rsid w:val="00194B86"/>
    <w:rsid w:val="00194C99"/>
    <w:rsid w:val="00195265"/>
    <w:rsid w:val="0019531D"/>
    <w:rsid w:val="001953C2"/>
    <w:rsid w:val="001956CF"/>
    <w:rsid w:val="001957D8"/>
    <w:rsid w:val="00195D2C"/>
    <w:rsid w:val="00195EC5"/>
    <w:rsid w:val="00196657"/>
    <w:rsid w:val="0019669C"/>
    <w:rsid w:val="0019680B"/>
    <w:rsid w:val="00196EEA"/>
    <w:rsid w:val="00196FF8"/>
    <w:rsid w:val="001970B1"/>
    <w:rsid w:val="001970D6"/>
    <w:rsid w:val="00197220"/>
    <w:rsid w:val="00197458"/>
    <w:rsid w:val="00197BB3"/>
    <w:rsid w:val="00197BCC"/>
    <w:rsid w:val="00197D0E"/>
    <w:rsid w:val="00197DFD"/>
    <w:rsid w:val="00197E96"/>
    <w:rsid w:val="00197FE8"/>
    <w:rsid w:val="001A0868"/>
    <w:rsid w:val="001A09A3"/>
    <w:rsid w:val="001A09F1"/>
    <w:rsid w:val="001A0F27"/>
    <w:rsid w:val="001A100C"/>
    <w:rsid w:val="001A1385"/>
    <w:rsid w:val="001A15C5"/>
    <w:rsid w:val="001A1616"/>
    <w:rsid w:val="001A173C"/>
    <w:rsid w:val="001A187B"/>
    <w:rsid w:val="001A1AC9"/>
    <w:rsid w:val="001A1B04"/>
    <w:rsid w:val="001A1B8D"/>
    <w:rsid w:val="001A1D4E"/>
    <w:rsid w:val="001A1D86"/>
    <w:rsid w:val="001A1F79"/>
    <w:rsid w:val="001A2006"/>
    <w:rsid w:val="001A21BE"/>
    <w:rsid w:val="001A2339"/>
    <w:rsid w:val="001A25DD"/>
    <w:rsid w:val="001A2856"/>
    <w:rsid w:val="001A28DC"/>
    <w:rsid w:val="001A2B69"/>
    <w:rsid w:val="001A2C9F"/>
    <w:rsid w:val="001A2E40"/>
    <w:rsid w:val="001A2E57"/>
    <w:rsid w:val="001A31C1"/>
    <w:rsid w:val="001A3268"/>
    <w:rsid w:val="001A375B"/>
    <w:rsid w:val="001A3887"/>
    <w:rsid w:val="001A3A54"/>
    <w:rsid w:val="001A407C"/>
    <w:rsid w:val="001A4513"/>
    <w:rsid w:val="001A496E"/>
    <w:rsid w:val="001A556D"/>
    <w:rsid w:val="001A55E1"/>
    <w:rsid w:val="001A58EB"/>
    <w:rsid w:val="001A5E24"/>
    <w:rsid w:val="001A5F39"/>
    <w:rsid w:val="001A5F44"/>
    <w:rsid w:val="001A5FAA"/>
    <w:rsid w:val="001A69B2"/>
    <w:rsid w:val="001A6A6E"/>
    <w:rsid w:val="001A6C8E"/>
    <w:rsid w:val="001A6D48"/>
    <w:rsid w:val="001A6D79"/>
    <w:rsid w:val="001A7103"/>
    <w:rsid w:val="001A71DB"/>
    <w:rsid w:val="001A72B6"/>
    <w:rsid w:val="001A76AA"/>
    <w:rsid w:val="001A7711"/>
    <w:rsid w:val="001A7772"/>
    <w:rsid w:val="001A7AC5"/>
    <w:rsid w:val="001A7ADA"/>
    <w:rsid w:val="001A7C7A"/>
    <w:rsid w:val="001A7CD1"/>
    <w:rsid w:val="001B0075"/>
    <w:rsid w:val="001B018D"/>
    <w:rsid w:val="001B0421"/>
    <w:rsid w:val="001B04E6"/>
    <w:rsid w:val="001B09E3"/>
    <w:rsid w:val="001B0A6A"/>
    <w:rsid w:val="001B0B03"/>
    <w:rsid w:val="001B0D30"/>
    <w:rsid w:val="001B0F08"/>
    <w:rsid w:val="001B11F3"/>
    <w:rsid w:val="001B157B"/>
    <w:rsid w:val="001B15D5"/>
    <w:rsid w:val="001B1979"/>
    <w:rsid w:val="001B19E7"/>
    <w:rsid w:val="001B1B02"/>
    <w:rsid w:val="001B1B92"/>
    <w:rsid w:val="001B1CAF"/>
    <w:rsid w:val="001B1D3A"/>
    <w:rsid w:val="001B1F82"/>
    <w:rsid w:val="001B1FF9"/>
    <w:rsid w:val="001B2014"/>
    <w:rsid w:val="001B228F"/>
    <w:rsid w:val="001B22A1"/>
    <w:rsid w:val="001B2365"/>
    <w:rsid w:val="001B2439"/>
    <w:rsid w:val="001B279D"/>
    <w:rsid w:val="001B2916"/>
    <w:rsid w:val="001B29EC"/>
    <w:rsid w:val="001B2CAA"/>
    <w:rsid w:val="001B2DCA"/>
    <w:rsid w:val="001B334E"/>
    <w:rsid w:val="001B34FD"/>
    <w:rsid w:val="001B3790"/>
    <w:rsid w:val="001B37A6"/>
    <w:rsid w:val="001B3E9B"/>
    <w:rsid w:val="001B4193"/>
    <w:rsid w:val="001B426B"/>
    <w:rsid w:val="001B4685"/>
    <w:rsid w:val="001B4846"/>
    <w:rsid w:val="001B48E9"/>
    <w:rsid w:val="001B4DAD"/>
    <w:rsid w:val="001B4FB5"/>
    <w:rsid w:val="001B5188"/>
    <w:rsid w:val="001B53DD"/>
    <w:rsid w:val="001B5570"/>
    <w:rsid w:val="001B5941"/>
    <w:rsid w:val="001B597C"/>
    <w:rsid w:val="001B5AE3"/>
    <w:rsid w:val="001B5DDF"/>
    <w:rsid w:val="001B5F58"/>
    <w:rsid w:val="001B5FFA"/>
    <w:rsid w:val="001B60D0"/>
    <w:rsid w:val="001B61F4"/>
    <w:rsid w:val="001B630E"/>
    <w:rsid w:val="001B6838"/>
    <w:rsid w:val="001B683E"/>
    <w:rsid w:val="001B695A"/>
    <w:rsid w:val="001B6C0C"/>
    <w:rsid w:val="001B6F94"/>
    <w:rsid w:val="001B72B0"/>
    <w:rsid w:val="001B7380"/>
    <w:rsid w:val="001B7427"/>
    <w:rsid w:val="001B7471"/>
    <w:rsid w:val="001B748D"/>
    <w:rsid w:val="001B78DA"/>
    <w:rsid w:val="001B7963"/>
    <w:rsid w:val="001B7C4C"/>
    <w:rsid w:val="001B7C4F"/>
    <w:rsid w:val="001B7E0C"/>
    <w:rsid w:val="001B7FE5"/>
    <w:rsid w:val="001C0045"/>
    <w:rsid w:val="001C012A"/>
    <w:rsid w:val="001C03D2"/>
    <w:rsid w:val="001C08A0"/>
    <w:rsid w:val="001C0AC5"/>
    <w:rsid w:val="001C0AFE"/>
    <w:rsid w:val="001C0BC3"/>
    <w:rsid w:val="001C0F82"/>
    <w:rsid w:val="001C0FED"/>
    <w:rsid w:val="001C1060"/>
    <w:rsid w:val="001C13D9"/>
    <w:rsid w:val="001C13F4"/>
    <w:rsid w:val="001C1642"/>
    <w:rsid w:val="001C1690"/>
    <w:rsid w:val="001C19C8"/>
    <w:rsid w:val="001C1A74"/>
    <w:rsid w:val="001C1BA3"/>
    <w:rsid w:val="001C1FD8"/>
    <w:rsid w:val="001C201B"/>
    <w:rsid w:val="001C21E5"/>
    <w:rsid w:val="001C267A"/>
    <w:rsid w:val="001C26E8"/>
    <w:rsid w:val="001C2786"/>
    <w:rsid w:val="001C289A"/>
    <w:rsid w:val="001C2932"/>
    <w:rsid w:val="001C2BEE"/>
    <w:rsid w:val="001C2EBC"/>
    <w:rsid w:val="001C2F4A"/>
    <w:rsid w:val="001C3136"/>
    <w:rsid w:val="001C314B"/>
    <w:rsid w:val="001C31EE"/>
    <w:rsid w:val="001C3313"/>
    <w:rsid w:val="001C358B"/>
    <w:rsid w:val="001C38B3"/>
    <w:rsid w:val="001C3AA6"/>
    <w:rsid w:val="001C3ABC"/>
    <w:rsid w:val="001C3B74"/>
    <w:rsid w:val="001C3B84"/>
    <w:rsid w:val="001C3C74"/>
    <w:rsid w:val="001C3CBE"/>
    <w:rsid w:val="001C3DE9"/>
    <w:rsid w:val="001C4027"/>
    <w:rsid w:val="001C40A4"/>
    <w:rsid w:val="001C4112"/>
    <w:rsid w:val="001C43E7"/>
    <w:rsid w:val="001C4997"/>
    <w:rsid w:val="001C4A08"/>
    <w:rsid w:val="001C4B5D"/>
    <w:rsid w:val="001C4E01"/>
    <w:rsid w:val="001C51CC"/>
    <w:rsid w:val="001C5537"/>
    <w:rsid w:val="001C56F2"/>
    <w:rsid w:val="001C57CB"/>
    <w:rsid w:val="001C5B37"/>
    <w:rsid w:val="001C5C40"/>
    <w:rsid w:val="001C5CEF"/>
    <w:rsid w:val="001C6AF0"/>
    <w:rsid w:val="001C6E05"/>
    <w:rsid w:val="001C70CB"/>
    <w:rsid w:val="001C7157"/>
    <w:rsid w:val="001C72E7"/>
    <w:rsid w:val="001C74A9"/>
    <w:rsid w:val="001C774A"/>
    <w:rsid w:val="001C78DE"/>
    <w:rsid w:val="001C7A66"/>
    <w:rsid w:val="001C7A90"/>
    <w:rsid w:val="001C7B81"/>
    <w:rsid w:val="001C7C42"/>
    <w:rsid w:val="001C7D49"/>
    <w:rsid w:val="001D015B"/>
    <w:rsid w:val="001D05B0"/>
    <w:rsid w:val="001D066D"/>
    <w:rsid w:val="001D0AA5"/>
    <w:rsid w:val="001D0B40"/>
    <w:rsid w:val="001D0EA9"/>
    <w:rsid w:val="001D143A"/>
    <w:rsid w:val="001D1490"/>
    <w:rsid w:val="001D18F3"/>
    <w:rsid w:val="001D1907"/>
    <w:rsid w:val="001D1F0C"/>
    <w:rsid w:val="001D216F"/>
    <w:rsid w:val="001D2294"/>
    <w:rsid w:val="001D2402"/>
    <w:rsid w:val="001D25F9"/>
    <w:rsid w:val="001D2C81"/>
    <w:rsid w:val="001D2CCF"/>
    <w:rsid w:val="001D30C0"/>
    <w:rsid w:val="001D3161"/>
    <w:rsid w:val="001D3307"/>
    <w:rsid w:val="001D377D"/>
    <w:rsid w:val="001D3825"/>
    <w:rsid w:val="001D3B05"/>
    <w:rsid w:val="001D4538"/>
    <w:rsid w:val="001D458D"/>
    <w:rsid w:val="001D4591"/>
    <w:rsid w:val="001D46E1"/>
    <w:rsid w:val="001D4A3C"/>
    <w:rsid w:val="001D4AEE"/>
    <w:rsid w:val="001D4B11"/>
    <w:rsid w:val="001D4E61"/>
    <w:rsid w:val="001D4E82"/>
    <w:rsid w:val="001D5074"/>
    <w:rsid w:val="001D5078"/>
    <w:rsid w:val="001D574A"/>
    <w:rsid w:val="001D584A"/>
    <w:rsid w:val="001D5A20"/>
    <w:rsid w:val="001D5A62"/>
    <w:rsid w:val="001D5B37"/>
    <w:rsid w:val="001D60CB"/>
    <w:rsid w:val="001D62EB"/>
    <w:rsid w:val="001D6357"/>
    <w:rsid w:val="001D665D"/>
    <w:rsid w:val="001D6970"/>
    <w:rsid w:val="001D6F31"/>
    <w:rsid w:val="001D7441"/>
    <w:rsid w:val="001D74FF"/>
    <w:rsid w:val="001D751D"/>
    <w:rsid w:val="001D771F"/>
    <w:rsid w:val="001D7926"/>
    <w:rsid w:val="001D7940"/>
    <w:rsid w:val="001D7B10"/>
    <w:rsid w:val="001E0358"/>
    <w:rsid w:val="001E03B0"/>
    <w:rsid w:val="001E03F6"/>
    <w:rsid w:val="001E0CBC"/>
    <w:rsid w:val="001E0D79"/>
    <w:rsid w:val="001E0E4E"/>
    <w:rsid w:val="001E12EE"/>
    <w:rsid w:val="001E1857"/>
    <w:rsid w:val="001E1AC5"/>
    <w:rsid w:val="001E1E4B"/>
    <w:rsid w:val="001E2202"/>
    <w:rsid w:val="001E2508"/>
    <w:rsid w:val="001E28DC"/>
    <w:rsid w:val="001E29DA"/>
    <w:rsid w:val="001E2E0B"/>
    <w:rsid w:val="001E2E95"/>
    <w:rsid w:val="001E2EF2"/>
    <w:rsid w:val="001E2F1D"/>
    <w:rsid w:val="001E3350"/>
    <w:rsid w:val="001E375F"/>
    <w:rsid w:val="001E38BA"/>
    <w:rsid w:val="001E3CC3"/>
    <w:rsid w:val="001E3DA1"/>
    <w:rsid w:val="001E3F1A"/>
    <w:rsid w:val="001E400D"/>
    <w:rsid w:val="001E407C"/>
    <w:rsid w:val="001E41CB"/>
    <w:rsid w:val="001E4296"/>
    <w:rsid w:val="001E493A"/>
    <w:rsid w:val="001E4C1B"/>
    <w:rsid w:val="001E4CF7"/>
    <w:rsid w:val="001E4D7A"/>
    <w:rsid w:val="001E4EAC"/>
    <w:rsid w:val="001E4F26"/>
    <w:rsid w:val="001E5040"/>
    <w:rsid w:val="001E5120"/>
    <w:rsid w:val="001E5156"/>
    <w:rsid w:val="001E55F3"/>
    <w:rsid w:val="001E56E4"/>
    <w:rsid w:val="001E611C"/>
    <w:rsid w:val="001E62A3"/>
    <w:rsid w:val="001E66E9"/>
    <w:rsid w:val="001E69F1"/>
    <w:rsid w:val="001E6BF5"/>
    <w:rsid w:val="001E6C5A"/>
    <w:rsid w:val="001E6DA4"/>
    <w:rsid w:val="001E70BA"/>
    <w:rsid w:val="001E7473"/>
    <w:rsid w:val="001E7511"/>
    <w:rsid w:val="001E7682"/>
    <w:rsid w:val="001E7875"/>
    <w:rsid w:val="001E7885"/>
    <w:rsid w:val="001E790D"/>
    <w:rsid w:val="001E79A0"/>
    <w:rsid w:val="001E7EA7"/>
    <w:rsid w:val="001E7FE6"/>
    <w:rsid w:val="001F0121"/>
    <w:rsid w:val="001F035E"/>
    <w:rsid w:val="001F08FC"/>
    <w:rsid w:val="001F0962"/>
    <w:rsid w:val="001F0D1B"/>
    <w:rsid w:val="001F0E1F"/>
    <w:rsid w:val="001F0F42"/>
    <w:rsid w:val="001F127B"/>
    <w:rsid w:val="001F1303"/>
    <w:rsid w:val="001F1930"/>
    <w:rsid w:val="001F1A52"/>
    <w:rsid w:val="001F1C6F"/>
    <w:rsid w:val="001F1D0E"/>
    <w:rsid w:val="001F1F42"/>
    <w:rsid w:val="001F2606"/>
    <w:rsid w:val="001F26CE"/>
    <w:rsid w:val="001F2783"/>
    <w:rsid w:val="001F2823"/>
    <w:rsid w:val="001F2C80"/>
    <w:rsid w:val="001F2F9D"/>
    <w:rsid w:val="001F3088"/>
    <w:rsid w:val="001F330A"/>
    <w:rsid w:val="001F3444"/>
    <w:rsid w:val="001F3D6D"/>
    <w:rsid w:val="001F3E86"/>
    <w:rsid w:val="001F3F31"/>
    <w:rsid w:val="001F3FAE"/>
    <w:rsid w:val="001F40F2"/>
    <w:rsid w:val="001F412A"/>
    <w:rsid w:val="001F43E3"/>
    <w:rsid w:val="001F4602"/>
    <w:rsid w:val="001F472F"/>
    <w:rsid w:val="001F4749"/>
    <w:rsid w:val="001F4C0A"/>
    <w:rsid w:val="001F4CBF"/>
    <w:rsid w:val="001F5009"/>
    <w:rsid w:val="001F5216"/>
    <w:rsid w:val="001F521B"/>
    <w:rsid w:val="001F59E7"/>
    <w:rsid w:val="001F5A8D"/>
    <w:rsid w:val="001F5BFF"/>
    <w:rsid w:val="001F5D14"/>
    <w:rsid w:val="001F5D39"/>
    <w:rsid w:val="001F5F0A"/>
    <w:rsid w:val="001F60A8"/>
    <w:rsid w:val="001F6368"/>
    <w:rsid w:val="001F6467"/>
    <w:rsid w:val="001F672D"/>
    <w:rsid w:val="001F67EE"/>
    <w:rsid w:val="001F6852"/>
    <w:rsid w:val="001F6BA0"/>
    <w:rsid w:val="001F6EC2"/>
    <w:rsid w:val="001F7051"/>
    <w:rsid w:val="001F71B8"/>
    <w:rsid w:val="001F720E"/>
    <w:rsid w:val="001F7461"/>
    <w:rsid w:val="001F7650"/>
    <w:rsid w:val="001F769C"/>
    <w:rsid w:val="001F7A8A"/>
    <w:rsid w:val="001F7B4A"/>
    <w:rsid w:val="001F7B51"/>
    <w:rsid w:val="001F7BD0"/>
    <w:rsid w:val="001F7C5E"/>
    <w:rsid w:val="001F7EF1"/>
    <w:rsid w:val="0020033E"/>
    <w:rsid w:val="002004EA"/>
    <w:rsid w:val="002004F6"/>
    <w:rsid w:val="00200544"/>
    <w:rsid w:val="00200640"/>
    <w:rsid w:val="002006C9"/>
    <w:rsid w:val="002008E3"/>
    <w:rsid w:val="00200C83"/>
    <w:rsid w:val="00200E26"/>
    <w:rsid w:val="002026C3"/>
    <w:rsid w:val="00202858"/>
    <w:rsid w:val="00202A05"/>
    <w:rsid w:val="002031B2"/>
    <w:rsid w:val="0020323A"/>
    <w:rsid w:val="002032EC"/>
    <w:rsid w:val="002033F1"/>
    <w:rsid w:val="002034DD"/>
    <w:rsid w:val="0020352C"/>
    <w:rsid w:val="00203974"/>
    <w:rsid w:val="00203B70"/>
    <w:rsid w:val="00203B73"/>
    <w:rsid w:val="00203C97"/>
    <w:rsid w:val="00203F56"/>
    <w:rsid w:val="002040F5"/>
    <w:rsid w:val="00204281"/>
    <w:rsid w:val="002042D0"/>
    <w:rsid w:val="002042FA"/>
    <w:rsid w:val="002043E4"/>
    <w:rsid w:val="00204519"/>
    <w:rsid w:val="0020477A"/>
    <w:rsid w:val="002047B8"/>
    <w:rsid w:val="00204BAC"/>
    <w:rsid w:val="00204BCA"/>
    <w:rsid w:val="00204CC6"/>
    <w:rsid w:val="00204F1A"/>
    <w:rsid w:val="00204FD4"/>
    <w:rsid w:val="002052D8"/>
    <w:rsid w:val="002054ED"/>
    <w:rsid w:val="0020552E"/>
    <w:rsid w:val="00205648"/>
    <w:rsid w:val="00205750"/>
    <w:rsid w:val="00205752"/>
    <w:rsid w:val="00205913"/>
    <w:rsid w:val="00205A60"/>
    <w:rsid w:val="00205A86"/>
    <w:rsid w:val="00205B1B"/>
    <w:rsid w:val="00205B7B"/>
    <w:rsid w:val="00205C55"/>
    <w:rsid w:val="002063D0"/>
    <w:rsid w:val="00206680"/>
    <w:rsid w:val="0020705F"/>
    <w:rsid w:val="002073A9"/>
    <w:rsid w:val="0020783B"/>
    <w:rsid w:val="00207ABA"/>
    <w:rsid w:val="00207AFF"/>
    <w:rsid w:val="00207EB0"/>
    <w:rsid w:val="00207F52"/>
    <w:rsid w:val="00207F84"/>
    <w:rsid w:val="0021048D"/>
    <w:rsid w:val="00210577"/>
    <w:rsid w:val="002105B3"/>
    <w:rsid w:val="0021064A"/>
    <w:rsid w:val="00210765"/>
    <w:rsid w:val="002107D1"/>
    <w:rsid w:val="002110BB"/>
    <w:rsid w:val="00211214"/>
    <w:rsid w:val="0021159A"/>
    <w:rsid w:val="002117D0"/>
    <w:rsid w:val="00211A78"/>
    <w:rsid w:val="00211C51"/>
    <w:rsid w:val="00211C53"/>
    <w:rsid w:val="002123FE"/>
    <w:rsid w:val="00212697"/>
    <w:rsid w:val="00212D93"/>
    <w:rsid w:val="002136E8"/>
    <w:rsid w:val="002139E1"/>
    <w:rsid w:val="00213B27"/>
    <w:rsid w:val="00213BA5"/>
    <w:rsid w:val="00213FD2"/>
    <w:rsid w:val="00214045"/>
    <w:rsid w:val="00214414"/>
    <w:rsid w:val="00214846"/>
    <w:rsid w:val="00214A7E"/>
    <w:rsid w:val="00214AC7"/>
    <w:rsid w:val="00214B56"/>
    <w:rsid w:val="00214CAE"/>
    <w:rsid w:val="00214D30"/>
    <w:rsid w:val="00214E06"/>
    <w:rsid w:val="00214EE8"/>
    <w:rsid w:val="00215122"/>
    <w:rsid w:val="00215364"/>
    <w:rsid w:val="00215672"/>
    <w:rsid w:val="00215722"/>
    <w:rsid w:val="00215749"/>
    <w:rsid w:val="00215AC6"/>
    <w:rsid w:val="00215CED"/>
    <w:rsid w:val="00215E49"/>
    <w:rsid w:val="00215E4B"/>
    <w:rsid w:val="00215E99"/>
    <w:rsid w:val="00215F2E"/>
    <w:rsid w:val="002163E2"/>
    <w:rsid w:val="00216558"/>
    <w:rsid w:val="0021665D"/>
    <w:rsid w:val="00216661"/>
    <w:rsid w:val="0021678C"/>
    <w:rsid w:val="00216AB9"/>
    <w:rsid w:val="00216BDD"/>
    <w:rsid w:val="00216C67"/>
    <w:rsid w:val="00216C8C"/>
    <w:rsid w:val="00217098"/>
    <w:rsid w:val="00217131"/>
    <w:rsid w:val="002172B6"/>
    <w:rsid w:val="0021736A"/>
    <w:rsid w:val="002174AE"/>
    <w:rsid w:val="0021758F"/>
    <w:rsid w:val="002177D1"/>
    <w:rsid w:val="00217C6F"/>
    <w:rsid w:val="00217CE6"/>
    <w:rsid w:val="00217DD4"/>
    <w:rsid w:val="00217F16"/>
    <w:rsid w:val="00220514"/>
    <w:rsid w:val="002207F6"/>
    <w:rsid w:val="00220842"/>
    <w:rsid w:val="00220C8D"/>
    <w:rsid w:val="00220CB5"/>
    <w:rsid w:val="00220E1B"/>
    <w:rsid w:val="002211FC"/>
    <w:rsid w:val="0022132D"/>
    <w:rsid w:val="002216EE"/>
    <w:rsid w:val="0022194D"/>
    <w:rsid w:val="00221C6C"/>
    <w:rsid w:val="00221D17"/>
    <w:rsid w:val="0022239D"/>
    <w:rsid w:val="002227FE"/>
    <w:rsid w:val="002229B9"/>
    <w:rsid w:val="00222D05"/>
    <w:rsid w:val="00222DAD"/>
    <w:rsid w:val="00222E1C"/>
    <w:rsid w:val="00223352"/>
    <w:rsid w:val="00223703"/>
    <w:rsid w:val="00223870"/>
    <w:rsid w:val="002238CC"/>
    <w:rsid w:val="00223C42"/>
    <w:rsid w:val="00223E26"/>
    <w:rsid w:val="002241FE"/>
    <w:rsid w:val="0022450C"/>
    <w:rsid w:val="002245F9"/>
    <w:rsid w:val="00224635"/>
    <w:rsid w:val="002247EA"/>
    <w:rsid w:val="0022487A"/>
    <w:rsid w:val="00224918"/>
    <w:rsid w:val="00224E84"/>
    <w:rsid w:val="00224EBA"/>
    <w:rsid w:val="00224ED9"/>
    <w:rsid w:val="002250AD"/>
    <w:rsid w:val="002250D7"/>
    <w:rsid w:val="002252C5"/>
    <w:rsid w:val="00225315"/>
    <w:rsid w:val="002254CC"/>
    <w:rsid w:val="00225659"/>
    <w:rsid w:val="00225885"/>
    <w:rsid w:val="00225938"/>
    <w:rsid w:val="00225971"/>
    <w:rsid w:val="002259E4"/>
    <w:rsid w:val="00225C50"/>
    <w:rsid w:val="00225D67"/>
    <w:rsid w:val="00225DC2"/>
    <w:rsid w:val="00225E08"/>
    <w:rsid w:val="00225ED5"/>
    <w:rsid w:val="00226098"/>
    <w:rsid w:val="00226258"/>
    <w:rsid w:val="002268C2"/>
    <w:rsid w:val="00226954"/>
    <w:rsid w:val="00226988"/>
    <w:rsid w:val="00226A36"/>
    <w:rsid w:val="00227145"/>
    <w:rsid w:val="002275A8"/>
    <w:rsid w:val="002275C8"/>
    <w:rsid w:val="00227673"/>
    <w:rsid w:val="0022778A"/>
    <w:rsid w:val="002278F2"/>
    <w:rsid w:val="00227BCC"/>
    <w:rsid w:val="00227BF8"/>
    <w:rsid w:val="00227D09"/>
    <w:rsid w:val="00227F82"/>
    <w:rsid w:val="00230124"/>
    <w:rsid w:val="002302B5"/>
    <w:rsid w:val="00230377"/>
    <w:rsid w:val="00230609"/>
    <w:rsid w:val="002306BF"/>
    <w:rsid w:val="00230733"/>
    <w:rsid w:val="00230B16"/>
    <w:rsid w:val="00230B8E"/>
    <w:rsid w:val="00230E77"/>
    <w:rsid w:val="00230F8E"/>
    <w:rsid w:val="00231022"/>
    <w:rsid w:val="00231398"/>
    <w:rsid w:val="0023196A"/>
    <w:rsid w:val="002319E0"/>
    <w:rsid w:val="00231B85"/>
    <w:rsid w:val="00231F7F"/>
    <w:rsid w:val="002323A5"/>
    <w:rsid w:val="0023277A"/>
    <w:rsid w:val="0023282E"/>
    <w:rsid w:val="00232AE1"/>
    <w:rsid w:val="00232AFE"/>
    <w:rsid w:val="00232CA0"/>
    <w:rsid w:val="00232F6A"/>
    <w:rsid w:val="002331E2"/>
    <w:rsid w:val="002333A5"/>
    <w:rsid w:val="002333A7"/>
    <w:rsid w:val="00233591"/>
    <w:rsid w:val="00233901"/>
    <w:rsid w:val="00233C99"/>
    <w:rsid w:val="002340CF"/>
    <w:rsid w:val="002341AF"/>
    <w:rsid w:val="00234205"/>
    <w:rsid w:val="002344C1"/>
    <w:rsid w:val="0023458F"/>
    <w:rsid w:val="00234669"/>
    <w:rsid w:val="00234733"/>
    <w:rsid w:val="00234A15"/>
    <w:rsid w:val="00234BAF"/>
    <w:rsid w:val="00234D4F"/>
    <w:rsid w:val="00234FED"/>
    <w:rsid w:val="002353D3"/>
    <w:rsid w:val="002356B4"/>
    <w:rsid w:val="002356E1"/>
    <w:rsid w:val="00235796"/>
    <w:rsid w:val="00235D68"/>
    <w:rsid w:val="00235F29"/>
    <w:rsid w:val="002363CF"/>
    <w:rsid w:val="00236494"/>
    <w:rsid w:val="002364A5"/>
    <w:rsid w:val="00236551"/>
    <w:rsid w:val="0023670E"/>
    <w:rsid w:val="0023689D"/>
    <w:rsid w:val="00236C7A"/>
    <w:rsid w:val="00236D44"/>
    <w:rsid w:val="002372A2"/>
    <w:rsid w:val="00237365"/>
    <w:rsid w:val="00237521"/>
    <w:rsid w:val="0023772D"/>
    <w:rsid w:val="002377A7"/>
    <w:rsid w:val="002378CD"/>
    <w:rsid w:val="002378E7"/>
    <w:rsid w:val="00237C58"/>
    <w:rsid w:val="002402CA"/>
    <w:rsid w:val="0024037E"/>
    <w:rsid w:val="002403AC"/>
    <w:rsid w:val="00240459"/>
    <w:rsid w:val="002405C6"/>
    <w:rsid w:val="0024086B"/>
    <w:rsid w:val="00240A60"/>
    <w:rsid w:val="00240BF1"/>
    <w:rsid w:val="00240C6B"/>
    <w:rsid w:val="00240EB0"/>
    <w:rsid w:val="00240FB2"/>
    <w:rsid w:val="002410C2"/>
    <w:rsid w:val="00241488"/>
    <w:rsid w:val="002414F0"/>
    <w:rsid w:val="002417EA"/>
    <w:rsid w:val="00241AF0"/>
    <w:rsid w:val="00241CCB"/>
    <w:rsid w:val="00242015"/>
    <w:rsid w:val="00242039"/>
    <w:rsid w:val="00242299"/>
    <w:rsid w:val="002426ED"/>
    <w:rsid w:val="00242879"/>
    <w:rsid w:val="002428D6"/>
    <w:rsid w:val="00242931"/>
    <w:rsid w:val="00242C20"/>
    <w:rsid w:val="00242DBE"/>
    <w:rsid w:val="00242F98"/>
    <w:rsid w:val="00243598"/>
    <w:rsid w:val="00244260"/>
    <w:rsid w:val="002442E1"/>
    <w:rsid w:val="002444B2"/>
    <w:rsid w:val="0024456E"/>
    <w:rsid w:val="0024465C"/>
    <w:rsid w:val="0024467F"/>
    <w:rsid w:val="0024479E"/>
    <w:rsid w:val="00244FF3"/>
    <w:rsid w:val="0024500F"/>
    <w:rsid w:val="00245151"/>
    <w:rsid w:val="00245421"/>
    <w:rsid w:val="002455A0"/>
    <w:rsid w:val="002458C0"/>
    <w:rsid w:val="00245A95"/>
    <w:rsid w:val="00245BFB"/>
    <w:rsid w:val="00245EC9"/>
    <w:rsid w:val="002460FB"/>
    <w:rsid w:val="00246474"/>
    <w:rsid w:val="00246489"/>
    <w:rsid w:val="00246515"/>
    <w:rsid w:val="002467BB"/>
    <w:rsid w:val="00246982"/>
    <w:rsid w:val="00246B96"/>
    <w:rsid w:val="00246BE3"/>
    <w:rsid w:val="00246D0C"/>
    <w:rsid w:val="00246E9D"/>
    <w:rsid w:val="0024728D"/>
    <w:rsid w:val="00247A2B"/>
    <w:rsid w:val="00247A33"/>
    <w:rsid w:val="00247AD2"/>
    <w:rsid w:val="00247CCA"/>
    <w:rsid w:val="00247D07"/>
    <w:rsid w:val="00250167"/>
    <w:rsid w:val="00250B40"/>
    <w:rsid w:val="00250BC4"/>
    <w:rsid w:val="00250DF4"/>
    <w:rsid w:val="0025103F"/>
    <w:rsid w:val="0025125B"/>
    <w:rsid w:val="00251417"/>
    <w:rsid w:val="002517AE"/>
    <w:rsid w:val="00251824"/>
    <w:rsid w:val="002518DF"/>
    <w:rsid w:val="00251C39"/>
    <w:rsid w:val="00251C43"/>
    <w:rsid w:val="00251EFD"/>
    <w:rsid w:val="00251F8C"/>
    <w:rsid w:val="002521E2"/>
    <w:rsid w:val="00252286"/>
    <w:rsid w:val="00252425"/>
    <w:rsid w:val="002526B3"/>
    <w:rsid w:val="0025295F"/>
    <w:rsid w:val="00252A19"/>
    <w:rsid w:val="00252B19"/>
    <w:rsid w:val="00253057"/>
    <w:rsid w:val="002530A4"/>
    <w:rsid w:val="002532BA"/>
    <w:rsid w:val="00253B7A"/>
    <w:rsid w:val="00253DFD"/>
    <w:rsid w:val="00253F15"/>
    <w:rsid w:val="00254021"/>
    <w:rsid w:val="002540BF"/>
    <w:rsid w:val="0025430B"/>
    <w:rsid w:val="00254373"/>
    <w:rsid w:val="002543B0"/>
    <w:rsid w:val="00254478"/>
    <w:rsid w:val="00254557"/>
    <w:rsid w:val="00254863"/>
    <w:rsid w:val="0025492C"/>
    <w:rsid w:val="00254BF6"/>
    <w:rsid w:val="00255131"/>
    <w:rsid w:val="00255163"/>
    <w:rsid w:val="002552D6"/>
    <w:rsid w:val="00255465"/>
    <w:rsid w:val="002556E8"/>
    <w:rsid w:val="00255C3C"/>
    <w:rsid w:val="00255D00"/>
    <w:rsid w:val="00255F47"/>
    <w:rsid w:val="00256269"/>
    <w:rsid w:val="00256AE1"/>
    <w:rsid w:val="00256B07"/>
    <w:rsid w:val="00256B45"/>
    <w:rsid w:val="00256B71"/>
    <w:rsid w:val="00256BF7"/>
    <w:rsid w:val="00256FFD"/>
    <w:rsid w:val="00257195"/>
    <w:rsid w:val="0025737B"/>
    <w:rsid w:val="002574A2"/>
    <w:rsid w:val="002576E0"/>
    <w:rsid w:val="00257915"/>
    <w:rsid w:val="0025798B"/>
    <w:rsid w:val="002579F9"/>
    <w:rsid w:val="00257CD0"/>
    <w:rsid w:val="00260001"/>
    <w:rsid w:val="00260249"/>
    <w:rsid w:val="00260417"/>
    <w:rsid w:val="0026091A"/>
    <w:rsid w:val="002609B3"/>
    <w:rsid w:val="00260C60"/>
    <w:rsid w:val="00260DA4"/>
    <w:rsid w:val="0026158E"/>
    <w:rsid w:val="0026184F"/>
    <w:rsid w:val="00261D28"/>
    <w:rsid w:val="00262111"/>
    <w:rsid w:val="0026227B"/>
    <w:rsid w:val="002623BD"/>
    <w:rsid w:val="00262436"/>
    <w:rsid w:val="002629D8"/>
    <w:rsid w:val="002629F9"/>
    <w:rsid w:val="00262AF0"/>
    <w:rsid w:val="00262F41"/>
    <w:rsid w:val="0026358F"/>
    <w:rsid w:val="00263722"/>
    <w:rsid w:val="00263B74"/>
    <w:rsid w:val="00263E81"/>
    <w:rsid w:val="0026409A"/>
    <w:rsid w:val="0026426A"/>
    <w:rsid w:val="002648A9"/>
    <w:rsid w:val="00264AEA"/>
    <w:rsid w:val="00264D0B"/>
    <w:rsid w:val="00264D2C"/>
    <w:rsid w:val="00264D54"/>
    <w:rsid w:val="00265040"/>
    <w:rsid w:val="0026507C"/>
    <w:rsid w:val="00265880"/>
    <w:rsid w:val="002658C1"/>
    <w:rsid w:val="002663BB"/>
    <w:rsid w:val="002664BC"/>
    <w:rsid w:val="002665F0"/>
    <w:rsid w:val="002667EC"/>
    <w:rsid w:val="00267040"/>
    <w:rsid w:val="002672B0"/>
    <w:rsid w:val="00267472"/>
    <w:rsid w:val="002679CB"/>
    <w:rsid w:val="00267C36"/>
    <w:rsid w:val="00267CFD"/>
    <w:rsid w:val="00270047"/>
    <w:rsid w:val="002701E6"/>
    <w:rsid w:val="00270412"/>
    <w:rsid w:val="00270518"/>
    <w:rsid w:val="00270C64"/>
    <w:rsid w:val="00270D57"/>
    <w:rsid w:val="00271012"/>
    <w:rsid w:val="00271266"/>
    <w:rsid w:val="002712F5"/>
    <w:rsid w:val="002716F2"/>
    <w:rsid w:val="00271A06"/>
    <w:rsid w:val="00271AF6"/>
    <w:rsid w:val="00271DB3"/>
    <w:rsid w:val="00272176"/>
    <w:rsid w:val="00272565"/>
    <w:rsid w:val="002727E5"/>
    <w:rsid w:val="00272AFC"/>
    <w:rsid w:val="00272CB3"/>
    <w:rsid w:val="00272EFA"/>
    <w:rsid w:val="00272FAA"/>
    <w:rsid w:val="002731B2"/>
    <w:rsid w:val="002731C8"/>
    <w:rsid w:val="002734A2"/>
    <w:rsid w:val="00273C70"/>
    <w:rsid w:val="00273CB8"/>
    <w:rsid w:val="00273E97"/>
    <w:rsid w:val="00274241"/>
    <w:rsid w:val="0027456C"/>
    <w:rsid w:val="00274EA2"/>
    <w:rsid w:val="00274FC4"/>
    <w:rsid w:val="002751FC"/>
    <w:rsid w:val="00275356"/>
    <w:rsid w:val="002755E3"/>
    <w:rsid w:val="00275B1E"/>
    <w:rsid w:val="00275B2A"/>
    <w:rsid w:val="00275C12"/>
    <w:rsid w:val="00276370"/>
    <w:rsid w:val="00276662"/>
    <w:rsid w:val="002766CE"/>
    <w:rsid w:val="00276716"/>
    <w:rsid w:val="00276916"/>
    <w:rsid w:val="0027696F"/>
    <w:rsid w:val="00276BD0"/>
    <w:rsid w:val="00276C81"/>
    <w:rsid w:val="002771E6"/>
    <w:rsid w:val="002773C0"/>
    <w:rsid w:val="00277796"/>
    <w:rsid w:val="002777AA"/>
    <w:rsid w:val="002779F0"/>
    <w:rsid w:val="00277C5F"/>
    <w:rsid w:val="00277CBE"/>
    <w:rsid w:val="0028018F"/>
    <w:rsid w:val="00280347"/>
    <w:rsid w:val="0028041F"/>
    <w:rsid w:val="0028047E"/>
    <w:rsid w:val="002808A8"/>
    <w:rsid w:val="00280BEE"/>
    <w:rsid w:val="00280FE4"/>
    <w:rsid w:val="00281848"/>
    <w:rsid w:val="00281B65"/>
    <w:rsid w:val="00281DD9"/>
    <w:rsid w:val="00281EF4"/>
    <w:rsid w:val="002824BE"/>
    <w:rsid w:val="002828C3"/>
    <w:rsid w:val="00282E13"/>
    <w:rsid w:val="00282E5B"/>
    <w:rsid w:val="00283424"/>
    <w:rsid w:val="0028350C"/>
    <w:rsid w:val="00283742"/>
    <w:rsid w:val="00283811"/>
    <w:rsid w:val="00283970"/>
    <w:rsid w:val="00283BA4"/>
    <w:rsid w:val="00283F2F"/>
    <w:rsid w:val="00283FC5"/>
    <w:rsid w:val="00284066"/>
    <w:rsid w:val="00284606"/>
    <w:rsid w:val="002847D6"/>
    <w:rsid w:val="00284A8E"/>
    <w:rsid w:val="00284D48"/>
    <w:rsid w:val="00284E33"/>
    <w:rsid w:val="00285093"/>
    <w:rsid w:val="0028540F"/>
    <w:rsid w:val="0028547D"/>
    <w:rsid w:val="002855E2"/>
    <w:rsid w:val="00285601"/>
    <w:rsid w:val="00285AEE"/>
    <w:rsid w:val="00285E5C"/>
    <w:rsid w:val="00285E6E"/>
    <w:rsid w:val="00285F2B"/>
    <w:rsid w:val="00285F5A"/>
    <w:rsid w:val="0028608E"/>
    <w:rsid w:val="00286431"/>
    <w:rsid w:val="00286612"/>
    <w:rsid w:val="00286618"/>
    <w:rsid w:val="0028681D"/>
    <w:rsid w:val="00286B4D"/>
    <w:rsid w:val="00286C86"/>
    <w:rsid w:val="00286CCC"/>
    <w:rsid w:val="00286CF6"/>
    <w:rsid w:val="00286E55"/>
    <w:rsid w:val="002870C4"/>
    <w:rsid w:val="0028727E"/>
    <w:rsid w:val="00287598"/>
    <w:rsid w:val="0028779E"/>
    <w:rsid w:val="00287829"/>
    <w:rsid w:val="00287C72"/>
    <w:rsid w:val="00287E90"/>
    <w:rsid w:val="00287F64"/>
    <w:rsid w:val="0029009B"/>
    <w:rsid w:val="0029066C"/>
    <w:rsid w:val="002909BB"/>
    <w:rsid w:val="00290CAA"/>
    <w:rsid w:val="00290E0E"/>
    <w:rsid w:val="00290F13"/>
    <w:rsid w:val="00290F50"/>
    <w:rsid w:val="0029112E"/>
    <w:rsid w:val="002914D6"/>
    <w:rsid w:val="00291530"/>
    <w:rsid w:val="00291A43"/>
    <w:rsid w:val="00291C2C"/>
    <w:rsid w:val="00291EBB"/>
    <w:rsid w:val="0029200A"/>
    <w:rsid w:val="0029205C"/>
    <w:rsid w:val="0029232E"/>
    <w:rsid w:val="00292439"/>
    <w:rsid w:val="00292448"/>
    <w:rsid w:val="002926FF"/>
    <w:rsid w:val="002928F6"/>
    <w:rsid w:val="00292943"/>
    <w:rsid w:val="00292BDE"/>
    <w:rsid w:val="00292D72"/>
    <w:rsid w:val="00293710"/>
    <w:rsid w:val="002938B2"/>
    <w:rsid w:val="00293CD5"/>
    <w:rsid w:val="00293FA1"/>
    <w:rsid w:val="00294291"/>
    <w:rsid w:val="002943E4"/>
    <w:rsid w:val="0029462C"/>
    <w:rsid w:val="002949AB"/>
    <w:rsid w:val="00294AD2"/>
    <w:rsid w:val="00294AF8"/>
    <w:rsid w:val="00294CAF"/>
    <w:rsid w:val="00294CF8"/>
    <w:rsid w:val="00294DDC"/>
    <w:rsid w:val="00294EB6"/>
    <w:rsid w:val="00295180"/>
    <w:rsid w:val="00295190"/>
    <w:rsid w:val="002953DB"/>
    <w:rsid w:val="0029582E"/>
    <w:rsid w:val="002960CC"/>
    <w:rsid w:val="002960E7"/>
    <w:rsid w:val="0029674B"/>
    <w:rsid w:val="00296911"/>
    <w:rsid w:val="00296A47"/>
    <w:rsid w:val="00296B9F"/>
    <w:rsid w:val="00296F35"/>
    <w:rsid w:val="00296FF6"/>
    <w:rsid w:val="002973FB"/>
    <w:rsid w:val="00297519"/>
    <w:rsid w:val="00297664"/>
    <w:rsid w:val="00297817"/>
    <w:rsid w:val="00297CA7"/>
    <w:rsid w:val="00297CF1"/>
    <w:rsid w:val="002A0201"/>
    <w:rsid w:val="002A044F"/>
    <w:rsid w:val="002A06AD"/>
    <w:rsid w:val="002A06E5"/>
    <w:rsid w:val="002A06EF"/>
    <w:rsid w:val="002A0827"/>
    <w:rsid w:val="002A0860"/>
    <w:rsid w:val="002A0B7D"/>
    <w:rsid w:val="002A0C15"/>
    <w:rsid w:val="002A1003"/>
    <w:rsid w:val="002A10B7"/>
    <w:rsid w:val="002A10EA"/>
    <w:rsid w:val="002A1353"/>
    <w:rsid w:val="002A1366"/>
    <w:rsid w:val="002A18D1"/>
    <w:rsid w:val="002A1B94"/>
    <w:rsid w:val="002A1EB1"/>
    <w:rsid w:val="002A2052"/>
    <w:rsid w:val="002A20A9"/>
    <w:rsid w:val="002A21DC"/>
    <w:rsid w:val="002A22BA"/>
    <w:rsid w:val="002A2387"/>
    <w:rsid w:val="002A266D"/>
    <w:rsid w:val="002A27F5"/>
    <w:rsid w:val="002A29A4"/>
    <w:rsid w:val="002A2BB6"/>
    <w:rsid w:val="002A2D4B"/>
    <w:rsid w:val="002A2E04"/>
    <w:rsid w:val="002A33F1"/>
    <w:rsid w:val="002A34AE"/>
    <w:rsid w:val="002A35A3"/>
    <w:rsid w:val="002A38E5"/>
    <w:rsid w:val="002A38EF"/>
    <w:rsid w:val="002A435A"/>
    <w:rsid w:val="002A45CD"/>
    <w:rsid w:val="002A4664"/>
    <w:rsid w:val="002A4866"/>
    <w:rsid w:val="002A4975"/>
    <w:rsid w:val="002A4BDF"/>
    <w:rsid w:val="002A4F6B"/>
    <w:rsid w:val="002A4FF0"/>
    <w:rsid w:val="002A51E1"/>
    <w:rsid w:val="002A555F"/>
    <w:rsid w:val="002A585A"/>
    <w:rsid w:val="002A6008"/>
    <w:rsid w:val="002A60A1"/>
    <w:rsid w:val="002A6241"/>
    <w:rsid w:val="002A632F"/>
    <w:rsid w:val="002A637F"/>
    <w:rsid w:val="002A65BC"/>
    <w:rsid w:val="002A6734"/>
    <w:rsid w:val="002A6931"/>
    <w:rsid w:val="002A6DC4"/>
    <w:rsid w:val="002A6F86"/>
    <w:rsid w:val="002A704B"/>
    <w:rsid w:val="002A723A"/>
    <w:rsid w:val="002A7496"/>
    <w:rsid w:val="002A77AF"/>
    <w:rsid w:val="002A792E"/>
    <w:rsid w:val="002A7A05"/>
    <w:rsid w:val="002A7D89"/>
    <w:rsid w:val="002B03CE"/>
    <w:rsid w:val="002B04E3"/>
    <w:rsid w:val="002B05BD"/>
    <w:rsid w:val="002B0786"/>
    <w:rsid w:val="002B1080"/>
    <w:rsid w:val="002B19EF"/>
    <w:rsid w:val="002B1AC4"/>
    <w:rsid w:val="002B2041"/>
    <w:rsid w:val="002B25D2"/>
    <w:rsid w:val="002B276D"/>
    <w:rsid w:val="002B276E"/>
    <w:rsid w:val="002B2BC6"/>
    <w:rsid w:val="002B2BFA"/>
    <w:rsid w:val="002B2C9F"/>
    <w:rsid w:val="002B2D50"/>
    <w:rsid w:val="002B2EC9"/>
    <w:rsid w:val="002B2EF5"/>
    <w:rsid w:val="002B3011"/>
    <w:rsid w:val="002B3485"/>
    <w:rsid w:val="002B3492"/>
    <w:rsid w:val="002B35E0"/>
    <w:rsid w:val="002B3757"/>
    <w:rsid w:val="002B386D"/>
    <w:rsid w:val="002B39B5"/>
    <w:rsid w:val="002B39BA"/>
    <w:rsid w:val="002B3DBC"/>
    <w:rsid w:val="002B3E1C"/>
    <w:rsid w:val="002B3EA8"/>
    <w:rsid w:val="002B3FFF"/>
    <w:rsid w:val="002B4186"/>
    <w:rsid w:val="002B42C9"/>
    <w:rsid w:val="002B43B3"/>
    <w:rsid w:val="002B43BA"/>
    <w:rsid w:val="002B47C8"/>
    <w:rsid w:val="002B4869"/>
    <w:rsid w:val="002B48DE"/>
    <w:rsid w:val="002B4DA4"/>
    <w:rsid w:val="002B51AD"/>
    <w:rsid w:val="002B5241"/>
    <w:rsid w:val="002B52F7"/>
    <w:rsid w:val="002B5380"/>
    <w:rsid w:val="002B57A1"/>
    <w:rsid w:val="002B593B"/>
    <w:rsid w:val="002B5D1B"/>
    <w:rsid w:val="002B621A"/>
    <w:rsid w:val="002B62B3"/>
    <w:rsid w:val="002B6716"/>
    <w:rsid w:val="002B6894"/>
    <w:rsid w:val="002B6AD1"/>
    <w:rsid w:val="002B6AEF"/>
    <w:rsid w:val="002B6F84"/>
    <w:rsid w:val="002B7002"/>
    <w:rsid w:val="002B711A"/>
    <w:rsid w:val="002B7269"/>
    <w:rsid w:val="002B72EA"/>
    <w:rsid w:val="002B7595"/>
    <w:rsid w:val="002C0376"/>
    <w:rsid w:val="002C0603"/>
    <w:rsid w:val="002C0ACB"/>
    <w:rsid w:val="002C0B53"/>
    <w:rsid w:val="002C0CB9"/>
    <w:rsid w:val="002C0D20"/>
    <w:rsid w:val="002C0D4B"/>
    <w:rsid w:val="002C0F95"/>
    <w:rsid w:val="002C119A"/>
    <w:rsid w:val="002C13BF"/>
    <w:rsid w:val="002C14C7"/>
    <w:rsid w:val="002C1611"/>
    <w:rsid w:val="002C16C9"/>
    <w:rsid w:val="002C1716"/>
    <w:rsid w:val="002C187F"/>
    <w:rsid w:val="002C1A1C"/>
    <w:rsid w:val="002C1F16"/>
    <w:rsid w:val="002C26F8"/>
    <w:rsid w:val="002C2BBB"/>
    <w:rsid w:val="002C2BDC"/>
    <w:rsid w:val="002C301D"/>
    <w:rsid w:val="002C3021"/>
    <w:rsid w:val="002C30D2"/>
    <w:rsid w:val="002C38E3"/>
    <w:rsid w:val="002C3933"/>
    <w:rsid w:val="002C3A63"/>
    <w:rsid w:val="002C3ABF"/>
    <w:rsid w:val="002C3BCF"/>
    <w:rsid w:val="002C3C81"/>
    <w:rsid w:val="002C3D95"/>
    <w:rsid w:val="002C41CE"/>
    <w:rsid w:val="002C41D1"/>
    <w:rsid w:val="002C4274"/>
    <w:rsid w:val="002C47B8"/>
    <w:rsid w:val="002C4CF4"/>
    <w:rsid w:val="002C4F19"/>
    <w:rsid w:val="002C50B0"/>
    <w:rsid w:val="002C52F2"/>
    <w:rsid w:val="002C5564"/>
    <w:rsid w:val="002C5588"/>
    <w:rsid w:val="002C57F7"/>
    <w:rsid w:val="002C58FC"/>
    <w:rsid w:val="002C591D"/>
    <w:rsid w:val="002C5AB1"/>
    <w:rsid w:val="002C5FA9"/>
    <w:rsid w:val="002C5FC8"/>
    <w:rsid w:val="002C614A"/>
    <w:rsid w:val="002C6305"/>
    <w:rsid w:val="002C64EE"/>
    <w:rsid w:val="002C6621"/>
    <w:rsid w:val="002C66DD"/>
    <w:rsid w:val="002C6A34"/>
    <w:rsid w:val="002C6B43"/>
    <w:rsid w:val="002C6D01"/>
    <w:rsid w:val="002C7109"/>
    <w:rsid w:val="002C714D"/>
    <w:rsid w:val="002C77BE"/>
    <w:rsid w:val="002C7821"/>
    <w:rsid w:val="002C79DB"/>
    <w:rsid w:val="002C7A47"/>
    <w:rsid w:val="002C7B41"/>
    <w:rsid w:val="002C7C61"/>
    <w:rsid w:val="002C7C84"/>
    <w:rsid w:val="002C7F33"/>
    <w:rsid w:val="002D00A6"/>
    <w:rsid w:val="002D01AD"/>
    <w:rsid w:val="002D01B5"/>
    <w:rsid w:val="002D02BA"/>
    <w:rsid w:val="002D02DA"/>
    <w:rsid w:val="002D03C2"/>
    <w:rsid w:val="002D03C8"/>
    <w:rsid w:val="002D0602"/>
    <w:rsid w:val="002D06AB"/>
    <w:rsid w:val="002D0B75"/>
    <w:rsid w:val="002D0F17"/>
    <w:rsid w:val="002D1264"/>
    <w:rsid w:val="002D1615"/>
    <w:rsid w:val="002D16D5"/>
    <w:rsid w:val="002D180E"/>
    <w:rsid w:val="002D1D75"/>
    <w:rsid w:val="002D1DA3"/>
    <w:rsid w:val="002D1FE0"/>
    <w:rsid w:val="002D22C4"/>
    <w:rsid w:val="002D22EC"/>
    <w:rsid w:val="002D2C2E"/>
    <w:rsid w:val="002D2D38"/>
    <w:rsid w:val="002D2DEF"/>
    <w:rsid w:val="002D2DF2"/>
    <w:rsid w:val="002D3121"/>
    <w:rsid w:val="002D33D8"/>
    <w:rsid w:val="002D34CF"/>
    <w:rsid w:val="002D3A12"/>
    <w:rsid w:val="002D3F0E"/>
    <w:rsid w:val="002D412E"/>
    <w:rsid w:val="002D4564"/>
    <w:rsid w:val="002D4AA4"/>
    <w:rsid w:val="002D4BEC"/>
    <w:rsid w:val="002D4CEA"/>
    <w:rsid w:val="002D4D20"/>
    <w:rsid w:val="002D5035"/>
    <w:rsid w:val="002D53CB"/>
    <w:rsid w:val="002D544F"/>
    <w:rsid w:val="002D585E"/>
    <w:rsid w:val="002D5A5A"/>
    <w:rsid w:val="002D5A60"/>
    <w:rsid w:val="002D612A"/>
    <w:rsid w:val="002D6233"/>
    <w:rsid w:val="002D6418"/>
    <w:rsid w:val="002D6547"/>
    <w:rsid w:val="002D677E"/>
    <w:rsid w:val="002D6928"/>
    <w:rsid w:val="002D6ABB"/>
    <w:rsid w:val="002D6ABC"/>
    <w:rsid w:val="002D6E63"/>
    <w:rsid w:val="002D7271"/>
    <w:rsid w:val="002D766E"/>
    <w:rsid w:val="002D7803"/>
    <w:rsid w:val="002D7997"/>
    <w:rsid w:val="002D7D84"/>
    <w:rsid w:val="002E00A5"/>
    <w:rsid w:val="002E037C"/>
    <w:rsid w:val="002E038A"/>
    <w:rsid w:val="002E0451"/>
    <w:rsid w:val="002E0492"/>
    <w:rsid w:val="002E09F9"/>
    <w:rsid w:val="002E0DD6"/>
    <w:rsid w:val="002E11B4"/>
    <w:rsid w:val="002E11E3"/>
    <w:rsid w:val="002E15D8"/>
    <w:rsid w:val="002E16E9"/>
    <w:rsid w:val="002E170D"/>
    <w:rsid w:val="002E17E7"/>
    <w:rsid w:val="002E1934"/>
    <w:rsid w:val="002E19EE"/>
    <w:rsid w:val="002E1E33"/>
    <w:rsid w:val="002E2562"/>
    <w:rsid w:val="002E25ED"/>
    <w:rsid w:val="002E2666"/>
    <w:rsid w:val="002E289A"/>
    <w:rsid w:val="002E2F00"/>
    <w:rsid w:val="002E3205"/>
    <w:rsid w:val="002E3397"/>
    <w:rsid w:val="002E33E1"/>
    <w:rsid w:val="002E3516"/>
    <w:rsid w:val="002E3A77"/>
    <w:rsid w:val="002E3D1A"/>
    <w:rsid w:val="002E3E71"/>
    <w:rsid w:val="002E414E"/>
    <w:rsid w:val="002E47E0"/>
    <w:rsid w:val="002E483B"/>
    <w:rsid w:val="002E4AFA"/>
    <w:rsid w:val="002E4BFC"/>
    <w:rsid w:val="002E4CA3"/>
    <w:rsid w:val="002E4EF6"/>
    <w:rsid w:val="002E5098"/>
    <w:rsid w:val="002E5178"/>
    <w:rsid w:val="002E5211"/>
    <w:rsid w:val="002E524A"/>
    <w:rsid w:val="002E52B5"/>
    <w:rsid w:val="002E54B1"/>
    <w:rsid w:val="002E5832"/>
    <w:rsid w:val="002E58D4"/>
    <w:rsid w:val="002E5944"/>
    <w:rsid w:val="002E5FB2"/>
    <w:rsid w:val="002E6740"/>
    <w:rsid w:val="002E6975"/>
    <w:rsid w:val="002E6A6F"/>
    <w:rsid w:val="002E6B0E"/>
    <w:rsid w:val="002E6CA0"/>
    <w:rsid w:val="002E6E91"/>
    <w:rsid w:val="002E6F9B"/>
    <w:rsid w:val="002E7017"/>
    <w:rsid w:val="002E71A5"/>
    <w:rsid w:val="002E7200"/>
    <w:rsid w:val="002E77D6"/>
    <w:rsid w:val="002E7925"/>
    <w:rsid w:val="002E7BCC"/>
    <w:rsid w:val="002E7DD3"/>
    <w:rsid w:val="002E7EA3"/>
    <w:rsid w:val="002F0181"/>
    <w:rsid w:val="002F02B2"/>
    <w:rsid w:val="002F03A5"/>
    <w:rsid w:val="002F065D"/>
    <w:rsid w:val="002F069D"/>
    <w:rsid w:val="002F0713"/>
    <w:rsid w:val="002F0846"/>
    <w:rsid w:val="002F084C"/>
    <w:rsid w:val="002F0872"/>
    <w:rsid w:val="002F08B6"/>
    <w:rsid w:val="002F09AA"/>
    <w:rsid w:val="002F0FFF"/>
    <w:rsid w:val="002F1306"/>
    <w:rsid w:val="002F156A"/>
    <w:rsid w:val="002F1752"/>
    <w:rsid w:val="002F1826"/>
    <w:rsid w:val="002F19A7"/>
    <w:rsid w:val="002F1EAE"/>
    <w:rsid w:val="002F21C7"/>
    <w:rsid w:val="002F2290"/>
    <w:rsid w:val="002F2649"/>
    <w:rsid w:val="002F2769"/>
    <w:rsid w:val="002F29C8"/>
    <w:rsid w:val="002F2A71"/>
    <w:rsid w:val="002F2ADC"/>
    <w:rsid w:val="002F2B0D"/>
    <w:rsid w:val="002F2DDA"/>
    <w:rsid w:val="002F2F73"/>
    <w:rsid w:val="002F31EB"/>
    <w:rsid w:val="002F3208"/>
    <w:rsid w:val="002F3252"/>
    <w:rsid w:val="002F32E3"/>
    <w:rsid w:val="002F3431"/>
    <w:rsid w:val="002F34EC"/>
    <w:rsid w:val="002F36B6"/>
    <w:rsid w:val="002F3812"/>
    <w:rsid w:val="002F384E"/>
    <w:rsid w:val="002F4411"/>
    <w:rsid w:val="002F46CB"/>
    <w:rsid w:val="002F472B"/>
    <w:rsid w:val="002F4753"/>
    <w:rsid w:val="002F48A1"/>
    <w:rsid w:val="002F49D9"/>
    <w:rsid w:val="002F49DA"/>
    <w:rsid w:val="002F4D7D"/>
    <w:rsid w:val="002F4EC5"/>
    <w:rsid w:val="002F4FA8"/>
    <w:rsid w:val="002F51F8"/>
    <w:rsid w:val="002F5347"/>
    <w:rsid w:val="002F545E"/>
    <w:rsid w:val="002F55E1"/>
    <w:rsid w:val="002F58BA"/>
    <w:rsid w:val="002F5BC9"/>
    <w:rsid w:val="002F5BCD"/>
    <w:rsid w:val="002F5CC8"/>
    <w:rsid w:val="002F5CD1"/>
    <w:rsid w:val="002F5D2C"/>
    <w:rsid w:val="002F5D70"/>
    <w:rsid w:val="002F5DB3"/>
    <w:rsid w:val="002F6144"/>
    <w:rsid w:val="002F62E5"/>
    <w:rsid w:val="002F6349"/>
    <w:rsid w:val="002F63B6"/>
    <w:rsid w:val="002F6442"/>
    <w:rsid w:val="002F6471"/>
    <w:rsid w:val="002F6552"/>
    <w:rsid w:val="002F6A40"/>
    <w:rsid w:val="002F6B4E"/>
    <w:rsid w:val="002F6CF6"/>
    <w:rsid w:val="002F6E13"/>
    <w:rsid w:val="002F6FB8"/>
    <w:rsid w:val="002F7161"/>
    <w:rsid w:val="002F7752"/>
    <w:rsid w:val="002F785E"/>
    <w:rsid w:val="002F7C91"/>
    <w:rsid w:val="002F7CA6"/>
    <w:rsid w:val="002F7D39"/>
    <w:rsid w:val="002FE402"/>
    <w:rsid w:val="003000EE"/>
    <w:rsid w:val="00300100"/>
    <w:rsid w:val="0030052E"/>
    <w:rsid w:val="00300552"/>
    <w:rsid w:val="00300976"/>
    <w:rsid w:val="00300B91"/>
    <w:rsid w:val="00300C14"/>
    <w:rsid w:val="00300F68"/>
    <w:rsid w:val="00301018"/>
    <w:rsid w:val="0030164E"/>
    <w:rsid w:val="0030179B"/>
    <w:rsid w:val="00301AE1"/>
    <w:rsid w:val="00301BBE"/>
    <w:rsid w:val="00302128"/>
    <w:rsid w:val="00302144"/>
    <w:rsid w:val="00302186"/>
    <w:rsid w:val="00302456"/>
    <w:rsid w:val="003026FF"/>
    <w:rsid w:val="00302748"/>
    <w:rsid w:val="00302774"/>
    <w:rsid w:val="00302940"/>
    <w:rsid w:val="0030295E"/>
    <w:rsid w:val="003029F0"/>
    <w:rsid w:val="00302A48"/>
    <w:rsid w:val="00302A86"/>
    <w:rsid w:val="00302C8D"/>
    <w:rsid w:val="0030305D"/>
    <w:rsid w:val="00303330"/>
    <w:rsid w:val="003034C3"/>
    <w:rsid w:val="003038F2"/>
    <w:rsid w:val="00303A5F"/>
    <w:rsid w:val="00303C46"/>
    <w:rsid w:val="00303C84"/>
    <w:rsid w:val="00304067"/>
    <w:rsid w:val="00304083"/>
    <w:rsid w:val="0030429F"/>
    <w:rsid w:val="00304673"/>
    <w:rsid w:val="0030479F"/>
    <w:rsid w:val="00304A7A"/>
    <w:rsid w:val="00304B6F"/>
    <w:rsid w:val="00304BEA"/>
    <w:rsid w:val="00304C14"/>
    <w:rsid w:val="00304D32"/>
    <w:rsid w:val="00304E35"/>
    <w:rsid w:val="00304FDD"/>
    <w:rsid w:val="003050C8"/>
    <w:rsid w:val="003056F0"/>
    <w:rsid w:val="0030590A"/>
    <w:rsid w:val="00305B9C"/>
    <w:rsid w:val="00305EEC"/>
    <w:rsid w:val="00305F07"/>
    <w:rsid w:val="0030601E"/>
    <w:rsid w:val="0030647A"/>
    <w:rsid w:val="003064A5"/>
    <w:rsid w:val="00306A81"/>
    <w:rsid w:val="00306B3F"/>
    <w:rsid w:val="0030728D"/>
    <w:rsid w:val="003073DB"/>
    <w:rsid w:val="003077C4"/>
    <w:rsid w:val="00307922"/>
    <w:rsid w:val="003079B2"/>
    <w:rsid w:val="00307AF3"/>
    <w:rsid w:val="00307C86"/>
    <w:rsid w:val="00307CF0"/>
    <w:rsid w:val="00307DD5"/>
    <w:rsid w:val="00310074"/>
    <w:rsid w:val="0031028F"/>
    <w:rsid w:val="00310694"/>
    <w:rsid w:val="0031095B"/>
    <w:rsid w:val="00310991"/>
    <w:rsid w:val="00310CBC"/>
    <w:rsid w:val="00310CF9"/>
    <w:rsid w:val="00310D35"/>
    <w:rsid w:val="00310DEA"/>
    <w:rsid w:val="0031127B"/>
    <w:rsid w:val="003112CF"/>
    <w:rsid w:val="003116A4"/>
    <w:rsid w:val="0031170C"/>
    <w:rsid w:val="003119CB"/>
    <w:rsid w:val="00311A0D"/>
    <w:rsid w:val="00311B40"/>
    <w:rsid w:val="00311C86"/>
    <w:rsid w:val="003122F1"/>
    <w:rsid w:val="00312746"/>
    <w:rsid w:val="0031279F"/>
    <w:rsid w:val="00312A06"/>
    <w:rsid w:val="00312A8E"/>
    <w:rsid w:val="00312B05"/>
    <w:rsid w:val="003130A4"/>
    <w:rsid w:val="0031328E"/>
    <w:rsid w:val="00313672"/>
    <w:rsid w:val="003137C8"/>
    <w:rsid w:val="00313883"/>
    <w:rsid w:val="0031390D"/>
    <w:rsid w:val="00313943"/>
    <w:rsid w:val="00313A9B"/>
    <w:rsid w:val="00313BF9"/>
    <w:rsid w:val="00313C1C"/>
    <w:rsid w:val="00314068"/>
    <w:rsid w:val="00314748"/>
    <w:rsid w:val="0031495D"/>
    <w:rsid w:val="00314A9E"/>
    <w:rsid w:val="00314BD7"/>
    <w:rsid w:val="00314C8B"/>
    <w:rsid w:val="00314D2A"/>
    <w:rsid w:val="003150AA"/>
    <w:rsid w:val="003150D0"/>
    <w:rsid w:val="00315204"/>
    <w:rsid w:val="0031545A"/>
    <w:rsid w:val="0031557A"/>
    <w:rsid w:val="003155F9"/>
    <w:rsid w:val="00315C49"/>
    <w:rsid w:val="003161C9"/>
    <w:rsid w:val="0031638C"/>
    <w:rsid w:val="003163A1"/>
    <w:rsid w:val="00316543"/>
    <w:rsid w:val="00316649"/>
    <w:rsid w:val="003166C0"/>
    <w:rsid w:val="00316958"/>
    <w:rsid w:val="00316966"/>
    <w:rsid w:val="0031697C"/>
    <w:rsid w:val="00316A5B"/>
    <w:rsid w:val="00316D4C"/>
    <w:rsid w:val="00316DD4"/>
    <w:rsid w:val="00316ED5"/>
    <w:rsid w:val="0031709E"/>
    <w:rsid w:val="003170A7"/>
    <w:rsid w:val="00317232"/>
    <w:rsid w:val="00317289"/>
    <w:rsid w:val="003172AF"/>
    <w:rsid w:val="00317420"/>
    <w:rsid w:val="0031776F"/>
    <w:rsid w:val="003179F5"/>
    <w:rsid w:val="00317C37"/>
    <w:rsid w:val="00317D70"/>
    <w:rsid w:val="00317D75"/>
    <w:rsid w:val="003202CE"/>
    <w:rsid w:val="003205A6"/>
    <w:rsid w:val="00320687"/>
    <w:rsid w:val="00320856"/>
    <w:rsid w:val="00320B95"/>
    <w:rsid w:val="00320CA2"/>
    <w:rsid w:val="00320EC0"/>
    <w:rsid w:val="00320FEA"/>
    <w:rsid w:val="0032108F"/>
    <w:rsid w:val="00321642"/>
    <w:rsid w:val="003216B1"/>
    <w:rsid w:val="003217F2"/>
    <w:rsid w:val="00321F55"/>
    <w:rsid w:val="00322206"/>
    <w:rsid w:val="003222F4"/>
    <w:rsid w:val="003225C7"/>
    <w:rsid w:val="00322C9B"/>
    <w:rsid w:val="00322F03"/>
    <w:rsid w:val="0032341A"/>
    <w:rsid w:val="003235E1"/>
    <w:rsid w:val="00323650"/>
    <w:rsid w:val="003237BD"/>
    <w:rsid w:val="00323A87"/>
    <w:rsid w:val="00323C92"/>
    <w:rsid w:val="00323D65"/>
    <w:rsid w:val="00323E88"/>
    <w:rsid w:val="0032401F"/>
    <w:rsid w:val="003245C3"/>
    <w:rsid w:val="00324836"/>
    <w:rsid w:val="00324B0F"/>
    <w:rsid w:val="00324EAE"/>
    <w:rsid w:val="00324EC6"/>
    <w:rsid w:val="00325250"/>
    <w:rsid w:val="0032547D"/>
    <w:rsid w:val="00325A6F"/>
    <w:rsid w:val="00325A8B"/>
    <w:rsid w:val="00325E30"/>
    <w:rsid w:val="0032611C"/>
    <w:rsid w:val="003264D8"/>
    <w:rsid w:val="003269AF"/>
    <w:rsid w:val="00326D3C"/>
    <w:rsid w:val="00326DC4"/>
    <w:rsid w:val="00327027"/>
    <w:rsid w:val="00327258"/>
    <w:rsid w:val="003275FE"/>
    <w:rsid w:val="00327656"/>
    <w:rsid w:val="003278DC"/>
    <w:rsid w:val="00327AEA"/>
    <w:rsid w:val="00327BA5"/>
    <w:rsid w:val="00327BDB"/>
    <w:rsid w:val="003301A2"/>
    <w:rsid w:val="0033034A"/>
    <w:rsid w:val="003303AD"/>
    <w:rsid w:val="00330C26"/>
    <w:rsid w:val="00330EF3"/>
    <w:rsid w:val="00331031"/>
    <w:rsid w:val="00331281"/>
    <w:rsid w:val="003312CF"/>
    <w:rsid w:val="00331408"/>
    <w:rsid w:val="00331533"/>
    <w:rsid w:val="0033160D"/>
    <w:rsid w:val="00331628"/>
    <w:rsid w:val="0033163E"/>
    <w:rsid w:val="003316C3"/>
    <w:rsid w:val="0033181C"/>
    <w:rsid w:val="0033183F"/>
    <w:rsid w:val="003319E1"/>
    <w:rsid w:val="00331A10"/>
    <w:rsid w:val="00331A61"/>
    <w:rsid w:val="00331FE1"/>
    <w:rsid w:val="0033220B"/>
    <w:rsid w:val="0033241C"/>
    <w:rsid w:val="00332770"/>
    <w:rsid w:val="003327C7"/>
    <w:rsid w:val="00332AD5"/>
    <w:rsid w:val="00332E5E"/>
    <w:rsid w:val="00332F4A"/>
    <w:rsid w:val="003333C6"/>
    <w:rsid w:val="0033358C"/>
    <w:rsid w:val="00333639"/>
    <w:rsid w:val="0033368A"/>
    <w:rsid w:val="00333997"/>
    <w:rsid w:val="003339B4"/>
    <w:rsid w:val="00334331"/>
    <w:rsid w:val="00334647"/>
    <w:rsid w:val="00334648"/>
    <w:rsid w:val="003346D3"/>
    <w:rsid w:val="003346FF"/>
    <w:rsid w:val="00334910"/>
    <w:rsid w:val="00334A00"/>
    <w:rsid w:val="00334CEE"/>
    <w:rsid w:val="003352C5"/>
    <w:rsid w:val="00335328"/>
    <w:rsid w:val="003353B7"/>
    <w:rsid w:val="003354B9"/>
    <w:rsid w:val="003354C3"/>
    <w:rsid w:val="00335534"/>
    <w:rsid w:val="003356A1"/>
    <w:rsid w:val="00335B29"/>
    <w:rsid w:val="00335DE5"/>
    <w:rsid w:val="00336146"/>
    <w:rsid w:val="00336180"/>
    <w:rsid w:val="00336467"/>
    <w:rsid w:val="003364F8"/>
    <w:rsid w:val="0033681D"/>
    <w:rsid w:val="00336991"/>
    <w:rsid w:val="00336F8D"/>
    <w:rsid w:val="0033726E"/>
    <w:rsid w:val="00337275"/>
    <w:rsid w:val="003372A0"/>
    <w:rsid w:val="003372A7"/>
    <w:rsid w:val="003373E0"/>
    <w:rsid w:val="0033759E"/>
    <w:rsid w:val="003375D0"/>
    <w:rsid w:val="00337863"/>
    <w:rsid w:val="00337C6A"/>
    <w:rsid w:val="003403D4"/>
    <w:rsid w:val="00340ADE"/>
    <w:rsid w:val="00340BDA"/>
    <w:rsid w:val="00340C15"/>
    <w:rsid w:val="00340FC6"/>
    <w:rsid w:val="003411C2"/>
    <w:rsid w:val="00341483"/>
    <w:rsid w:val="0034157D"/>
    <w:rsid w:val="0034159B"/>
    <w:rsid w:val="00341752"/>
    <w:rsid w:val="00341AD8"/>
    <w:rsid w:val="00341F79"/>
    <w:rsid w:val="003423A7"/>
    <w:rsid w:val="003428FC"/>
    <w:rsid w:val="00342EC7"/>
    <w:rsid w:val="00342FD7"/>
    <w:rsid w:val="00343411"/>
    <w:rsid w:val="00343441"/>
    <w:rsid w:val="00343D5A"/>
    <w:rsid w:val="00343ED6"/>
    <w:rsid w:val="0034431B"/>
    <w:rsid w:val="00344406"/>
    <w:rsid w:val="003446D3"/>
    <w:rsid w:val="003446DD"/>
    <w:rsid w:val="00344A6F"/>
    <w:rsid w:val="00344A74"/>
    <w:rsid w:val="00344B95"/>
    <w:rsid w:val="00344E36"/>
    <w:rsid w:val="0034502C"/>
    <w:rsid w:val="0034503D"/>
    <w:rsid w:val="00345060"/>
    <w:rsid w:val="00345A1A"/>
    <w:rsid w:val="00345AE3"/>
    <w:rsid w:val="00345C6D"/>
    <w:rsid w:val="00345D6C"/>
    <w:rsid w:val="00345F06"/>
    <w:rsid w:val="00346153"/>
    <w:rsid w:val="00346569"/>
    <w:rsid w:val="0034678E"/>
    <w:rsid w:val="003467D9"/>
    <w:rsid w:val="003469B7"/>
    <w:rsid w:val="00346A62"/>
    <w:rsid w:val="00346B9A"/>
    <w:rsid w:val="00346BC1"/>
    <w:rsid w:val="00346BC6"/>
    <w:rsid w:val="00346F32"/>
    <w:rsid w:val="00347044"/>
    <w:rsid w:val="003471F4"/>
    <w:rsid w:val="003475E2"/>
    <w:rsid w:val="0034763A"/>
    <w:rsid w:val="0034773B"/>
    <w:rsid w:val="00347913"/>
    <w:rsid w:val="003503CF"/>
    <w:rsid w:val="00350488"/>
    <w:rsid w:val="0035065C"/>
    <w:rsid w:val="00350736"/>
    <w:rsid w:val="00350A25"/>
    <w:rsid w:val="00350F69"/>
    <w:rsid w:val="0035149B"/>
    <w:rsid w:val="0035186E"/>
    <w:rsid w:val="003518BB"/>
    <w:rsid w:val="00351A50"/>
    <w:rsid w:val="00351EA9"/>
    <w:rsid w:val="00351F81"/>
    <w:rsid w:val="00352141"/>
    <w:rsid w:val="00352281"/>
    <w:rsid w:val="0035250B"/>
    <w:rsid w:val="003525D3"/>
    <w:rsid w:val="00352A21"/>
    <w:rsid w:val="00352DF0"/>
    <w:rsid w:val="00352E1B"/>
    <w:rsid w:val="00353024"/>
    <w:rsid w:val="00353127"/>
    <w:rsid w:val="00353225"/>
    <w:rsid w:val="00353453"/>
    <w:rsid w:val="0035395A"/>
    <w:rsid w:val="00353B09"/>
    <w:rsid w:val="00353BBC"/>
    <w:rsid w:val="00353DC1"/>
    <w:rsid w:val="0035421C"/>
    <w:rsid w:val="00354459"/>
    <w:rsid w:val="003544CA"/>
    <w:rsid w:val="00354683"/>
    <w:rsid w:val="00354864"/>
    <w:rsid w:val="00354985"/>
    <w:rsid w:val="00354A77"/>
    <w:rsid w:val="00354DE1"/>
    <w:rsid w:val="0035510A"/>
    <w:rsid w:val="00355179"/>
    <w:rsid w:val="00355350"/>
    <w:rsid w:val="0035544A"/>
    <w:rsid w:val="00355566"/>
    <w:rsid w:val="0035595C"/>
    <w:rsid w:val="00355A90"/>
    <w:rsid w:val="00355E86"/>
    <w:rsid w:val="00355F2C"/>
    <w:rsid w:val="0035609D"/>
    <w:rsid w:val="00356B1D"/>
    <w:rsid w:val="00356DEB"/>
    <w:rsid w:val="00356E97"/>
    <w:rsid w:val="00356FDA"/>
    <w:rsid w:val="00357191"/>
    <w:rsid w:val="0035726C"/>
    <w:rsid w:val="00357457"/>
    <w:rsid w:val="00357649"/>
    <w:rsid w:val="00357678"/>
    <w:rsid w:val="00357A27"/>
    <w:rsid w:val="00357C28"/>
    <w:rsid w:val="00357DAC"/>
    <w:rsid w:val="00357EC8"/>
    <w:rsid w:val="0036006D"/>
    <w:rsid w:val="00360148"/>
    <w:rsid w:val="0036043C"/>
    <w:rsid w:val="003604FE"/>
    <w:rsid w:val="003608AB"/>
    <w:rsid w:val="00360AFD"/>
    <w:rsid w:val="00360BB8"/>
    <w:rsid w:val="00360E16"/>
    <w:rsid w:val="00360F99"/>
    <w:rsid w:val="0036117E"/>
    <w:rsid w:val="003613B9"/>
    <w:rsid w:val="003618FF"/>
    <w:rsid w:val="00361AF3"/>
    <w:rsid w:val="00361E28"/>
    <w:rsid w:val="00361FBC"/>
    <w:rsid w:val="00362041"/>
    <w:rsid w:val="00362302"/>
    <w:rsid w:val="003624B9"/>
    <w:rsid w:val="003629D8"/>
    <w:rsid w:val="00362C3D"/>
    <w:rsid w:val="00362E6D"/>
    <w:rsid w:val="003633D4"/>
    <w:rsid w:val="003636CD"/>
    <w:rsid w:val="003636DA"/>
    <w:rsid w:val="00363DF5"/>
    <w:rsid w:val="00363E15"/>
    <w:rsid w:val="0036406A"/>
    <w:rsid w:val="003648B0"/>
    <w:rsid w:val="00364A72"/>
    <w:rsid w:val="00364B5E"/>
    <w:rsid w:val="00364CAE"/>
    <w:rsid w:val="00364E5D"/>
    <w:rsid w:val="00364F8F"/>
    <w:rsid w:val="0036513C"/>
    <w:rsid w:val="00365293"/>
    <w:rsid w:val="00365354"/>
    <w:rsid w:val="003653CB"/>
    <w:rsid w:val="00365409"/>
    <w:rsid w:val="0036564B"/>
    <w:rsid w:val="003656E1"/>
    <w:rsid w:val="003658D6"/>
    <w:rsid w:val="00365A0B"/>
    <w:rsid w:val="00365D80"/>
    <w:rsid w:val="00365F4E"/>
    <w:rsid w:val="00365FA6"/>
    <w:rsid w:val="00366162"/>
    <w:rsid w:val="003661A7"/>
    <w:rsid w:val="00366230"/>
    <w:rsid w:val="00366971"/>
    <w:rsid w:val="003669F8"/>
    <w:rsid w:val="00366EBB"/>
    <w:rsid w:val="003670AC"/>
    <w:rsid w:val="0036733C"/>
    <w:rsid w:val="003675C7"/>
    <w:rsid w:val="00367831"/>
    <w:rsid w:val="00367A40"/>
    <w:rsid w:val="00370011"/>
    <w:rsid w:val="0037028D"/>
    <w:rsid w:val="003707F8"/>
    <w:rsid w:val="003709F3"/>
    <w:rsid w:val="00370C02"/>
    <w:rsid w:val="00370E6B"/>
    <w:rsid w:val="00370EAA"/>
    <w:rsid w:val="003713A0"/>
    <w:rsid w:val="00371418"/>
    <w:rsid w:val="0037147C"/>
    <w:rsid w:val="0037179E"/>
    <w:rsid w:val="003718C8"/>
    <w:rsid w:val="003718FA"/>
    <w:rsid w:val="003722A4"/>
    <w:rsid w:val="0037242E"/>
    <w:rsid w:val="00372724"/>
    <w:rsid w:val="0037276A"/>
    <w:rsid w:val="00372CB3"/>
    <w:rsid w:val="00372DEA"/>
    <w:rsid w:val="00372FFF"/>
    <w:rsid w:val="0037322B"/>
    <w:rsid w:val="00373302"/>
    <w:rsid w:val="003733EE"/>
    <w:rsid w:val="0037341C"/>
    <w:rsid w:val="0037368A"/>
    <w:rsid w:val="003737B6"/>
    <w:rsid w:val="00373A30"/>
    <w:rsid w:val="00373AA9"/>
    <w:rsid w:val="00373B5D"/>
    <w:rsid w:val="00373BFF"/>
    <w:rsid w:val="00373F93"/>
    <w:rsid w:val="00373FC7"/>
    <w:rsid w:val="003742B1"/>
    <w:rsid w:val="003742F7"/>
    <w:rsid w:val="00374376"/>
    <w:rsid w:val="00374646"/>
    <w:rsid w:val="003748E6"/>
    <w:rsid w:val="003749C1"/>
    <w:rsid w:val="00374A24"/>
    <w:rsid w:val="00374A90"/>
    <w:rsid w:val="00374B63"/>
    <w:rsid w:val="00374BC4"/>
    <w:rsid w:val="00374CDB"/>
    <w:rsid w:val="00375309"/>
    <w:rsid w:val="0037536F"/>
    <w:rsid w:val="0037554D"/>
    <w:rsid w:val="00375699"/>
    <w:rsid w:val="00375B62"/>
    <w:rsid w:val="00375B88"/>
    <w:rsid w:val="00375BDD"/>
    <w:rsid w:val="003761B1"/>
    <w:rsid w:val="0037626F"/>
    <w:rsid w:val="003765C6"/>
    <w:rsid w:val="003765E1"/>
    <w:rsid w:val="0037691F"/>
    <w:rsid w:val="00376A49"/>
    <w:rsid w:val="00376D21"/>
    <w:rsid w:val="00376FC8"/>
    <w:rsid w:val="00377167"/>
    <w:rsid w:val="003774D7"/>
    <w:rsid w:val="0037752E"/>
    <w:rsid w:val="003778C3"/>
    <w:rsid w:val="00377A2A"/>
    <w:rsid w:val="00377A50"/>
    <w:rsid w:val="00377C9C"/>
    <w:rsid w:val="00377D3A"/>
    <w:rsid w:val="00377D74"/>
    <w:rsid w:val="00377DEF"/>
    <w:rsid w:val="00377F72"/>
    <w:rsid w:val="0038016C"/>
    <w:rsid w:val="0038020D"/>
    <w:rsid w:val="003803F4"/>
    <w:rsid w:val="0038065B"/>
    <w:rsid w:val="00380BDD"/>
    <w:rsid w:val="00380E02"/>
    <w:rsid w:val="00380F81"/>
    <w:rsid w:val="003813FD"/>
    <w:rsid w:val="003814CE"/>
    <w:rsid w:val="003814D8"/>
    <w:rsid w:val="003816A2"/>
    <w:rsid w:val="0038173D"/>
    <w:rsid w:val="00381E24"/>
    <w:rsid w:val="00381E99"/>
    <w:rsid w:val="003821D0"/>
    <w:rsid w:val="0038243C"/>
    <w:rsid w:val="00382719"/>
    <w:rsid w:val="00382761"/>
    <w:rsid w:val="0038296A"/>
    <w:rsid w:val="00382DF0"/>
    <w:rsid w:val="00383966"/>
    <w:rsid w:val="00383B4D"/>
    <w:rsid w:val="00383C01"/>
    <w:rsid w:val="00383FFF"/>
    <w:rsid w:val="003840D4"/>
    <w:rsid w:val="0038416A"/>
    <w:rsid w:val="003842D2"/>
    <w:rsid w:val="003843CC"/>
    <w:rsid w:val="0038440F"/>
    <w:rsid w:val="003845FE"/>
    <w:rsid w:val="00384767"/>
    <w:rsid w:val="00384950"/>
    <w:rsid w:val="00384B55"/>
    <w:rsid w:val="00384CD7"/>
    <w:rsid w:val="00384D31"/>
    <w:rsid w:val="00384F0F"/>
    <w:rsid w:val="00384F5F"/>
    <w:rsid w:val="00384FFC"/>
    <w:rsid w:val="0038540C"/>
    <w:rsid w:val="00385539"/>
    <w:rsid w:val="003855BF"/>
    <w:rsid w:val="00385940"/>
    <w:rsid w:val="00385C2A"/>
    <w:rsid w:val="00385FAE"/>
    <w:rsid w:val="00385FBD"/>
    <w:rsid w:val="00386212"/>
    <w:rsid w:val="0038628D"/>
    <w:rsid w:val="00386369"/>
    <w:rsid w:val="00386467"/>
    <w:rsid w:val="003864EC"/>
    <w:rsid w:val="003866E9"/>
    <w:rsid w:val="0038672E"/>
    <w:rsid w:val="00386BB0"/>
    <w:rsid w:val="00386C81"/>
    <w:rsid w:val="00386CAB"/>
    <w:rsid w:val="00386F77"/>
    <w:rsid w:val="00387012"/>
    <w:rsid w:val="00387025"/>
    <w:rsid w:val="003871BB"/>
    <w:rsid w:val="003872C1"/>
    <w:rsid w:val="00387424"/>
    <w:rsid w:val="00387519"/>
    <w:rsid w:val="00387585"/>
    <w:rsid w:val="00387621"/>
    <w:rsid w:val="0038785F"/>
    <w:rsid w:val="00387B9B"/>
    <w:rsid w:val="00387F02"/>
    <w:rsid w:val="0039039E"/>
    <w:rsid w:val="003904ED"/>
    <w:rsid w:val="00390681"/>
    <w:rsid w:val="00390FB5"/>
    <w:rsid w:val="003910EA"/>
    <w:rsid w:val="003911FE"/>
    <w:rsid w:val="00391652"/>
    <w:rsid w:val="00391720"/>
    <w:rsid w:val="00391867"/>
    <w:rsid w:val="00391AC2"/>
    <w:rsid w:val="00391C06"/>
    <w:rsid w:val="00391D32"/>
    <w:rsid w:val="00391D4D"/>
    <w:rsid w:val="00391DED"/>
    <w:rsid w:val="00391E09"/>
    <w:rsid w:val="003921F1"/>
    <w:rsid w:val="0039224A"/>
    <w:rsid w:val="0039225C"/>
    <w:rsid w:val="003925BF"/>
    <w:rsid w:val="003926EC"/>
    <w:rsid w:val="00392704"/>
    <w:rsid w:val="00392871"/>
    <w:rsid w:val="003928AE"/>
    <w:rsid w:val="00392ACA"/>
    <w:rsid w:val="00392C86"/>
    <w:rsid w:val="0039342F"/>
    <w:rsid w:val="0039393D"/>
    <w:rsid w:val="00393BE9"/>
    <w:rsid w:val="00393EDB"/>
    <w:rsid w:val="00393FAB"/>
    <w:rsid w:val="003940C4"/>
    <w:rsid w:val="003940E8"/>
    <w:rsid w:val="00394697"/>
    <w:rsid w:val="00394723"/>
    <w:rsid w:val="00394968"/>
    <w:rsid w:val="00394A28"/>
    <w:rsid w:val="00394CE3"/>
    <w:rsid w:val="00394EEC"/>
    <w:rsid w:val="003950A4"/>
    <w:rsid w:val="00395AC6"/>
    <w:rsid w:val="00395E94"/>
    <w:rsid w:val="00396142"/>
    <w:rsid w:val="00396515"/>
    <w:rsid w:val="0039654D"/>
    <w:rsid w:val="00396643"/>
    <w:rsid w:val="003966D1"/>
    <w:rsid w:val="003966D7"/>
    <w:rsid w:val="003966ED"/>
    <w:rsid w:val="00396E50"/>
    <w:rsid w:val="00396F1E"/>
    <w:rsid w:val="00397184"/>
    <w:rsid w:val="003975B1"/>
    <w:rsid w:val="0039762C"/>
    <w:rsid w:val="00397772"/>
    <w:rsid w:val="00397787"/>
    <w:rsid w:val="003977B9"/>
    <w:rsid w:val="0039790A"/>
    <w:rsid w:val="00397D4B"/>
    <w:rsid w:val="00397FEE"/>
    <w:rsid w:val="003A0105"/>
    <w:rsid w:val="003A08A2"/>
    <w:rsid w:val="003A0920"/>
    <w:rsid w:val="003A09EE"/>
    <w:rsid w:val="003A0A06"/>
    <w:rsid w:val="003A0B5F"/>
    <w:rsid w:val="003A0CE6"/>
    <w:rsid w:val="003A1037"/>
    <w:rsid w:val="003A11BB"/>
    <w:rsid w:val="003A11E0"/>
    <w:rsid w:val="003A123D"/>
    <w:rsid w:val="003A13C9"/>
    <w:rsid w:val="003A1892"/>
    <w:rsid w:val="003A19CB"/>
    <w:rsid w:val="003A1AB7"/>
    <w:rsid w:val="003A1BE5"/>
    <w:rsid w:val="003A1CCB"/>
    <w:rsid w:val="003A21EB"/>
    <w:rsid w:val="003A2591"/>
    <w:rsid w:val="003A2A88"/>
    <w:rsid w:val="003A3230"/>
    <w:rsid w:val="003A349B"/>
    <w:rsid w:val="003A3F19"/>
    <w:rsid w:val="003A424C"/>
    <w:rsid w:val="003A4353"/>
    <w:rsid w:val="003A44E7"/>
    <w:rsid w:val="003A46ED"/>
    <w:rsid w:val="003A478A"/>
    <w:rsid w:val="003A496B"/>
    <w:rsid w:val="003A4979"/>
    <w:rsid w:val="003A4A8D"/>
    <w:rsid w:val="003A4B2E"/>
    <w:rsid w:val="003A4EF8"/>
    <w:rsid w:val="003A50BD"/>
    <w:rsid w:val="003A5279"/>
    <w:rsid w:val="003A5827"/>
    <w:rsid w:val="003A599A"/>
    <w:rsid w:val="003A5C0D"/>
    <w:rsid w:val="003A5F32"/>
    <w:rsid w:val="003A6002"/>
    <w:rsid w:val="003A6097"/>
    <w:rsid w:val="003A6403"/>
    <w:rsid w:val="003A6564"/>
    <w:rsid w:val="003A65FF"/>
    <w:rsid w:val="003A676F"/>
    <w:rsid w:val="003A6AA8"/>
    <w:rsid w:val="003A6B87"/>
    <w:rsid w:val="003A6D90"/>
    <w:rsid w:val="003A6DCC"/>
    <w:rsid w:val="003A6E93"/>
    <w:rsid w:val="003A7386"/>
    <w:rsid w:val="003A7430"/>
    <w:rsid w:val="003A74C2"/>
    <w:rsid w:val="003A75D8"/>
    <w:rsid w:val="003A772F"/>
    <w:rsid w:val="003A79D1"/>
    <w:rsid w:val="003A7CF0"/>
    <w:rsid w:val="003A7D98"/>
    <w:rsid w:val="003A7E4A"/>
    <w:rsid w:val="003B01E5"/>
    <w:rsid w:val="003B05FD"/>
    <w:rsid w:val="003B092E"/>
    <w:rsid w:val="003B0993"/>
    <w:rsid w:val="003B0BCD"/>
    <w:rsid w:val="003B0D97"/>
    <w:rsid w:val="003B0DDF"/>
    <w:rsid w:val="003B10DF"/>
    <w:rsid w:val="003B1573"/>
    <w:rsid w:val="003B22C5"/>
    <w:rsid w:val="003B2581"/>
    <w:rsid w:val="003B25AF"/>
    <w:rsid w:val="003B2757"/>
    <w:rsid w:val="003B2944"/>
    <w:rsid w:val="003B29D5"/>
    <w:rsid w:val="003B2E10"/>
    <w:rsid w:val="003B2ED6"/>
    <w:rsid w:val="003B2F44"/>
    <w:rsid w:val="003B325E"/>
    <w:rsid w:val="003B341B"/>
    <w:rsid w:val="003B376E"/>
    <w:rsid w:val="003B37EA"/>
    <w:rsid w:val="003B3837"/>
    <w:rsid w:val="003B3996"/>
    <w:rsid w:val="003B39CD"/>
    <w:rsid w:val="003B3F11"/>
    <w:rsid w:val="003B4173"/>
    <w:rsid w:val="003B4209"/>
    <w:rsid w:val="003B420A"/>
    <w:rsid w:val="003B45F6"/>
    <w:rsid w:val="003B45F7"/>
    <w:rsid w:val="003B49B6"/>
    <w:rsid w:val="003B49F9"/>
    <w:rsid w:val="003B4A92"/>
    <w:rsid w:val="003B4BFE"/>
    <w:rsid w:val="003B4C2E"/>
    <w:rsid w:val="003B4E45"/>
    <w:rsid w:val="003B4FDB"/>
    <w:rsid w:val="003B5222"/>
    <w:rsid w:val="003B54A7"/>
    <w:rsid w:val="003B626A"/>
    <w:rsid w:val="003B63B6"/>
    <w:rsid w:val="003B6916"/>
    <w:rsid w:val="003B6BE6"/>
    <w:rsid w:val="003B6CBD"/>
    <w:rsid w:val="003B6D9A"/>
    <w:rsid w:val="003B7037"/>
    <w:rsid w:val="003B71CE"/>
    <w:rsid w:val="003B7236"/>
    <w:rsid w:val="003B7A66"/>
    <w:rsid w:val="003C022E"/>
    <w:rsid w:val="003C02D0"/>
    <w:rsid w:val="003C052C"/>
    <w:rsid w:val="003C1405"/>
    <w:rsid w:val="003C146C"/>
    <w:rsid w:val="003C157C"/>
    <w:rsid w:val="003C16F4"/>
    <w:rsid w:val="003C16F7"/>
    <w:rsid w:val="003C171D"/>
    <w:rsid w:val="003C1828"/>
    <w:rsid w:val="003C1AF5"/>
    <w:rsid w:val="003C1C50"/>
    <w:rsid w:val="003C231F"/>
    <w:rsid w:val="003C2DD4"/>
    <w:rsid w:val="003C2E4D"/>
    <w:rsid w:val="003C32BE"/>
    <w:rsid w:val="003C3314"/>
    <w:rsid w:val="003C37D6"/>
    <w:rsid w:val="003C3876"/>
    <w:rsid w:val="003C3971"/>
    <w:rsid w:val="003C3BEA"/>
    <w:rsid w:val="003C3FBD"/>
    <w:rsid w:val="003C3FC8"/>
    <w:rsid w:val="003C4928"/>
    <w:rsid w:val="003C4C04"/>
    <w:rsid w:val="003C5204"/>
    <w:rsid w:val="003C523F"/>
    <w:rsid w:val="003C53EF"/>
    <w:rsid w:val="003C5677"/>
    <w:rsid w:val="003C585B"/>
    <w:rsid w:val="003C591D"/>
    <w:rsid w:val="003C5CCF"/>
    <w:rsid w:val="003C5E1D"/>
    <w:rsid w:val="003C5E81"/>
    <w:rsid w:val="003C60D1"/>
    <w:rsid w:val="003C6310"/>
    <w:rsid w:val="003C6400"/>
    <w:rsid w:val="003C644C"/>
    <w:rsid w:val="003C6495"/>
    <w:rsid w:val="003C6607"/>
    <w:rsid w:val="003C67C1"/>
    <w:rsid w:val="003C6F3F"/>
    <w:rsid w:val="003C6F83"/>
    <w:rsid w:val="003C7189"/>
    <w:rsid w:val="003C7446"/>
    <w:rsid w:val="003C7520"/>
    <w:rsid w:val="003C786F"/>
    <w:rsid w:val="003C7C46"/>
    <w:rsid w:val="003C7F28"/>
    <w:rsid w:val="003D02F4"/>
    <w:rsid w:val="003D0341"/>
    <w:rsid w:val="003D042B"/>
    <w:rsid w:val="003D0776"/>
    <w:rsid w:val="003D08B1"/>
    <w:rsid w:val="003D0A36"/>
    <w:rsid w:val="003D0A7C"/>
    <w:rsid w:val="003D0D6C"/>
    <w:rsid w:val="003D0FDF"/>
    <w:rsid w:val="003D134F"/>
    <w:rsid w:val="003D1451"/>
    <w:rsid w:val="003D17D8"/>
    <w:rsid w:val="003D19DE"/>
    <w:rsid w:val="003D1E47"/>
    <w:rsid w:val="003D2017"/>
    <w:rsid w:val="003D213B"/>
    <w:rsid w:val="003D2247"/>
    <w:rsid w:val="003D2972"/>
    <w:rsid w:val="003D2C7A"/>
    <w:rsid w:val="003D2C8D"/>
    <w:rsid w:val="003D2CC2"/>
    <w:rsid w:val="003D2EF4"/>
    <w:rsid w:val="003D31AB"/>
    <w:rsid w:val="003D3342"/>
    <w:rsid w:val="003D3392"/>
    <w:rsid w:val="003D353D"/>
    <w:rsid w:val="003D3669"/>
    <w:rsid w:val="003D36E3"/>
    <w:rsid w:val="003D36EA"/>
    <w:rsid w:val="003D3C5E"/>
    <w:rsid w:val="003D40A5"/>
    <w:rsid w:val="003D46C6"/>
    <w:rsid w:val="003D48E8"/>
    <w:rsid w:val="003D4A29"/>
    <w:rsid w:val="003D507C"/>
    <w:rsid w:val="003D5157"/>
    <w:rsid w:val="003D57AF"/>
    <w:rsid w:val="003D5E57"/>
    <w:rsid w:val="003D5E67"/>
    <w:rsid w:val="003D61C5"/>
    <w:rsid w:val="003D6774"/>
    <w:rsid w:val="003D677F"/>
    <w:rsid w:val="003D6B55"/>
    <w:rsid w:val="003D6C3F"/>
    <w:rsid w:val="003D6E4F"/>
    <w:rsid w:val="003D7069"/>
    <w:rsid w:val="003D7402"/>
    <w:rsid w:val="003D74E7"/>
    <w:rsid w:val="003D7752"/>
    <w:rsid w:val="003D77BB"/>
    <w:rsid w:val="003D7B21"/>
    <w:rsid w:val="003D7F20"/>
    <w:rsid w:val="003D7FE4"/>
    <w:rsid w:val="003E01E1"/>
    <w:rsid w:val="003E03BA"/>
    <w:rsid w:val="003E03F5"/>
    <w:rsid w:val="003E04B0"/>
    <w:rsid w:val="003E09F6"/>
    <w:rsid w:val="003E0C30"/>
    <w:rsid w:val="003E0CB0"/>
    <w:rsid w:val="003E0DD1"/>
    <w:rsid w:val="003E0E06"/>
    <w:rsid w:val="003E0FEF"/>
    <w:rsid w:val="003E1067"/>
    <w:rsid w:val="003E110B"/>
    <w:rsid w:val="003E1495"/>
    <w:rsid w:val="003E1628"/>
    <w:rsid w:val="003E18E9"/>
    <w:rsid w:val="003E1A13"/>
    <w:rsid w:val="003E1C4E"/>
    <w:rsid w:val="003E1D8E"/>
    <w:rsid w:val="003E2436"/>
    <w:rsid w:val="003E29A4"/>
    <w:rsid w:val="003E2B34"/>
    <w:rsid w:val="003E2DDC"/>
    <w:rsid w:val="003E2DF4"/>
    <w:rsid w:val="003E2E81"/>
    <w:rsid w:val="003E2F0D"/>
    <w:rsid w:val="003E2F85"/>
    <w:rsid w:val="003E3060"/>
    <w:rsid w:val="003E319E"/>
    <w:rsid w:val="003E32A5"/>
    <w:rsid w:val="003E3AC6"/>
    <w:rsid w:val="003E3D08"/>
    <w:rsid w:val="003E3E20"/>
    <w:rsid w:val="003E40B6"/>
    <w:rsid w:val="003E4361"/>
    <w:rsid w:val="003E4382"/>
    <w:rsid w:val="003E4409"/>
    <w:rsid w:val="003E45F4"/>
    <w:rsid w:val="003E4740"/>
    <w:rsid w:val="003E4CB7"/>
    <w:rsid w:val="003E518C"/>
    <w:rsid w:val="003E5363"/>
    <w:rsid w:val="003E5374"/>
    <w:rsid w:val="003E54F2"/>
    <w:rsid w:val="003E5529"/>
    <w:rsid w:val="003E55D9"/>
    <w:rsid w:val="003E6281"/>
    <w:rsid w:val="003E651A"/>
    <w:rsid w:val="003E6600"/>
    <w:rsid w:val="003E6603"/>
    <w:rsid w:val="003E6614"/>
    <w:rsid w:val="003E663C"/>
    <w:rsid w:val="003E6B7A"/>
    <w:rsid w:val="003E6CCC"/>
    <w:rsid w:val="003E6D1C"/>
    <w:rsid w:val="003E6DF4"/>
    <w:rsid w:val="003E72F9"/>
    <w:rsid w:val="003E7305"/>
    <w:rsid w:val="003E75D7"/>
    <w:rsid w:val="003E781C"/>
    <w:rsid w:val="003E785B"/>
    <w:rsid w:val="003E7E5E"/>
    <w:rsid w:val="003F0198"/>
    <w:rsid w:val="003F02D1"/>
    <w:rsid w:val="003F060A"/>
    <w:rsid w:val="003F0E71"/>
    <w:rsid w:val="003F0FE7"/>
    <w:rsid w:val="003F1222"/>
    <w:rsid w:val="003F12F6"/>
    <w:rsid w:val="003F1353"/>
    <w:rsid w:val="003F16EF"/>
    <w:rsid w:val="003F19E7"/>
    <w:rsid w:val="003F1D30"/>
    <w:rsid w:val="003F1F10"/>
    <w:rsid w:val="003F1F6B"/>
    <w:rsid w:val="003F205F"/>
    <w:rsid w:val="003F2126"/>
    <w:rsid w:val="003F2698"/>
    <w:rsid w:val="003F277D"/>
    <w:rsid w:val="003F2917"/>
    <w:rsid w:val="003F293A"/>
    <w:rsid w:val="003F2CE3"/>
    <w:rsid w:val="003F2EDF"/>
    <w:rsid w:val="003F3113"/>
    <w:rsid w:val="003F3151"/>
    <w:rsid w:val="003F325F"/>
    <w:rsid w:val="003F337F"/>
    <w:rsid w:val="003F3387"/>
    <w:rsid w:val="003F3882"/>
    <w:rsid w:val="003F38CE"/>
    <w:rsid w:val="003F3C7E"/>
    <w:rsid w:val="003F3E8E"/>
    <w:rsid w:val="003F41D1"/>
    <w:rsid w:val="003F4540"/>
    <w:rsid w:val="003F498C"/>
    <w:rsid w:val="003F4DA3"/>
    <w:rsid w:val="003F522E"/>
    <w:rsid w:val="003F5523"/>
    <w:rsid w:val="003F5525"/>
    <w:rsid w:val="003F56B7"/>
    <w:rsid w:val="003F58E9"/>
    <w:rsid w:val="003F5A23"/>
    <w:rsid w:val="003F5A81"/>
    <w:rsid w:val="003F5C80"/>
    <w:rsid w:val="003F5F8F"/>
    <w:rsid w:val="003F5FB3"/>
    <w:rsid w:val="003F6263"/>
    <w:rsid w:val="003F65FB"/>
    <w:rsid w:val="003F6F17"/>
    <w:rsid w:val="003F6FC7"/>
    <w:rsid w:val="003F70A4"/>
    <w:rsid w:val="003F71F8"/>
    <w:rsid w:val="003F7266"/>
    <w:rsid w:val="003F7597"/>
    <w:rsid w:val="003F75B6"/>
    <w:rsid w:val="003F780F"/>
    <w:rsid w:val="003F7822"/>
    <w:rsid w:val="003F78A2"/>
    <w:rsid w:val="003F7A0E"/>
    <w:rsid w:val="003F7A72"/>
    <w:rsid w:val="003F7AB7"/>
    <w:rsid w:val="003F7C0E"/>
    <w:rsid w:val="003F7D08"/>
    <w:rsid w:val="00400023"/>
    <w:rsid w:val="0040025A"/>
    <w:rsid w:val="004003D4"/>
    <w:rsid w:val="004004F1"/>
    <w:rsid w:val="00400578"/>
    <w:rsid w:val="004005D8"/>
    <w:rsid w:val="004007DA"/>
    <w:rsid w:val="004007E6"/>
    <w:rsid w:val="00400A32"/>
    <w:rsid w:val="00400BCB"/>
    <w:rsid w:val="00400CE5"/>
    <w:rsid w:val="0040128E"/>
    <w:rsid w:val="004013FA"/>
    <w:rsid w:val="004016D1"/>
    <w:rsid w:val="0040187E"/>
    <w:rsid w:val="00401C3E"/>
    <w:rsid w:val="004021C9"/>
    <w:rsid w:val="00402836"/>
    <w:rsid w:val="00402914"/>
    <w:rsid w:val="00402B68"/>
    <w:rsid w:val="00402C39"/>
    <w:rsid w:val="00402D04"/>
    <w:rsid w:val="00402DAB"/>
    <w:rsid w:val="00402FBF"/>
    <w:rsid w:val="004033AF"/>
    <w:rsid w:val="0040354F"/>
    <w:rsid w:val="0040365C"/>
    <w:rsid w:val="00403749"/>
    <w:rsid w:val="0040382C"/>
    <w:rsid w:val="00403B15"/>
    <w:rsid w:val="00403B5D"/>
    <w:rsid w:val="00403B73"/>
    <w:rsid w:val="00403E21"/>
    <w:rsid w:val="00403EC4"/>
    <w:rsid w:val="00403FCF"/>
    <w:rsid w:val="00404569"/>
    <w:rsid w:val="0040468D"/>
    <w:rsid w:val="00404783"/>
    <w:rsid w:val="004047C6"/>
    <w:rsid w:val="00404A53"/>
    <w:rsid w:val="00404DF4"/>
    <w:rsid w:val="00404E06"/>
    <w:rsid w:val="00405097"/>
    <w:rsid w:val="004051EC"/>
    <w:rsid w:val="00405477"/>
    <w:rsid w:val="00405835"/>
    <w:rsid w:val="00405F75"/>
    <w:rsid w:val="00405FBE"/>
    <w:rsid w:val="0040608E"/>
    <w:rsid w:val="004061F5"/>
    <w:rsid w:val="00406400"/>
    <w:rsid w:val="00406414"/>
    <w:rsid w:val="00406502"/>
    <w:rsid w:val="00406724"/>
    <w:rsid w:val="004067B6"/>
    <w:rsid w:val="004067E1"/>
    <w:rsid w:val="00406A53"/>
    <w:rsid w:val="00406A5D"/>
    <w:rsid w:val="00406BA7"/>
    <w:rsid w:val="00406C51"/>
    <w:rsid w:val="0040733B"/>
    <w:rsid w:val="00407423"/>
    <w:rsid w:val="00407623"/>
    <w:rsid w:val="00407636"/>
    <w:rsid w:val="004076DF"/>
    <w:rsid w:val="00407873"/>
    <w:rsid w:val="00407AA9"/>
    <w:rsid w:val="00407C85"/>
    <w:rsid w:val="00407CDE"/>
    <w:rsid w:val="0041009D"/>
    <w:rsid w:val="0041013C"/>
    <w:rsid w:val="004102E3"/>
    <w:rsid w:val="0041090C"/>
    <w:rsid w:val="00410AC1"/>
    <w:rsid w:val="00410D54"/>
    <w:rsid w:val="00410F6A"/>
    <w:rsid w:val="00411048"/>
    <w:rsid w:val="00411776"/>
    <w:rsid w:val="00411C16"/>
    <w:rsid w:val="00411EA5"/>
    <w:rsid w:val="00411F80"/>
    <w:rsid w:val="00412606"/>
    <w:rsid w:val="00412B7E"/>
    <w:rsid w:val="00412BBD"/>
    <w:rsid w:val="00412EC4"/>
    <w:rsid w:val="00413034"/>
    <w:rsid w:val="004133F7"/>
    <w:rsid w:val="0041340F"/>
    <w:rsid w:val="004134DF"/>
    <w:rsid w:val="00413816"/>
    <w:rsid w:val="00413836"/>
    <w:rsid w:val="00413860"/>
    <w:rsid w:val="004138CB"/>
    <w:rsid w:val="00413CF9"/>
    <w:rsid w:val="004146AF"/>
    <w:rsid w:val="004148D3"/>
    <w:rsid w:val="00414955"/>
    <w:rsid w:val="00414FBD"/>
    <w:rsid w:val="004150DF"/>
    <w:rsid w:val="00415503"/>
    <w:rsid w:val="0041551C"/>
    <w:rsid w:val="00415774"/>
    <w:rsid w:val="00415898"/>
    <w:rsid w:val="004158F6"/>
    <w:rsid w:val="004159A6"/>
    <w:rsid w:val="00415D00"/>
    <w:rsid w:val="004162DC"/>
    <w:rsid w:val="004163A2"/>
    <w:rsid w:val="00416573"/>
    <w:rsid w:val="004166C8"/>
    <w:rsid w:val="0041694E"/>
    <w:rsid w:val="00416A74"/>
    <w:rsid w:val="0041710E"/>
    <w:rsid w:val="0041714D"/>
    <w:rsid w:val="00417331"/>
    <w:rsid w:val="00417370"/>
    <w:rsid w:val="0041750D"/>
    <w:rsid w:val="0041756A"/>
    <w:rsid w:val="00417CC0"/>
    <w:rsid w:val="00417E75"/>
    <w:rsid w:val="00417EE1"/>
    <w:rsid w:val="00417F36"/>
    <w:rsid w:val="00417F38"/>
    <w:rsid w:val="004205AB"/>
    <w:rsid w:val="00420687"/>
    <w:rsid w:val="00420710"/>
    <w:rsid w:val="00420842"/>
    <w:rsid w:val="00420A14"/>
    <w:rsid w:val="00420AD5"/>
    <w:rsid w:val="00420C74"/>
    <w:rsid w:val="00421723"/>
    <w:rsid w:val="004217A1"/>
    <w:rsid w:val="0042195E"/>
    <w:rsid w:val="00421BC3"/>
    <w:rsid w:val="00421DA4"/>
    <w:rsid w:val="00421E68"/>
    <w:rsid w:val="004220D9"/>
    <w:rsid w:val="00422746"/>
    <w:rsid w:val="00422817"/>
    <w:rsid w:val="00422E2E"/>
    <w:rsid w:val="004232D2"/>
    <w:rsid w:val="00423312"/>
    <w:rsid w:val="00423476"/>
    <w:rsid w:val="00423993"/>
    <w:rsid w:val="00423ABD"/>
    <w:rsid w:val="00423CEA"/>
    <w:rsid w:val="00424920"/>
    <w:rsid w:val="00424B7C"/>
    <w:rsid w:val="00424B80"/>
    <w:rsid w:val="00424BAC"/>
    <w:rsid w:val="00424C10"/>
    <w:rsid w:val="00424DD8"/>
    <w:rsid w:val="0042542A"/>
    <w:rsid w:val="004255A2"/>
    <w:rsid w:val="0042572B"/>
    <w:rsid w:val="00425E90"/>
    <w:rsid w:val="0042629B"/>
    <w:rsid w:val="004262B9"/>
    <w:rsid w:val="00426326"/>
    <w:rsid w:val="00426829"/>
    <w:rsid w:val="00426953"/>
    <w:rsid w:val="00426ABA"/>
    <w:rsid w:val="00426D76"/>
    <w:rsid w:val="00426D84"/>
    <w:rsid w:val="00426ECA"/>
    <w:rsid w:val="0042707F"/>
    <w:rsid w:val="004270A9"/>
    <w:rsid w:val="00427293"/>
    <w:rsid w:val="0042747D"/>
    <w:rsid w:val="004274F7"/>
    <w:rsid w:val="004275A1"/>
    <w:rsid w:val="0042777C"/>
    <w:rsid w:val="004278D8"/>
    <w:rsid w:val="00427A6C"/>
    <w:rsid w:val="00427D07"/>
    <w:rsid w:val="00427FE9"/>
    <w:rsid w:val="00427FEF"/>
    <w:rsid w:val="00430015"/>
    <w:rsid w:val="004303ED"/>
    <w:rsid w:val="004308AA"/>
    <w:rsid w:val="00430C65"/>
    <w:rsid w:val="00430F28"/>
    <w:rsid w:val="00430F98"/>
    <w:rsid w:val="004316DC"/>
    <w:rsid w:val="00431748"/>
    <w:rsid w:val="0043191C"/>
    <w:rsid w:val="00431B45"/>
    <w:rsid w:val="00431B7D"/>
    <w:rsid w:val="00431D35"/>
    <w:rsid w:val="00431FC9"/>
    <w:rsid w:val="00432078"/>
    <w:rsid w:val="004327FC"/>
    <w:rsid w:val="0043281A"/>
    <w:rsid w:val="00432ED3"/>
    <w:rsid w:val="00432F18"/>
    <w:rsid w:val="00433317"/>
    <w:rsid w:val="0043331F"/>
    <w:rsid w:val="00433347"/>
    <w:rsid w:val="0043335E"/>
    <w:rsid w:val="004333B1"/>
    <w:rsid w:val="00433445"/>
    <w:rsid w:val="0043347D"/>
    <w:rsid w:val="004334ED"/>
    <w:rsid w:val="0043364F"/>
    <w:rsid w:val="00433672"/>
    <w:rsid w:val="0043368B"/>
    <w:rsid w:val="0043399D"/>
    <w:rsid w:val="00433CE3"/>
    <w:rsid w:val="00433DCA"/>
    <w:rsid w:val="00433FCE"/>
    <w:rsid w:val="00433FEC"/>
    <w:rsid w:val="004341B7"/>
    <w:rsid w:val="004343E6"/>
    <w:rsid w:val="004346F1"/>
    <w:rsid w:val="004347C1"/>
    <w:rsid w:val="00434A93"/>
    <w:rsid w:val="00434B8D"/>
    <w:rsid w:val="00435031"/>
    <w:rsid w:val="0043519A"/>
    <w:rsid w:val="00435451"/>
    <w:rsid w:val="004356F9"/>
    <w:rsid w:val="0043572D"/>
    <w:rsid w:val="004357FD"/>
    <w:rsid w:val="00435A90"/>
    <w:rsid w:val="00435C08"/>
    <w:rsid w:val="00436142"/>
    <w:rsid w:val="004362EE"/>
    <w:rsid w:val="004367B9"/>
    <w:rsid w:val="00436A81"/>
    <w:rsid w:val="00436D1D"/>
    <w:rsid w:val="00436D48"/>
    <w:rsid w:val="00436DDC"/>
    <w:rsid w:val="00436E80"/>
    <w:rsid w:val="0044003F"/>
    <w:rsid w:val="004400DF"/>
    <w:rsid w:val="004404A2"/>
    <w:rsid w:val="00440720"/>
    <w:rsid w:val="004409D4"/>
    <w:rsid w:val="00440AB6"/>
    <w:rsid w:val="00440AB7"/>
    <w:rsid w:val="00440B53"/>
    <w:rsid w:val="00440BC5"/>
    <w:rsid w:val="00440BD0"/>
    <w:rsid w:val="00441010"/>
    <w:rsid w:val="00441070"/>
    <w:rsid w:val="004411CE"/>
    <w:rsid w:val="004411DE"/>
    <w:rsid w:val="004415DD"/>
    <w:rsid w:val="004417E1"/>
    <w:rsid w:val="00441B4F"/>
    <w:rsid w:val="00441B8D"/>
    <w:rsid w:val="00441C3B"/>
    <w:rsid w:val="00442049"/>
    <w:rsid w:val="0044211F"/>
    <w:rsid w:val="00442281"/>
    <w:rsid w:val="004423F5"/>
    <w:rsid w:val="004424D5"/>
    <w:rsid w:val="0044281D"/>
    <w:rsid w:val="00442915"/>
    <w:rsid w:val="00442E47"/>
    <w:rsid w:val="004430B1"/>
    <w:rsid w:val="0044312B"/>
    <w:rsid w:val="00443154"/>
    <w:rsid w:val="004432D1"/>
    <w:rsid w:val="00443715"/>
    <w:rsid w:val="00443EAB"/>
    <w:rsid w:val="00443EEB"/>
    <w:rsid w:val="004440B5"/>
    <w:rsid w:val="00444100"/>
    <w:rsid w:val="004441C3"/>
    <w:rsid w:val="00444349"/>
    <w:rsid w:val="00444489"/>
    <w:rsid w:val="00444827"/>
    <w:rsid w:val="004448CB"/>
    <w:rsid w:val="0044491A"/>
    <w:rsid w:val="00444985"/>
    <w:rsid w:val="00444B46"/>
    <w:rsid w:val="0044516C"/>
    <w:rsid w:val="004451F7"/>
    <w:rsid w:val="004453B2"/>
    <w:rsid w:val="00445442"/>
    <w:rsid w:val="0044550E"/>
    <w:rsid w:val="004456A7"/>
    <w:rsid w:val="0044584F"/>
    <w:rsid w:val="00445A26"/>
    <w:rsid w:val="00445A99"/>
    <w:rsid w:val="00445CAE"/>
    <w:rsid w:val="00445FEA"/>
    <w:rsid w:val="0044657C"/>
    <w:rsid w:val="004466CC"/>
    <w:rsid w:val="0044671B"/>
    <w:rsid w:val="00446BA9"/>
    <w:rsid w:val="00446D2B"/>
    <w:rsid w:val="004477CA"/>
    <w:rsid w:val="00447C43"/>
    <w:rsid w:val="00447D1A"/>
    <w:rsid w:val="00447EFD"/>
    <w:rsid w:val="00450227"/>
    <w:rsid w:val="00450274"/>
    <w:rsid w:val="00450492"/>
    <w:rsid w:val="00450597"/>
    <w:rsid w:val="00450A89"/>
    <w:rsid w:val="00450B6B"/>
    <w:rsid w:val="00450C7B"/>
    <w:rsid w:val="00450D53"/>
    <w:rsid w:val="00450F7E"/>
    <w:rsid w:val="00451092"/>
    <w:rsid w:val="004511D5"/>
    <w:rsid w:val="004512A3"/>
    <w:rsid w:val="00451302"/>
    <w:rsid w:val="00451304"/>
    <w:rsid w:val="0045154B"/>
    <w:rsid w:val="00451954"/>
    <w:rsid w:val="00451E96"/>
    <w:rsid w:val="004520D9"/>
    <w:rsid w:val="0045214E"/>
    <w:rsid w:val="0045265D"/>
    <w:rsid w:val="00452B89"/>
    <w:rsid w:val="00452C4B"/>
    <w:rsid w:val="00452CD0"/>
    <w:rsid w:val="00452DC3"/>
    <w:rsid w:val="00452EAD"/>
    <w:rsid w:val="00452EC0"/>
    <w:rsid w:val="00453221"/>
    <w:rsid w:val="00453591"/>
    <w:rsid w:val="00453832"/>
    <w:rsid w:val="00453DD6"/>
    <w:rsid w:val="0045411C"/>
    <w:rsid w:val="00454344"/>
    <w:rsid w:val="004546DA"/>
    <w:rsid w:val="00454730"/>
    <w:rsid w:val="00454787"/>
    <w:rsid w:val="00454866"/>
    <w:rsid w:val="00454946"/>
    <w:rsid w:val="00454B2D"/>
    <w:rsid w:val="00455027"/>
    <w:rsid w:val="00455125"/>
    <w:rsid w:val="004551F9"/>
    <w:rsid w:val="004557F0"/>
    <w:rsid w:val="00455983"/>
    <w:rsid w:val="00455BC9"/>
    <w:rsid w:val="00455DD4"/>
    <w:rsid w:val="004562F3"/>
    <w:rsid w:val="0045631D"/>
    <w:rsid w:val="00456522"/>
    <w:rsid w:val="00457415"/>
    <w:rsid w:val="0045748B"/>
    <w:rsid w:val="0045753A"/>
    <w:rsid w:val="0045771D"/>
    <w:rsid w:val="00457757"/>
    <w:rsid w:val="00457AE0"/>
    <w:rsid w:val="00457BA8"/>
    <w:rsid w:val="00457C60"/>
    <w:rsid w:val="00457CC8"/>
    <w:rsid w:val="00457DE6"/>
    <w:rsid w:val="00457E43"/>
    <w:rsid w:val="004600C5"/>
    <w:rsid w:val="0046014A"/>
    <w:rsid w:val="004607B1"/>
    <w:rsid w:val="004607D5"/>
    <w:rsid w:val="00460908"/>
    <w:rsid w:val="00460997"/>
    <w:rsid w:val="00460DB4"/>
    <w:rsid w:val="00461057"/>
    <w:rsid w:val="00461088"/>
    <w:rsid w:val="0046156A"/>
    <w:rsid w:val="004617EC"/>
    <w:rsid w:val="00461A79"/>
    <w:rsid w:val="00461AFB"/>
    <w:rsid w:val="00461B50"/>
    <w:rsid w:val="00461E43"/>
    <w:rsid w:val="00461EAD"/>
    <w:rsid w:val="00461EC9"/>
    <w:rsid w:val="004621DA"/>
    <w:rsid w:val="00462208"/>
    <w:rsid w:val="004623F1"/>
    <w:rsid w:val="0046252A"/>
    <w:rsid w:val="00462598"/>
    <w:rsid w:val="004625F9"/>
    <w:rsid w:val="00462713"/>
    <w:rsid w:val="0046278A"/>
    <w:rsid w:val="00462791"/>
    <w:rsid w:val="00462C60"/>
    <w:rsid w:val="00462EE1"/>
    <w:rsid w:val="0046302F"/>
    <w:rsid w:val="0046308C"/>
    <w:rsid w:val="004633DC"/>
    <w:rsid w:val="0046361D"/>
    <w:rsid w:val="00463693"/>
    <w:rsid w:val="004636F9"/>
    <w:rsid w:val="0046371A"/>
    <w:rsid w:val="004637EB"/>
    <w:rsid w:val="004638F5"/>
    <w:rsid w:val="00463B6B"/>
    <w:rsid w:val="004640A0"/>
    <w:rsid w:val="0046431E"/>
    <w:rsid w:val="004643EB"/>
    <w:rsid w:val="00464876"/>
    <w:rsid w:val="00464A3C"/>
    <w:rsid w:val="00464C29"/>
    <w:rsid w:val="00464EA7"/>
    <w:rsid w:val="004650DE"/>
    <w:rsid w:val="004651BE"/>
    <w:rsid w:val="0046548F"/>
    <w:rsid w:val="0046573D"/>
    <w:rsid w:val="004657D8"/>
    <w:rsid w:val="004658EB"/>
    <w:rsid w:val="00465DC8"/>
    <w:rsid w:val="00465EBA"/>
    <w:rsid w:val="00466971"/>
    <w:rsid w:val="004669EF"/>
    <w:rsid w:val="00466A17"/>
    <w:rsid w:val="00466D86"/>
    <w:rsid w:val="00466F6B"/>
    <w:rsid w:val="0046746D"/>
    <w:rsid w:val="00467683"/>
    <w:rsid w:val="00467C17"/>
    <w:rsid w:val="004703CE"/>
    <w:rsid w:val="004703D7"/>
    <w:rsid w:val="004705C8"/>
    <w:rsid w:val="004706FF"/>
    <w:rsid w:val="00470927"/>
    <w:rsid w:val="004709F1"/>
    <w:rsid w:val="00470D5D"/>
    <w:rsid w:val="00470E47"/>
    <w:rsid w:val="00470FE3"/>
    <w:rsid w:val="00471169"/>
    <w:rsid w:val="00471256"/>
    <w:rsid w:val="00471518"/>
    <w:rsid w:val="004715FA"/>
    <w:rsid w:val="00471628"/>
    <w:rsid w:val="0047188C"/>
    <w:rsid w:val="00471936"/>
    <w:rsid w:val="00471DB0"/>
    <w:rsid w:val="00471E7D"/>
    <w:rsid w:val="0047202A"/>
    <w:rsid w:val="0047255E"/>
    <w:rsid w:val="0047263B"/>
    <w:rsid w:val="00472801"/>
    <w:rsid w:val="00472CF2"/>
    <w:rsid w:val="00472F77"/>
    <w:rsid w:val="00473118"/>
    <w:rsid w:val="00473385"/>
    <w:rsid w:val="004737C3"/>
    <w:rsid w:val="004737DA"/>
    <w:rsid w:val="004739B0"/>
    <w:rsid w:val="00473A65"/>
    <w:rsid w:val="00473E28"/>
    <w:rsid w:val="00473F16"/>
    <w:rsid w:val="00473F7C"/>
    <w:rsid w:val="00474019"/>
    <w:rsid w:val="0047407F"/>
    <w:rsid w:val="00474367"/>
    <w:rsid w:val="00474471"/>
    <w:rsid w:val="004745AC"/>
    <w:rsid w:val="00474668"/>
    <w:rsid w:val="00474700"/>
    <w:rsid w:val="0047472D"/>
    <w:rsid w:val="00474762"/>
    <w:rsid w:val="0047476E"/>
    <w:rsid w:val="00474A2B"/>
    <w:rsid w:val="00474C2A"/>
    <w:rsid w:val="00474D6D"/>
    <w:rsid w:val="00474DA2"/>
    <w:rsid w:val="00474DDB"/>
    <w:rsid w:val="004751B3"/>
    <w:rsid w:val="00475315"/>
    <w:rsid w:val="004757D2"/>
    <w:rsid w:val="00475919"/>
    <w:rsid w:val="00475A87"/>
    <w:rsid w:val="00475B19"/>
    <w:rsid w:val="00475D0D"/>
    <w:rsid w:val="00475EA5"/>
    <w:rsid w:val="00476003"/>
    <w:rsid w:val="00476031"/>
    <w:rsid w:val="00476056"/>
    <w:rsid w:val="00476428"/>
    <w:rsid w:val="00476580"/>
    <w:rsid w:val="004767F1"/>
    <w:rsid w:val="0047685B"/>
    <w:rsid w:val="0047693A"/>
    <w:rsid w:val="00476BA9"/>
    <w:rsid w:val="00476DA1"/>
    <w:rsid w:val="00476E31"/>
    <w:rsid w:val="00476E4E"/>
    <w:rsid w:val="00476EDC"/>
    <w:rsid w:val="004770FE"/>
    <w:rsid w:val="004772B2"/>
    <w:rsid w:val="004773D6"/>
    <w:rsid w:val="0047745E"/>
    <w:rsid w:val="00477820"/>
    <w:rsid w:val="004778DE"/>
    <w:rsid w:val="0047796B"/>
    <w:rsid w:val="00477A3E"/>
    <w:rsid w:val="00477B40"/>
    <w:rsid w:val="004802E6"/>
    <w:rsid w:val="004806F2"/>
    <w:rsid w:val="0048080C"/>
    <w:rsid w:val="00480936"/>
    <w:rsid w:val="00480A41"/>
    <w:rsid w:val="0048119F"/>
    <w:rsid w:val="004816C8"/>
    <w:rsid w:val="0048183A"/>
    <w:rsid w:val="004818CA"/>
    <w:rsid w:val="00481AF5"/>
    <w:rsid w:val="00481C9B"/>
    <w:rsid w:val="00481FAC"/>
    <w:rsid w:val="00482166"/>
    <w:rsid w:val="00482379"/>
    <w:rsid w:val="004824A7"/>
    <w:rsid w:val="0048268C"/>
    <w:rsid w:val="004829AE"/>
    <w:rsid w:val="00482F8A"/>
    <w:rsid w:val="0048311D"/>
    <w:rsid w:val="004838D7"/>
    <w:rsid w:val="00483907"/>
    <w:rsid w:val="0048390D"/>
    <w:rsid w:val="00483C64"/>
    <w:rsid w:val="00483E7F"/>
    <w:rsid w:val="00483F02"/>
    <w:rsid w:val="0048422D"/>
    <w:rsid w:val="004842B5"/>
    <w:rsid w:val="00484457"/>
    <w:rsid w:val="004844F0"/>
    <w:rsid w:val="00484890"/>
    <w:rsid w:val="00484BAC"/>
    <w:rsid w:val="00485518"/>
    <w:rsid w:val="00485607"/>
    <w:rsid w:val="00485658"/>
    <w:rsid w:val="00485781"/>
    <w:rsid w:val="00485C43"/>
    <w:rsid w:val="00486294"/>
    <w:rsid w:val="0048667E"/>
    <w:rsid w:val="00486E77"/>
    <w:rsid w:val="00486F03"/>
    <w:rsid w:val="00487108"/>
    <w:rsid w:val="004872FF"/>
    <w:rsid w:val="00487307"/>
    <w:rsid w:val="00487658"/>
    <w:rsid w:val="00487695"/>
    <w:rsid w:val="00487744"/>
    <w:rsid w:val="00487921"/>
    <w:rsid w:val="004879E6"/>
    <w:rsid w:val="00487CD4"/>
    <w:rsid w:val="00487E5A"/>
    <w:rsid w:val="004900CE"/>
    <w:rsid w:val="004902FD"/>
    <w:rsid w:val="00490560"/>
    <w:rsid w:val="00490667"/>
    <w:rsid w:val="0049074D"/>
    <w:rsid w:val="00490AA9"/>
    <w:rsid w:val="00490C95"/>
    <w:rsid w:val="00490DBF"/>
    <w:rsid w:val="00491063"/>
    <w:rsid w:val="004910FF"/>
    <w:rsid w:val="00491187"/>
    <w:rsid w:val="00491776"/>
    <w:rsid w:val="00491AA0"/>
    <w:rsid w:val="00491D9E"/>
    <w:rsid w:val="0049245B"/>
    <w:rsid w:val="0049263D"/>
    <w:rsid w:val="004926C4"/>
    <w:rsid w:val="0049276F"/>
    <w:rsid w:val="004927D4"/>
    <w:rsid w:val="00492DE5"/>
    <w:rsid w:val="004933AF"/>
    <w:rsid w:val="004934DF"/>
    <w:rsid w:val="0049377D"/>
    <w:rsid w:val="00493B28"/>
    <w:rsid w:val="00493DD6"/>
    <w:rsid w:val="00493F72"/>
    <w:rsid w:val="004940D2"/>
    <w:rsid w:val="00494258"/>
    <w:rsid w:val="004942B0"/>
    <w:rsid w:val="004945CD"/>
    <w:rsid w:val="00494A98"/>
    <w:rsid w:val="00494B05"/>
    <w:rsid w:val="00494C01"/>
    <w:rsid w:val="00494C0A"/>
    <w:rsid w:val="00494E38"/>
    <w:rsid w:val="00494EF4"/>
    <w:rsid w:val="00494F5E"/>
    <w:rsid w:val="0049503A"/>
    <w:rsid w:val="00495205"/>
    <w:rsid w:val="0049539B"/>
    <w:rsid w:val="00495449"/>
    <w:rsid w:val="00495910"/>
    <w:rsid w:val="00495CE6"/>
    <w:rsid w:val="00495FE3"/>
    <w:rsid w:val="004963E3"/>
    <w:rsid w:val="004967D0"/>
    <w:rsid w:val="00496D2D"/>
    <w:rsid w:val="004970B0"/>
    <w:rsid w:val="004979EA"/>
    <w:rsid w:val="004A01A5"/>
    <w:rsid w:val="004A048F"/>
    <w:rsid w:val="004A06B4"/>
    <w:rsid w:val="004A070E"/>
    <w:rsid w:val="004A0721"/>
    <w:rsid w:val="004A09C2"/>
    <w:rsid w:val="004A0C18"/>
    <w:rsid w:val="004A0C62"/>
    <w:rsid w:val="004A0FC5"/>
    <w:rsid w:val="004A10A6"/>
    <w:rsid w:val="004A11AD"/>
    <w:rsid w:val="004A134A"/>
    <w:rsid w:val="004A14DF"/>
    <w:rsid w:val="004A1D21"/>
    <w:rsid w:val="004A20C2"/>
    <w:rsid w:val="004A236D"/>
    <w:rsid w:val="004A24C6"/>
    <w:rsid w:val="004A250B"/>
    <w:rsid w:val="004A2513"/>
    <w:rsid w:val="004A25EC"/>
    <w:rsid w:val="004A2CF4"/>
    <w:rsid w:val="004A2EDA"/>
    <w:rsid w:val="004A2F9E"/>
    <w:rsid w:val="004A3057"/>
    <w:rsid w:val="004A30BB"/>
    <w:rsid w:val="004A31BB"/>
    <w:rsid w:val="004A33A0"/>
    <w:rsid w:val="004A33E5"/>
    <w:rsid w:val="004A35BE"/>
    <w:rsid w:val="004A3720"/>
    <w:rsid w:val="004A3734"/>
    <w:rsid w:val="004A37D6"/>
    <w:rsid w:val="004A3A11"/>
    <w:rsid w:val="004A3A23"/>
    <w:rsid w:val="004A4027"/>
    <w:rsid w:val="004A4092"/>
    <w:rsid w:val="004A41A6"/>
    <w:rsid w:val="004A426A"/>
    <w:rsid w:val="004A4330"/>
    <w:rsid w:val="004A434D"/>
    <w:rsid w:val="004A4460"/>
    <w:rsid w:val="004A4599"/>
    <w:rsid w:val="004A4B65"/>
    <w:rsid w:val="004A4B88"/>
    <w:rsid w:val="004A4DA7"/>
    <w:rsid w:val="004A4DC5"/>
    <w:rsid w:val="004A5420"/>
    <w:rsid w:val="004A5657"/>
    <w:rsid w:val="004A5737"/>
    <w:rsid w:val="004A59EB"/>
    <w:rsid w:val="004A5B8C"/>
    <w:rsid w:val="004A5D44"/>
    <w:rsid w:val="004A633A"/>
    <w:rsid w:val="004A6660"/>
    <w:rsid w:val="004A6B42"/>
    <w:rsid w:val="004A6B44"/>
    <w:rsid w:val="004A6D35"/>
    <w:rsid w:val="004A7324"/>
    <w:rsid w:val="004A73A5"/>
    <w:rsid w:val="004A7964"/>
    <w:rsid w:val="004A7AA0"/>
    <w:rsid w:val="004A7F20"/>
    <w:rsid w:val="004B0074"/>
    <w:rsid w:val="004B01AB"/>
    <w:rsid w:val="004B02EB"/>
    <w:rsid w:val="004B02F1"/>
    <w:rsid w:val="004B0388"/>
    <w:rsid w:val="004B059D"/>
    <w:rsid w:val="004B0674"/>
    <w:rsid w:val="004B06BD"/>
    <w:rsid w:val="004B0C74"/>
    <w:rsid w:val="004B0C98"/>
    <w:rsid w:val="004B0E39"/>
    <w:rsid w:val="004B0FC2"/>
    <w:rsid w:val="004B10C7"/>
    <w:rsid w:val="004B10D5"/>
    <w:rsid w:val="004B11A7"/>
    <w:rsid w:val="004B173E"/>
    <w:rsid w:val="004B17AA"/>
    <w:rsid w:val="004B1F18"/>
    <w:rsid w:val="004B20DA"/>
    <w:rsid w:val="004B216B"/>
    <w:rsid w:val="004B2189"/>
    <w:rsid w:val="004B2350"/>
    <w:rsid w:val="004B2357"/>
    <w:rsid w:val="004B24C0"/>
    <w:rsid w:val="004B2521"/>
    <w:rsid w:val="004B2563"/>
    <w:rsid w:val="004B2B73"/>
    <w:rsid w:val="004B2E8B"/>
    <w:rsid w:val="004B3091"/>
    <w:rsid w:val="004B317C"/>
    <w:rsid w:val="004B326A"/>
    <w:rsid w:val="004B35E0"/>
    <w:rsid w:val="004B3615"/>
    <w:rsid w:val="004B3734"/>
    <w:rsid w:val="004B3777"/>
    <w:rsid w:val="004B37BC"/>
    <w:rsid w:val="004B392E"/>
    <w:rsid w:val="004B39B6"/>
    <w:rsid w:val="004B3A02"/>
    <w:rsid w:val="004B3A9F"/>
    <w:rsid w:val="004B3B7E"/>
    <w:rsid w:val="004B3C15"/>
    <w:rsid w:val="004B3E4F"/>
    <w:rsid w:val="004B40E1"/>
    <w:rsid w:val="004B4856"/>
    <w:rsid w:val="004B4B27"/>
    <w:rsid w:val="004B50B8"/>
    <w:rsid w:val="004B52CA"/>
    <w:rsid w:val="004B5336"/>
    <w:rsid w:val="004B5385"/>
    <w:rsid w:val="004B5986"/>
    <w:rsid w:val="004B5A4F"/>
    <w:rsid w:val="004B5AB2"/>
    <w:rsid w:val="004B5AF6"/>
    <w:rsid w:val="004B604D"/>
    <w:rsid w:val="004B61C6"/>
    <w:rsid w:val="004B62C2"/>
    <w:rsid w:val="004B6394"/>
    <w:rsid w:val="004B64AC"/>
    <w:rsid w:val="004B65DB"/>
    <w:rsid w:val="004B6604"/>
    <w:rsid w:val="004B66BB"/>
    <w:rsid w:val="004B681D"/>
    <w:rsid w:val="004B69A4"/>
    <w:rsid w:val="004B6BFB"/>
    <w:rsid w:val="004B6D51"/>
    <w:rsid w:val="004B6E22"/>
    <w:rsid w:val="004B73AB"/>
    <w:rsid w:val="004B757D"/>
    <w:rsid w:val="004B7B0C"/>
    <w:rsid w:val="004B7B46"/>
    <w:rsid w:val="004B7C78"/>
    <w:rsid w:val="004B7E51"/>
    <w:rsid w:val="004C0221"/>
    <w:rsid w:val="004C09FF"/>
    <w:rsid w:val="004C0AA6"/>
    <w:rsid w:val="004C0CF4"/>
    <w:rsid w:val="004C106B"/>
    <w:rsid w:val="004C11E8"/>
    <w:rsid w:val="004C1FF7"/>
    <w:rsid w:val="004C2014"/>
    <w:rsid w:val="004C212C"/>
    <w:rsid w:val="004C2196"/>
    <w:rsid w:val="004C2218"/>
    <w:rsid w:val="004C2540"/>
    <w:rsid w:val="004C2788"/>
    <w:rsid w:val="004C27E8"/>
    <w:rsid w:val="004C2BAE"/>
    <w:rsid w:val="004C2D13"/>
    <w:rsid w:val="004C2D48"/>
    <w:rsid w:val="004C327A"/>
    <w:rsid w:val="004C33A5"/>
    <w:rsid w:val="004C3822"/>
    <w:rsid w:val="004C39EB"/>
    <w:rsid w:val="004C3A3D"/>
    <w:rsid w:val="004C3D9E"/>
    <w:rsid w:val="004C3DB8"/>
    <w:rsid w:val="004C40EC"/>
    <w:rsid w:val="004C4898"/>
    <w:rsid w:val="004C4B94"/>
    <w:rsid w:val="004C4EE4"/>
    <w:rsid w:val="004C5087"/>
    <w:rsid w:val="004C5175"/>
    <w:rsid w:val="004C521A"/>
    <w:rsid w:val="004C52AD"/>
    <w:rsid w:val="004C542D"/>
    <w:rsid w:val="004C57B9"/>
    <w:rsid w:val="004C57BC"/>
    <w:rsid w:val="004C5912"/>
    <w:rsid w:val="004C5966"/>
    <w:rsid w:val="004C5988"/>
    <w:rsid w:val="004C5E77"/>
    <w:rsid w:val="004C5F01"/>
    <w:rsid w:val="004C62F5"/>
    <w:rsid w:val="004C6390"/>
    <w:rsid w:val="004C65B0"/>
    <w:rsid w:val="004C681E"/>
    <w:rsid w:val="004C6956"/>
    <w:rsid w:val="004C6A11"/>
    <w:rsid w:val="004C6D13"/>
    <w:rsid w:val="004C71CA"/>
    <w:rsid w:val="004C76FF"/>
    <w:rsid w:val="004C7D29"/>
    <w:rsid w:val="004D00E2"/>
    <w:rsid w:val="004D0206"/>
    <w:rsid w:val="004D0372"/>
    <w:rsid w:val="004D04CF"/>
    <w:rsid w:val="004D05F5"/>
    <w:rsid w:val="004D089D"/>
    <w:rsid w:val="004D097C"/>
    <w:rsid w:val="004D0CD5"/>
    <w:rsid w:val="004D1114"/>
    <w:rsid w:val="004D16B5"/>
    <w:rsid w:val="004D189E"/>
    <w:rsid w:val="004D1912"/>
    <w:rsid w:val="004D19A8"/>
    <w:rsid w:val="004D1D20"/>
    <w:rsid w:val="004D1DFB"/>
    <w:rsid w:val="004D1F9C"/>
    <w:rsid w:val="004D24C9"/>
    <w:rsid w:val="004D2511"/>
    <w:rsid w:val="004D27BB"/>
    <w:rsid w:val="004D28D7"/>
    <w:rsid w:val="004D2C1A"/>
    <w:rsid w:val="004D31BF"/>
    <w:rsid w:val="004D374D"/>
    <w:rsid w:val="004D3A52"/>
    <w:rsid w:val="004D3B85"/>
    <w:rsid w:val="004D3C6E"/>
    <w:rsid w:val="004D3CDA"/>
    <w:rsid w:val="004D3E82"/>
    <w:rsid w:val="004D4060"/>
    <w:rsid w:val="004D447C"/>
    <w:rsid w:val="004D4632"/>
    <w:rsid w:val="004D4754"/>
    <w:rsid w:val="004D477E"/>
    <w:rsid w:val="004D4A19"/>
    <w:rsid w:val="004D4B7F"/>
    <w:rsid w:val="004D4BDB"/>
    <w:rsid w:val="004D4F21"/>
    <w:rsid w:val="004D4FAF"/>
    <w:rsid w:val="004D51BC"/>
    <w:rsid w:val="004D5235"/>
    <w:rsid w:val="004D5263"/>
    <w:rsid w:val="004D5766"/>
    <w:rsid w:val="004D580E"/>
    <w:rsid w:val="004D5988"/>
    <w:rsid w:val="004D5C2D"/>
    <w:rsid w:val="004D5E7F"/>
    <w:rsid w:val="004D60BD"/>
    <w:rsid w:val="004D637A"/>
    <w:rsid w:val="004D6408"/>
    <w:rsid w:val="004D65BD"/>
    <w:rsid w:val="004D6710"/>
    <w:rsid w:val="004D6843"/>
    <w:rsid w:val="004D6C66"/>
    <w:rsid w:val="004D6D39"/>
    <w:rsid w:val="004D6D61"/>
    <w:rsid w:val="004D6D78"/>
    <w:rsid w:val="004D6F9E"/>
    <w:rsid w:val="004D7006"/>
    <w:rsid w:val="004D71DA"/>
    <w:rsid w:val="004D72FC"/>
    <w:rsid w:val="004D765C"/>
    <w:rsid w:val="004D7A21"/>
    <w:rsid w:val="004D7ECE"/>
    <w:rsid w:val="004D7FCC"/>
    <w:rsid w:val="004E0010"/>
    <w:rsid w:val="004E025A"/>
    <w:rsid w:val="004E089B"/>
    <w:rsid w:val="004E08A4"/>
    <w:rsid w:val="004E0BA2"/>
    <w:rsid w:val="004E0BA5"/>
    <w:rsid w:val="004E0BBE"/>
    <w:rsid w:val="004E0BC8"/>
    <w:rsid w:val="004E0DA1"/>
    <w:rsid w:val="004E12B5"/>
    <w:rsid w:val="004E1392"/>
    <w:rsid w:val="004E1577"/>
    <w:rsid w:val="004E15F3"/>
    <w:rsid w:val="004E17C1"/>
    <w:rsid w:val="004E1B71"/>
    <w:rsid w:val="004E1BB8"/>
    <w:rsid w:val="004E1D8B"/>
    <w:rsid w:val="004E1FC9"/>
    <w:rsid w:val="004E20A4"/>
    <w:rsid w:val="004E20B4"/>
    <w:rsid w:val="004E2A6E"/>
    <w:rsid w:val="004E2BB6"/>
    <w:rsid w:val="004E2BC4"/>
    <w:rsid w:val="004E2D71"/>
    <w:rsid w:val="004E2DE9"/>
    <w:rsid w:val="004E2F38"/>
    <w:rsid w:val="004E3004"/>
    <w:rsid w:val="004E3090"/>
    <w:rsid w:val="004E3114"/>
    <w:rsid w:val="004E31FE"/>
    <w:rsid w:val="004E3955"/>
    <w:rsid w:val="004E39A8"/>
    <w:rsid w:val="004E3A70"/>
    <w:rsid w:val="004E3B1A"/>
    <w:rsid w:val="004E3D34"/>
    <w:rsid w:val="004E4065"/>
    <w:rsid w:val="004E4173"/>
    <w:rsid w:val="004E432B"/>
    <w:rsid w:val="004E4467"/>
    <w:rsid w:val="004E519D"/>
    <w:rsid w:val="004E5478"/>
    <w:rsid w:val="004E566B"/>
    <w:rsid w:val="004E57BB"/>
    <w:rsid w:val="004E5FC0"/>
    <w:rsid w:val="004E6000"/>
    <w:rsid w:val="004E638E"/>
    <w:rsid w:val="004E6588"/>
    <w:rsid w:val="004E68A7"/>
    <w:rsid w:val="004E6BD1"/>
    <w:rsid w:val="004E6CA3"/>
    <w:rsid w:val="004E6DA6"/>
    <w:rsid w:val="004E7284"/>
    <w:rsid w:val="004E7516"/>
    <w:rsid w:val="004E756D"/>
    <w:rsid w:val="004E7BE4"/>
    <w:rsid w:val="004E7C0C"/>
    <w:rsid w:val="004E7F7E"/>
    <w:rsid w:val="004E7FF7"/>
    <w:rsid w:val="004F05F1"/>
    <w:rsid w:val="004F0CE2"/>
    <w:rsid w:val="004F0E25"/>
    <w:rsid w:val="004F0E42"/>
    <w:rsid w:val="004F0E6C"/>
    <w:rsid w:val="004F0EF1"/>
    <w:rsid w:val="004F0F0E"/>
    <w:rsid w:val="004F1176"/>
    <w:rsid w:val="004F117A"/>
    <w:rsid w:val="004F12B0"/>
    <w:rsid w:val="004F135E"/>
    <w:rsid w:val="004F13B9"/>
    <w:rsid w:val="004F14FB"/>
    <w:rsid w:val="004F173F"/>
    <w:rsid w:val="004F1C61"/>
    <w:rsid w:val="004F21E5"/>
    <w:rsid w:val="004F226A"/>
    <w:rsid w:val="004F256F"/>
    <w:rsid w:val="004F2AAB"/>
    <w:rsid w:val="004F2B1B"/>
    <w:rsid w:val="004F2BBB"/>
    <w:rsid w:val="004F3139"/>
    <w:rsid w:val="004F318F"/>
    <w:rsid w:val="004F34D5"/>
    <w:rsid w:val="004F3509"/>
    <w:rsid w:val="004F35D5"/>
    <w:rsid w:val="004F38B8"/>
    <w:rsid w:val="004F3952"/>
    <w:rsid w:val="004F39AB"/>
    <w:rsid w:val="004F3C75"/>
    <w:rsid w:val="004F3E31"/>
    <w:rsid w:val="004F3E41"/>
    <w:rsid w:val="004F3F8F"/>
    <w:rsid w:val="004F431F"/>
    <w:rsid w:val="004F4461"/>
    <w:rsid w:val="004F480D"/>
    <w:rsid w:val="004F49A2"/>
    <w:rsid w:val="004F49AC"/>
    <w:rsid w:val="004F4B06"/>
    <w:rsid w:val="004F4FF0"/>
    <w:rsid w:val="004F5205"/>
    <w:rsid w:val="004F5361"/>
    <w:rsid w:val="004F542F"/>
    <w:rsid w:val="004F55F1"/>
    <w:rsid w:val="004F5A24"/>
    <w:rsid w:val="004F5BF5"/>
    <w:rsid w:val="004F60F1"/>
    <w:rsid w:val="004F60FA"/>
    <w:rsid w:val="004F6AB9"/>
    <w:rsid w:val="004F6B28"/>
    <w:rsid w:val="004F6C11"/>
    <w:rsid w:val="004F6D2D"/>
    <w:rsid w:val="004F6E56"/>
    <w:rsid w:val="004F7392"/>
    <w:rsid w:val="004F73FB"/>
    <w:rsid w:val="004F765E"/>
    <w:rsid w:val="004F79F0"/>
    <w:rsid w:val="004F7BC6"/>
    <w:rsid w:val="004F7F01"/>
    <w:rsid w:val="0050049B"/>
    <w:rsid w:val="005004FB"/>
    <w:rsid w:val="005006E9"/>
    <w:rsid w:val="005006EB"/>
    <w:rsid w:val="00500761"/>
    <w:rsid w:val="00500BB3"/>
    <w:rsid w:val="00500BEB"/>
    <w:rsid w:val="00500C35"/>
    <w:rsid w:val="00500DB3"/>
    <w:rsid w:val="005010CA"/>
    <w:rsid w:val="0050164A"/>
    <w:rsid w:val="00501BB8"/>
    <w:rsid w:val="00501DBE"/>
    <w:rsid w:val="00502152"/>
    <w:rsid w:val="00502167"/>
    <w:rsid w:val="00502174"/>
    <w:rsid w:val="0050217A"/>
    <w:rsid w:val="005022B5"/>
    <w:rsid w:val="00502933"/>
    <w:rsid w:val="00502A77"/>
    <w:rsid w:val="00502F15"/>
    <w:rsid w:val="0050306A"/>
    <w:rsid w:val="0050314E"/>
    <w:rsid w:val="00503303"/>
    <w:rsid w:val="005036E6"/>
    <w:rsid w:val="0050384E"/>
    <w:rsid w:val="00503A07"/>
    <w:rsid w:val="00503ADF"/>
    <w:rsid w:val="00503D8B"/>
    <w:rsid w:val="00503FDC"/>
    <w:rsid w:val="00504232"/>
    <w:rsid w:val="005045D3"/>
    <w:rsid w:val="00504806"/>
    <w:rsid w:val="00504BDB"/>
    <w:rsid w:val="00504E8D"/>
    <w:rsid w:val="00505265"/>
    <w:rsid w:val="0050527B"/>
    <w:rsid w:val="005052BF"/>
    <w:rsid w:val="00505355"/>
    <w:rsid w:val="00505555"/>
    <w:rsid w:val="00505675"/>
    <w:rsid w:val="0050584C"/>
    <w:rsid w:val="00505C77"/>
    <w:rsid w:val="00505D15"/>
    <w:rsid w:val="00505D96"/>
    <w:rsid w:val="00505F2B"/>
    <w:rsid w:val="00505F90"/>
    <w:rsid w:val="00505FA6"/>
    <w:rsid w:val="0050650C"/>
    <w:rsid w:val="00506538"/>
    <w:rsid w:val="00506590"/>
    <w:rsid w:val="00506752"/>
    <w:rsid w:val="00506C59"/>
    <w:rsid w:val="00506FCB"/>
    <w:rsid w:val="00506FD6"/>
    <w:rsid w:val="00507033"/>
    <w:rsid w:val="005070B7"/>
    <w:rsid w:val="00507165"/>
    <w:rsid w:val="0050727E"/>
    <w:rsid w:val="005077AE"/>
    <w:rsid w:val="00507844"/>
    <w:rsid w:val="00507AE4"/>
    <w:rsid w:val="00507B2A"/>
    <w:rsid w:val="00507C38"/>
    <w:rsid w:val="00507F75"/>
    <w:rsid w:val="00510387"/>
    <w:rsid w:val="005103E9"/>
    <w:rsid w:val="00510688"/>
    <w:rsid w:val="00510857"/>
    <w:rsid w:val="00510C37"/>
    <w:rsid w:val="00511079"/>
    <w:rsid w:val="0051107D"/>
    <w:rsid w:val="005111BA"/>
    <w:rsid w:val="0051172E"/>
    <w:rsid w:val="00511D45"/>
    <w:rsid w:val="0051216B"/>
    <w:rsid w:val="0051227F"/>
    <w:rsid w:val="005123E3"/>
    <w:rsid w:val="005125BB"/>
    <w:rsid w:val="00512664"/>
    <w:rsid w:val="0051296B"/>
    <w:rsid w:val="00512A75"/>
    <w:rsid w:val="00512AA2"/>
    <w:rsid w:val="00512B55"/>
    <w:rsid w:val="00512E9F"/>
    <w:rsid w:val="00512FE0"/>
    <w:rsid w:val="00513044"/>
    <w:rsid w:val="00513258"/>
    <w:rsid w:val="00513DD1"/>
    <w:rsid w:val="00513E0E"/>
    <w:rsid w:val="00513F26"/>
    <w:rsid w:val="00514112"/>
    <w:rsid w:val="0051413E"/>
    <w:rsid w:val="0051456A"/>
    <w:rsid w:val="005147EF"/>
    <w:rsid w:val="00514E48"/>
    <w:rsid w:val="0051501D"/>
    <w:rsid w:val="005150C2"/>
    <w:rsid w:val="0051533E"/>
    <w:rsid w:val="005153D7"/>
    <w:rsid w:val="005154FF"/>
    <w:rsid w:val="00515583"/>
    <w:rsid w:val="00515632"/>
    <w:rsid w:val="00515757"/>
    <w:rsid w:val="00515968"/>
    <w:rsid w:val="00515B1E"/>
    <w:rsid w:val="00515CC0"/>
    <w:rsid w:val="00515FE1"/>
    <w:rsid w:val="0051633D"/>
    <w:rsid w:val="0051651A"/>
    <w:rsid w:val="0051651E"/>
    <w:rsid w:val="005166C5"/>
    <w:rsid w:val="00516B89"/>
    <w:rsid w:val="00516E62"/>
    <w:rsid w:val="00516E70"/>
    <w:rsid w:val="005179C5"/>
    <w:rsid w:val="00517A07"/>
    <w:rsid w:val="00517AAD"/>
    <w:rsid w:val="00517D6B"/>
    <w:rsid w:val="005201CE"/>
    <w:rsid w:val="0052048F"/>
    <w:rsid w:val="0052062F"/>
    <w:rsid w:val="00520A12"/>
    <w:rsid w:val="00520AF7"/>
    <w:rsid w:val="00520E45"/>
    <w:rsid w:val="00520E65"/>
    <w:rsid w:val="00520FB5"/>
    <w:rsid w:val="00521153"/>
    <w:rsid w:val="005212E6"/>
    <w:rsid w:val="00521426"/>
    <w:rsid w:val="00521470"/>
    <w:rsid w:val="00521480"/>
    <w:rsid w:val="00521627"/>
    <w:rsid w:val="00521813"/>
    <w:rsid w:val="005219D0"/>
    <w:rsid w:val="00521AAE"/>
    <w:rsid w:val="005225BC"/>
    <w:rsid w:val="0052262F"/>
    <w:rsid w:val="00522AD3"/>
    <w:rsid w:val="00522B36"/>
    <w:rsid w:val="00522C11"/>
    <w:rsid w:val="00522EDB"/>
    <w:rsid w:val="00522F88"/>
    <w:rsid w:val="00523035"/>
    <w:rsid w:val="00523157"/>
    <w:rsid w:val="005233D0"/>
    <w:rsid w:val="00523479"/>
    <w:rsid w:val="00523572"/>
    <w:rsid w:val="0052379E"/>
    <w:rsid w:val="00523B79"/>
    <w:rsid w:val="00523D0A"/>
    <w:rsid w:val="00523FF2"/>
    <w:rsid w:val="00524435"/>
    <w:rsid w:val="00524488"/>
    <w:rsid w:val="00524903"/>
    <w:rsid w:val="00524DEF"/>
    <w:rsid w:val="00524DF4"/>
    <w:rsid w:val="00524E06"/>
    <w:rsid w:val="005253FA"/>
    <w:rsid w:val="005254BA"/>
    <w:rsid w:val="005254C4"/>
    <w:rsid w:val="00525554"/>
    <w:rsid w:val="0052573D"/>
    <w:rsid w:val="00525B87"/>
    <w:rsid w:val="00525BA1"/>
    <w:rsid w:val="00525BEB"/>
    <w:rsid w:val="00525E94"/>
    <w:rsid w:val="00525F51"/>
    <w:rsid w:val="00525FC2"/>
    <w:rsid w:val="00525FD3"/>
    <w:rsid w:val="00526619"/>
    <w:rsid w:val="005266A7"/>
    <w:rsid w:val="00526959"/>
    <w:rsid w:val="00526E9F"/>
    <w:rsid w:val="00526F07"/>
    <w:rsid w:val="00526F87"/>
    <w:rsid w:val="0052735C"/>
    <w:rsid w:val="005275AE"/>
    <w:rsid w:val="0052784E"/>
    <w:rsid w:val="00527C80"/>
    <w:rsid w:val="00527CEE"/>
    <w:rsid w:val="00527EBB"/>
    <w:rsid w:val="00527F23"/>
    <w:rsid w:val="00530042"/>
    <w:rsid w:val="005304D8"/>
    <w:rsid w:val="005309D6"/>
    <w:rsid w:val="00530DE5"/>
    <w:rsid w:val="00530F9B"/>
    <w:rsid w:val="00530FC0"/>
    <w:rsid w:val="0053123C"/>
    <w:rsid w:val="005316EA"/>
    <w:rsid w:val="005318C9"/>
    <w:rsid w:val="005318F1"/>
    <w:rsid w:val="00531ACD"/>
    <w:rsid w:val="00531B15"/>
    <w:rsid w:val="00531C8C"/>
    <w:rsid w:val="00531FDC"/>
    <w:rsid w:val="00532128"/>
    <w:rsid w:val="005323B8"/>
    <w:rsid w:val="0053243D"/>
    <w:rsid w:val="0053252F"/>
    <w:rsid w:val="0053254D"/>
    <w:rsid w:val="005327B5"/>
    <w:rsid w:val="005327EA"/>
    <w:rsid w:val="0053298B"/>
    <w:rsid w:val="00532D00"/>
    <w:rsid w:val="00532FC7"/>
    <w:rsid w:val="005330A9"/>
    <w:rsid w:val="00533119"/>
    <w:rsid w:val="005333E6"/>
    <w:rsid w:val="00533409"/>
    <w:rsid w:val="0053362E"/>
    <w:rsid w:val="005336D3"/>
    <w:rsid w:val="005338F5"/>
    <w:rsid w:val="005339A9"/>
    <w:rsid w:val="0053422A"/>
    <w:rsid w:val="005343EC"/>
    <w:rsid w:val="00534432"/>
    <w:rsid w:val="00534484"/>
    <w:rsid w:val="0053463D"/>
    <w:rsid w:val="00534854"/>
    <w:rsid w:val="00534991"/>
    <w:rsid w:val="00534A88"/>
    <w:rsid w:val="00534F98"/>
    <w:rsid w:val="005350CF"/>
    <w:rsid w:val="005350D4"/>
    <w:rsid w:val="0053525D"/>
    <w:rsid w:val="005352BF"/>
    <w:rsid w:val="00535376"/>
    <w:rsid w:val="005353C7"/>
    <w:rsid w:val="00535507"/>
    <w:rsid w:val="0053575F"/>
    <w:rsid w:val="00535A94"/>
    <w:rsid w:val="00535CFC"/>
    <w:rsid w:val="00535E37"/>
    <w:rsid w:val="00535FB5"/>
    <w:rsid w:val="00536047"/>
    <w:rsid w:val="00536165"/>
    <w:rsid w:val="0053636B"/>
    <w:rsid w:val="005364AB"/>
    <w:rsid w:val="00536622"/>
    <w:rsid w:val="00536627"/>
    <w:rsid w:val="005367D6"/>
    <w:rsid w:val="0053686C"/>
    <w:rsid w:val="0053693A"/>
    <w:rsid w:val="00536A53"/>
    <w:rsid w:val="00536A59"/>
    <w:rsid w:val="00536BF0"/>
    <w:rsid w:val="00537283"/>
    <w:rsid w:val="00537468"/>
    <w:rsid w:val="0053768B"/>
    <w:rsid w:val="00537938"/>
    <w:rsid w:val="00537B37"/>
    <w:rsid w:val="00537DF2"/>
    <w:rsid w:val="00537FC5"/>
    <w:rsid w:val="0054004F"/>
    <w:rsid w:val="0054042A"/>
    <w:rsid w:val="005404E7"/>
    <w:rsid w:val="00540674"/>
    <w:rsid w:val="00540851"/>
    <w:rsid w:val="005408B5"/>
    <w:rsid w:val="00540A31"/>
    <w:rsid w:val="00540A54"/>
    <w:rsid w:val="00540B92"/>
    <w:rsid w:val="00540C45"/>
    <w:rsid w:val="0054168D"/>
    <w:rsid w:val="005417B7"/>
    <w:rsid w:val="0054193C"/>
    <w:rsid w:val="005419BF"/>
    <w:rsid w:val="00541C67"/>
    <w:rsid w:val="00541C8A"/>
    <w:rsid w:val="00541D73"/>
    <w:rsid w:val="00541DCD"/>
    <w:rsid w:val="00541ED7"/>
    <w:rsid w:val="00541F5C"/>
    <w:rsid w:val="00542376"/>
    <w:rsid w:val="005425E7"/>
    <w:rsid w:val="00542A0E"/>
    <w:rsid w:val="00542C8E"/>
    <w:rsid w:val="00542D8F"/>
    <w:rsid w:val="00542F26"/>
    <w:rsid w:val="0054308A"/>
    <w:rsid w:val="005431CD"/>
    <w:rsid w:val="005431EA"/>
    <w:rsid w:val="00543273"/>
    <w:rsid w:val="005432DE"/>
    <w:rsid w:val="00543644"/>
    <w:rsid w:val="00543686"/>
    <w:rsid w:val="00543740"/>
    <w:rsid w:val="00543AB6"/>
    <w:rsid w:val="00543BEC"/>
    <w:rsid w:val="00543C1A"/>
    <w:rsid w:val="00543C49"/>
    <w:rsid w:val="00543E5F"/>
    <w:rsid w:val="00543E96"/>
    <w:rsid w:val="0054420E"/>
    <w:rsid w:val="005442BC"/>
    <w:rsid w:val="005445F0"/>
    <w:rsid w:val="00544B21"/>
    <w:rsid w:val="00544C50"/>
    <w:rsid w:val="00544EA4"/>
    <w:rsid w:val="00544F97"/>
    <w:rsid w:val="0054537E"/>
    <w:rsid w:val="0054553D"/>
    <w:rsid w:val="00545697"/>
    <w:rsid w:val="00545943"/>
    <w:rsid w:val="0054596A"/>
    <w:rsid w:val="00545A51"/>
    <w:rsid w:val="00545E9E"/>
    <w:rsid w:val="00546121"/>
    <w:rsid w:val="005464CE"/>
    <w:rsid w:val="0054672A"/>
    <w:rsid w:val="00546946"/>
    <w:rsid w:val="00546B8D"/>
    <w:rsid w:val="00546D36"/>
    <w:rsid w:val="00546EC7"/>
    <w:rsid w:val="00546F08"/>
    <w:rsid w:val="00546F2F"/>
    <w:rsid w:val="00546F98"/>
    <w:rsid w:val="00546FEB"/>
    <w:rsid w:val="005473D7"/>
    <w:rsid w:val="00547438"/>
    <w:rsid w:val="005474D8"/>
    <w:rsid w:val="0054756B"/>
    <w:rsid w:val="0054759F"/>
    <w:rsid w:val="0054781E"/>
    <w:rsid w:val="00547A06"/>
    <w:rsid w:val="00547EF5"/>
    <w:rsid w:val="00547FCD"/>
    <w:rsid w:val="005503D4"/>
    <w:rsid w:val="005504AE"/>
    <w:rsid w:val="00550777"/>
    <w:rsid w:val="00550ADE"/>
    <w:rsid w:val="00551072"/>
    <w:rsid w:val="0055119D"/>
    <w:rsid w:val="00551599"/>
    <w:rsid w:val="005516C3"/>
    <w:rsid w:val="005517A2"/>
    <w:rsid w:val="00551E95"/>
    <w:rsid w:val="00551FAE"/>
    <w:rsid w:val="005522C8"/>
    <w:rsid w:val="00552462"/>
    <w:rsid w:val="005525D0"/>
    <w:rsid w:val="0055273F"/>
    <w:rsid w:val="00552A26"/>
    <w:rsid w:val="00552DA5"/>
    <w:rsid w:val="00552E4B"/>
    <w:rsid w:val="005531B8"/>
    <w:rsid w:val="00553202"/>
    <w:rsid w:val="005533F0"/>
    <w:rsid w:val="005536C0"/>
    <w:rsid w:val="00553AC6"/>
    <w:rsid w:val="005540DE"/>
    <w:rsid w:val="00554292"/>
    <w:rsid w:val="00554415"/>
    <w:rsid w:val="00554820"/>
    <w:rsid w:val="00554B86"/>
    <w:rsid w:val="00554D79"/>
    <w:rsid w:val="005550AF"/>
    <w:rsid w:val="005550F4"/>
    <w:rsid w:val="005558AA"/>
    <w:rsid w:val="00555A14"/>
    <w:rsid w:val="00555BE6"/>
    <w:rsid w:val="00555E26"/>
    <w:rsid w:val="00556391"/>
    <w:rsid w:val="0055639A"/>
    <w:rsid w:val="0055646C"/>
    <w:rsid w:val="0055666B"/>
    <w:rsid w:val="005567BB"/>
    <w:rsid w:val="0055689A"/>
    <w:rsid w:val="00556AA2"/>
    <w:rsid w:val="00556FA1"/>
    <w:rsid w:val="00557180"/>
    <w:rsid w:val="005572FB"/>
    <w:rsid w:val="0055751B"/>
    <w:rsid w:val="005575B8"/>
    <w:rsid w:val="0055785E"/>
    <w:rsid w:val="00557A79"/>
    <w:rsid w:val="00557A97"/>
    <w:rsid w:val="00557F39"/>
    <w:rsid w:val="00557FC8"/>
    <w:rsid w:val="00560234"/>
    <w:rsid w:val="005603B0"/>
    <w:rsid w:val="00560916"/>
    <w:rsid w:val="00560B6E"/>
    <w:rsid w:val="005610F7"/>
    <w:rsid w:val="0056123F"/>
    <w:rsid w:val="005614BD"/>
    <w:rsid w:val="00561735"/>
    <w:rsid w:val="0056174F"/>
    <w:rsid w:val="005617ED"/>
    <w:rsid w:val="00561BBC"/>
    <w:rsid w:val="00562152"/>
    <w:rsid w:val="00562389"/>
    <w:rsid w:val="00562831"/>
    <w:rsid w:val="00562920"/>
    <w:rsid w:val="005629FD"/>
    <w:rsid w:val="00562FC2"/>
    <w:rsid w:val="00562FF6"/>
    <w:rsid w:val="00563136"/>
    <w:rsid w:val="005636A8"/>
    <w:rsid w:val="0056379A"/>
    <w:rsid w:val="00563C3A"/>
    <w:rsid w:val="00563C67"/>
    <w:rsid w:val="00563E67"/>
    <w:rsid w:val="00563F45"/>
    <w:rsid w:val="005644B0"/>
    <w:rsid w:val="0056455C"/>
    <w:rsid w:val="00564743"/>
    <w:rsid w:val="005647E4"/>
    <w:rsid w:val="005648CD"/>
    <w:rsid w:val="00564C4F"/>
    <w:rsid w:val="00564E3A"/>
    <w:rsid w:val="00565095"/>
    <w:rsid w:val="00565A14"/>
    <w:rsid w:val="00565D91"/>
    <w:rsid w:val="00565E3D"/>
    <w:rsid w:val="00565F0F"/>
    <w:rsid w:val="00566160"/>
    <w:rsid w:val="00566266"/>
    <w:rsid w:val="005662EC"/>
    <w:rsid w:val="0056664B"/>
    <w:rsid w:val="00566686"/>
    <w:rsid w:val="00566697"/>
    <w:rsid w:val="00566707"/>
    <w:rsid w:val="0056699D"/>
    <w:rsid w:val="00566AC7"/>
    <w:rsid w:val="00566B27"/>
    <w:rsid w:val="00566C0A"/>
    <w:rsid w:val="00566C16"/>
    <w:rsid w:val="00566CEC"/>
    <w:rsid w:val="00566E71"/>
    <w:rsid w:val="00566F9D"/>
    <w:rsid w:val="00567049"/>
    <w:rsid w:val="005670CB"/>
    <w:rsid w:val="00567171"/>
    <w:rsid w:val="00567477"/>
    <w:rsid w:val="0056793A"/>
    <w:rsid w:val="00567E07"/>
    <w:rsid w:val="00570074"/>
    <w:rsid w:val="0057016D"/>
    <w:rsid w:val="0057020C"/>
    <w:rsid w:val="00570387"/>
    <w:rsid w:val="005706B4"/>
    <w:rsid w:val="00570B98"/>
    <w:rsid w:val="00570C1D"/>
    <w:rsid w:val="00570CE8"/>
    <w:rsid w:val="0057115E"/>
    <w:rsid w:val="005712FB"/>
    <w:rsid w:val="0057144D"/>
    <w:rsid w:val="00571553"/>
    <w:rsid w:val="00571822"/>
    <w:rsid w:val="00571995"/>
    <w:rsid w:val="00571A93"/>
    <w:rsid w:val="00571ACA"/>
    <w:rsid w:val="00571C16"/>
    <w:rsid w:val="00571ECF"/>
    <w:rsid w:val="00572096"/>
    <w:rsid w:val="00572316"/>
    <w:rsid w:val="005723EE"/>
    <w:rsid w:val="00572401"/>
    <w:rsid w:val="00572D1D"/>
    <w:rsid w:val="00572EFD"/>
    <w:rsid w:val="005730C6"/>
    <w:rsid w:val="005734CD"/>
    <w:rsid w:val="00573618"/>
    <w:rsid w:val="00573C14"/>
    <w:rsid w:val="00573D4E"/>
    <w:rsid w:val="00573E2D"/>
    <w:rsid w:val="00574020"/>
    <w:rsid w:val="005740A2"/>
    <w:rsid w:val="0057412B"/>
    <w:rsid w:val="00574232"/>
    <w:rsid w:val="005745A6"/>
    <w:rsid w:val="0057462D"/>
    <w:rsid w:val="00574659"/>
    <w:rsid w:val="0057485F"/>
    <w:rsid w:val="00574937"/>
    <w:rsid w:val="00574BF1"/>
    <w:rsid w:val="00574BFB"/>
    <w:rsid w:val="00575115"/>
    <w:rsid w:val="005751B8"/>
    <w:rsid w:val="005754D6"/>
    <w:rsid w:val="0057560B"/>
    <w:rsid w:val="00575750"/>
    <w:rsid w:val="00575DBC"/>
    <w:rsid w:val="00576531"/>
    <w:rsid w:val="005769E5"/>
    <w:rsid w:val="00576AAC"/>
    <w:rsid w:val="00576B4E"/>
    <w:rsid w:val="00576C88"/>
    <w:rsid w:val="005772AE"/>
    <w:rsid w:val="005773B1"/>
    <w:rsid w:val="005773DD"/>
    <w:rsid w:val="00577581"/>
    <w:rsid w:val="00577587"/>
    <w:rsid w:val="00577B19"/>
    <w:rsid w:val="0058022A"/>
    <w:rsid w:val="005803B5"/>
    <w:rsid w:val="0058073E"/>
    <w:rsid w:val="00580F2E"/>
    <w:rsid w:val="00580FD4"/>
    <w:rsid w:val="005815A9"/>
    <w:rsid w:val="005815AF"/>
    <w:rsid w:val="00581784"/>
    <w:rsid w:val="00581812"/>
    <w:rsid w:val="0058197C"/>
    <w:rsid w:val="00581B42"/>
    <w:rsid w:val="00581C52"/>
    <w:rsid w:val="00581EF8"/>
    <w:rsid w:val="005823D7"/>
    <w:rsid w:val="00582414"/>
    <w:rsid w:val="0058255F"/>
    <w:rsid w:val="0058256C"/>
    <w:rsid w:val="005826E0"/>
    <w:rsid w:val="00582822"/>
    <w:rsid w:val="005828A3"/>
    <w:rsid w:val="00582A7E"/>
    <w:rsid w:val="00582B99"/>
    <w:rsid w:val="00582C43"/>
    <w:rsid w:val="00582C7A"/>
    <w:rsid w:val="0058331A"/>
    <w:rsid w:val="0058370F"/>
    <w:rsid w:val="0058374E"/>
    <w:rsid w:val="00583992"/>
    <w:rsid w:val="00583A81"/>
    <w:rsid w:val="00583B8A"/>
    <w:rsid w:val="00583BFE"/>
    <w:rsid w:val="00583C6A"/>
    <w:rsid w:val="00583C93"/>
    <w:rsid w:val="00583E6B"/>
    <w:rsid w:val="0058445A"/>
    <w:rsid w:val="005845F5"/>
    <w:rsid w:val="00584B34"/>
    <w:rsid w:val="00584BBF"/>
    <w:rsid w:val="00584C8C"/>
    <w:rsid w:val="00584D80"/>
    <w:rsid w:val="00584EC3"/>
    <w:rsid w:val="00585064"/>
    <w:rsid w:val="00585124"/>
    <w:rsid w:val="0058544C"/>
    <w:rsid w:val="00585788"/>
    <w:rsid w:val="005857C5"/>
    <w:rsid w:val="005857E7"/>
    <w:rsid w:val="00585829"/>
    <w:rsid w:val="005859D2"/>
    <w:rsid w:val="00585A17"/>
    <w:rsid w:val="00585A72"/>
    <w:rsid w:val="00585AC1"/>
    <w:rsid w:val="00585EA7"/>
    <w:rsid w:val="00585EB9"/>
    <w:rsid w:val="00585FAC"/>
    <w:rsid w:val="00586071"/>
    <w:rsid w:val="005860A9"/>
    <w:rsid w:val="0058632E"/>
    <w:rsid w:val="005865FA"/>
    <w:rsid w:val="005868B5"/>
    <w:rsid w:val="00586E67"/>
    <w:rsid w:val="005871E8"/>
    <w:rsid w:val="005871FB"/>
    <w:rsid w:val="00587283"/>
    <w:rsid w:val="005872F3"/>
    <w:rsid w:val="005873AE"/>
    <w:rsid w:val="00587461"/>
    <w:rsid w:val="005874C5"/>
    <w:rsid w:val="00587549"/>
    <w:rsid w:val="00587676"/>
    <w:rsid w:val="00587892"/>
    <w:rsid w:val="0058798E"/>
    <w:rsid w:val="00587CDE"/>
    <w:rsid w:val="00590241"/>
    <w:rsid w:val="00590419"/>
    <w:rsid w:val="005904F1"/>
    <w:rsid w:val="00590526"/>
    <w:rsid w:val="00590656"/>
    <w:rsid w:val="0059089E"/>
    <w:rsid w:val="00590A95"/>
    <w:rsid w:val="00590AAE"/>
    <w:rsid w:val="00590E10"/>
    <w:rsid w:val="00590FC8"/>
    <w:rsid w:val="00591133"/>
    <w:rsid w:val="005915FB"/>
    <w:rsid w:val="005917A4"/>
    <w:rsid w:val="005919DA"/>
    <w:rsid w:val="00591A72"/>
    <w:rsid w:val="00591C7D"/>
    <w:rsid w:val="00591DE7"/>
    <w:rsid w:val="00591F76"/>
    <w:rsid w:val="005923B5"/>
    <w:rsid w:val="00592972"/>
    <w:rsid w:val="00592CA7"/>
    <w:rsid w:val="00592E1B"/>
    <w:rsid w:val="00592EAE"/>
    <w:rsid w:val="00592F1F"/>
    <w:rsid w:val="00592F34"/>
    <w:rsid w:val="00593805"/>
    <w:rsid w:val="00593984"/>
    <w:rsid w:val="00593B1C"/>
    <w:rsid w:val="00593DA1"/>
    <w:rsid w:val="00593E33"/>
    <w:rsid w:val="00594195"/>
    <w:rsid w:val="005942EB"/>
    <w:rsid w:val="005942FB"/>
    <w:rsid w:val="00594422"/>
    <w:rsid w:val="005945AC"/>
    <w:rsid w:val="005951E5"/>
    <w:rsid w:val="005955C6"/>
    <w:rsid w:val="005956E2"/>
    <w:rsid w:val="005957E5"/>
    <w:rsid w:val="0059583E"/>
    <w:rsid w:val="00595857"/>
    <w:rsid w:val="005959CF"/>
    <w:rsid w:val="00595AB6"/>
    <w:rsid w:val="005961BE"/>
    <w:rsid w:val="0059632A"/>
    <w:rsid w:val="00596350"/>
    <w:rsid w:val="00596356"/>
    <w:rsid w:val="00596446"/>
    <w:rsid w:val="00596585"/>
    <w:rsid w:val="0059659B"/>
    <w:rsid w:val="005965EE"/>
    <w:rsid w:val="00596726"/>
    <w:rsid w:val="0059677C"/>
    <w:rsid w:val="00596876"/>
    <w:rsid w:val="00596897"/>
    <w:rsid w:val="00596EEC"/>
    <w:rsid w:val="0059734C"/>
    <w:rsid w:val="005973BD"/>
    <w:rsid w:val="005975CF"/>
    <w:rsid w:val="00597667"/>
    <w:rsid w:val="00597A68"/>
    <w:rsid w:val="00597D22"/>
    <w:rsid w:val="00597E28"/>
    <w:rsid w:val="005A081C"/>
    <w:rsid w:val="005A0AF1"/>
    <w:rsid w:val="005A0B83"/>
    <w:rsid w:val="005A0C45"/>
    <w:rsid w:val="005A0C81"/>
    <w:rsid w:val="005A0CDE"/>
    <w:rsid w:val="005A1023"/>
    <w:rsid w:val="005A10E5"/>
    <w:rsid w:val="005A13A4"/>
    <w:rsid w:val="005A1598"/>
    <w:rsid w:val="005A1661"/>
    <w:rsid w:val="005A1812"/>
    <w:rsid w:val="005A181B"/>
    <w:rsid w:val="005A1C2C"/>
    <w:rsid w:val="005A1E2F"/>
    <w:rsid w:val="005A1F3B"/>
    <w:rsid w:val="005A1FC2"/>
    <w:rsid w:val="005A2476"/>
    <w:rsid w:val="005A25A3"/>
    <w:rsid w:val="005A25E3"/>
    <w:rsid w:val="005A285C"/>
    <w:rsid w:val="005A28A7"/>
    <w:rsid w:val="005A28B1"/>
    <w:rsid w:val="005A290B"/>
    <w:rsid w:val="005A2BEC"/>
    <w:rsid w:val="005A2CFC"/>
    <w:rsid w:val="005A2F2A"/>
    <w:rsid w:val="005A3138"/>
    <w:rsid w:val="005A347D"/>
    <w:rsid w:val="005A36F2"/>
    <w:rsid w:val="005A3845"/>
    <w:rsid w:val="005A3EB5"/>
    <w:rsid w:val="005A3EFD"/>
    <w:rsid w:val="005A3FC4"/>
    <w:rsid w:val="005A41FC"/>
    <w:rsid w:val="005A4233"/>
    <w:rsid w:val="005A42B2"/>
    <w:rsid w:val="005A44AC"/>
    <w:rsid w:val="005A50E8"/>
    <w:rsid w:val="005A580A"/>
    <w:rsid w:val="005A5BF5"/>
    <w:rsid w:val="005A5D0C"/>
    <w:rsid w:val="005A5F61"/>
    <w:rsid w:val="005A66DF"/>
    <w:rsid w:val="005A6738"/>
    <w:rsid w:val="005A68E4"/>
    <w:rsid w:val="005A6AC7"/>
    <w:rsid w:val="005A6C46"/>
    <w:rsid w:val="005A6ECA"/>
    <w:rsid w:val="005A71BA"/>
    <w:rsid w:val="005A7283"/>
    <w:rsid w:val="005A74B1"/>
    <w:rsid w:val="005B0047"/>
    <w:rsid w:val="005B01BD"/>
    <w:rsid w:val="005B0222"/>
    <w:rsid w:val="005B03C2"/>
    <w:rsid w:val="005B048D"/>
    <w:rsid w:val="005B072C"/>
    <w:rsid w:val="005B073A"/>
    <w:rsid w:val="005B0C25"/>
    <w:rsid w:val="005B0E52"/>
    <w:rsid w:val="005B1094"/>
    <w:rsid w:val="005B13C6"/>
    <w:rsid w:val="005B1711"/>
    <w:rsid w:val="005B19B1"/>
    <w:rsid w:val="005B1A57"/>
    <w:rsid w:val="005B1B88"/>
    <w:rsid w:val="005B2464"/>
    <w:rsid w:val="005B267E"/>
    <w:rsid w:val="005B2711"/>
    <w:rsid w:val="005B286A"/>
    <w:rsid w:val="005B2870"/>
    <w:rsid w:val="005B2B22"/>
    <w:rsid w:val="005B2B2C"/>
    <w:rsid w:val="005B3220"/>
    <w:rsid w:val="005B3515"/>
    <w:rsid w:val="005B3612"/>
    <w:rsid w:val="005B37EB"/>
    <w:rsid w:val="005B3A27"/>
    <w:rsid w:val="005B3B11"/>
    <w:rsid w:val="005B3C65"/>
    <w:rsid w:val="005B3C99"/>
    <w:rsid w:val="005B3F76"/>
    <w:rsid w:val="005B4221"/>
    <w:rsid w:val="005B4385"/>
    <w:rsid w:val="005B438B"/>
    <w:rsid w:val="005B4811"/>
    <w:rsid w:val="005B4B18"/>
    <w:rsid w:val="005B4B4B"/>
    <w:rsid w:val="005B4CB0"/>
    <w:rsid w:val="005B4CB4"/>
    <w:rsid w:val="005B4FCA"/>
    <w:rsid w:val="005B5110"/>
    <w:rsid w:val="005B5225"/>
    <w:rsid w:val="005B525C"/>
    <w:rsid w:val="005B525D"/>
    <w:rsid w:val="005B54B9"/>
    <w:rsid w:val="005B56E2"/>
    <w:rsid w:val="005B5799"/>
    <w:rsid w:val="005B5C02"/>
    <w:rsid w:val="005B5D97"/>
    <w:rsid w:val="005B5E32"/>
    <w:rsid w:val="005B5ECC"/>
    <w:rsid w:val="005B5FD0"/>
    <w:rsid w:val="005B6393"/>
    <w:rsid w:val="005B64E7"/>
    <w:rsid w:val="005B6927"/>
    <w:rsid w:val="005B6987"/>
    <w:rsid w:val="005B6AF9"/>
    <w:rsid w:val="005B6D17"/>
    <w:rsid w:val="005B6D76"/>
    <w:rsid w:val="005B7068"/>
    <w:rsid w:val="005B75DD"/>
    <w:rsid w:val="005B75EE"/>
    <w:rsid w:val="005B782A"/>
    <w:rsid w:val="005B7B45"/>
    <w:rsid w:val="005B7D4D"/>
    <w:rsid w:val="005B7D61"/>
    <w:rsid w:val="005B7D9F"/>
    <w:rsid w:val="005C021D"/>
    <w:rsid w:val="005C0553"/>
    <w:rsid w:val="005C05A9"/>
    <w:rsid w:val="005C06FD"/>
    <w:rsid w:val="005C0708"/>
    <w:rsid w:val="005C091D"/>
    <w:rsid w:val="005C0985"/>
    <w:rsid w:val="005C0B04"/>
    <w:rsid w:val="005C0FE7"/>
    <w:rsid w:val="005C1098"/>
    <w:rsid w:val="005C10C4"/>
    <w:rsid w:val="005C12B8"/>
    <w:rsid w:val="005C1422"/>
    <w:rsid w:val="005C1749"/>
    <w:rsid w:val="005C1BF9"/>
    <w:rsid w:val="005C20DF"/>
    <w:rsid w:val="005C2891"/>
    <w:rsid w:val="005C2B22"/>
    <w:rsid w:val="005C2B6B"/>
    <w:rsid w:val="005C2BDE"/>
    <w:rsid w:val="005C2DE0"/>
    <w:rsid w:val="005C3037"/>
    <w:rsid w:val="005C303F"/>
    <w:rsid w:val="005C30DA"/>
    <w:rsid w:val="005C33F2"/>
    <w:rsid w:val="005C33FF"/>
    <w:rsid w:val="005C376B"/>
    <w:rsid w:val="005C376F"/>
    <w:rsid w:val="005C3852"/>
    <w:rsid w:val="005C39C3"/>
    <w:rsid w:val="005C3B84"/>
    <w:rsid w:val="005C3C4C"/>
    <w:rsid w:val="005C43FE"/>
    <w:rsid w:val="005C4408"/>
    <w:rsid w:val="005C4B54"/>
    <w:rsid w:val="005C4BF0"/>
    <w:rsid w:val="005C4E1C"/>
    <w:rsid w:val="005C5252"/>
    <w:rsid w:val="005C5424"/>
    <w:rsid w:val="005C5899"/>
    <w:rsid w:val="005C5A10"/>
    <w:rsid w:val="005C5AE2"/>
    <w:rsid w:val="005C5BB6"/>
    <w:rsid w:val="005C604D"/>
    <w:rsid w:val="005C611C"/>
    <w:rsid w:val="005C6213"/>
    <w:rsid w:val="005C62DA"/>
    <w:rsid w:val="005C6344"/>
    <w:rsid w:val="005C6552"/>
    <w:rsid w:val="005C65DA"/>
    <w:rsid w:val="005C69E5"/>
    <w:rsid w:val="005C6BD8"/>
    <w:rsid w:val="005C6C95"/>
    <w:rsid w:val="005C6D27"/>
    <w:rsid w:val="005C70BF"/>
    <w:rsid w:val="005C7118"/>
    <w:rsid w:val="005C71DE"/>
    <w:rsid w:val="005C7237"/>
    <w:rsid w:val="005C7344"/>
    <w:rsid w:val="005C7792"/>
    <w:rsid w:val="005C7E10"/>
    <w:rsid w:val="005C7F94"/>
    <w:rsid w:val="005D01BF"/>
    <w:rsid w:val="005D01D2"/>
    <w:rsid w:val="005D07E0"/>
    <w:rsid w:val="005D09EA"/>
    <w:rsid w:val="005D0DB2"/>
    <w:rsid w:val="005D0F25"/>
    <w:rsid w:val="005D1338"/>
    <w:rsid w:val="005D152A"/>
    <w:rsid w:val="005D163B"/>
    <w:rsid w:val="005D16CB"/>
    <w:rsid w:val="005D1773"/>
    <w:rsid w:val="005D17A0"/>
    <w:rsid w:val="005D2163"/>
    <w:rsid w:val="005D22E9"/>
    <w:rsid w:val="005D23B5"/>
    <w:rsid w:val="005D2513"/>
    <w:rsid w:val="005D2B9C"/>
    <w:rsid w:val="005D2BA6"/>
    <w:rsid w:val="005D2C19"/>
    <w:rsid w:val="005D2C2A"/>
    <w:rsid w:val="005D2D58"/>
    <w:rsid w:val="005D2D71"/>
    <w:rsid w:val="005D2F63"/>
    <w:rsid w:val="005D2FC1"/>
    <w:rsid w:val="005D3152"/>
    <w:rsid w:val="005D318A"/>
    <w:rsid w:val="005D3828"/>
    <w:rsid w:val="005D38A7"/>
    <w:rsid w:val="005D3BD8"/>
    <w:rsid w:val="005D3E6F"/>
    <w:rsid w:val="005D3ED7"/>
    <w:rsid w:val="005D3F02"/>
    <w:rsid w:val="005D41EB"/>
    <w:rsid w:val="005D427F"/>
    <w:rsid w:val="005D43F6"/>
    <w:rsid w:val="005D4419"/>
    <w:rsid w:val="005D453E"/>
    <w:rsid w:val="005D459E"/>
    <w:rsid w:val="005D45C6"/>
    <w:rsid w:val="005D4B55"/>
    <w:rsid w:val="005D4DD2"/>
    <w:rsid w:val="005D4DF4"/>
    <w:rsid w:val="005D4E8A"/>
    <w:rsid w:val="005D531D"/>
    <w:rsid w:val="005D54FA"/>
    <w:rsid w:val="005D5511"/>
    <w:rsid w:val="005D571D"/>
    <w:rsid w:val="005D57E6"/>
    <w:rsid w:val="005D587F"/>
    <w:rsid w:val="005D5ED2"/>
    <w:rsid w:val="005D5F30"/>
    <w:rsid w:val="005D5FD3"/>
    <w:rsid w:val="005D6484"/>
    <w:rsid w:val="005D667C"/>
    <w:rsid w:val="005D6795"/>
    <w:rsid w:val="005D67C9"/>
    <w:rsid w:val="005D6990"/>
    <w:rsid w:val="005D69FA"/>
    <w:rsid w:val="005D6A28"/>
    <w:rsid w:val="005D6A3C"/>
    <w:rsid w:val="005D6AA6"/>
    <w:rsid w:val="005D6BDE"/>
    <w:rsid w:val="005D6E4E"/>
    <w:rsid w:val="005D6F7E"/>
    <w:rsid w:val="005D6FA1"/>
    <w:rsid w:val="005D7079"/>
    <w:rsid w:val="005D7214"/>
    <w:rsid w:val="005D74ED"/>
    <w:rsid w:val="005D7893"/>
    <w:rsid w:val="005D78F9"/>
    <w:rsid w:val="005D7987"/>
    <w:rsid w:val="005D7C3E"/>
    <w:rsid w:val="005E00A2"/>
    <w:rsid w:val="005E00EF"/>
    <w:rsid w:val="005E0266"/>
    <w:rsid w:val="005E02A3"/>
    <w:rsid w:val="005E0472"/>
    <w:rsid w:val="005E04C2"/>
    <w:rsid w:val="005E0773"/>
    <w:rsid w:val="005E0A2E"/>
    <w:rsid w:val="005E0B18"/>
    <w:rsid w:val="005E0EAD"/>
    <w:rsid w:val="005E1093"/>
    <w:rsid w:val="005E110F"/>
    <w:rsid w:val="005E1388"/>
    <w:rsid w:val="005E163B"/>
    <w:rsid w:val="005E187C"/>
    <w:rsid w:val="005E1934"/>
    <w:rsid w:val="005E1D3F"/>
    <w:rsid w:val="005E2179"/>
    <w:rsid w:val="005E2791"/>
    <w:rsid w:val="005E2A04"/>
    <w:rsid w:val="005E2D1C"/>
    <w:rsid w:val="005E2E64"/>
    <w:rsid w:val="005E2F91"/>
    <w:rsid w:val="005E31DB"/>
    <w:rsid w:val="005E3335"/>
    <w:rsid w:val="005E3379"/>
    <w:rsid w:val="005E36A3"/>
    <w:rsid w:val="005E36DE"/>
    <w:rsid w:val="005E3868"/>
    <w:rsid w:val="005E3924"/>
    <w:rsid w:val="005E3F96"/>
    <w:rsid w:val="005E41D3"/>
    <w:rsid w:val="005E4626"/>
    <w:rsid w:val="005E4E8C"/>
    <w:rsid w:val="005E4F7E"/>
    <w:rsid w:val="005E5393"/>
    <w:rsid w:val="005E59FE"/>
    <w:rsid w:val="005E5F93"/>
    <w:rsid w:val="005E6087"/>
    <w:rsid w:val="005E60DA"/>
    <w:rsid w:val="005E61F9"/>
    <w:rsid w:val="005E6363"/>
    <w:rsid w:val="005E6484"/>
    <w:rsid w:val="005E648A"/>
    <w:rsid w:val="005E66AD"/>
    <w:rsid w:val="005E6754"/>
    <w:rsid w:val="005E67DD"/>
    <w:rsid w:val="005E6997"/>
    <w:rsid w:val="005E6C2B"/>
    <w:rsid w:val="005E706A"/>
    <w:rsid w:val="005E720A"/>
    <w:rsid w:val="005E7310"/>
    <w:rsid w:val="005E79A7"/>
    <w:rsid w:val="005E7A42"/>
    <w:rsid w:val="005E7CB7"/>
    <w:rsid w:val="005E7DF1"/>
    <w:rsid w:val="005E7F82"/>
    <w:rsid w:val="005E7FBF"/>
    <w:rsid w:val="005F0051"/>
    <w:rsid w:val="005F0080"/>
    <w:rsid w:val="005F0338"/>
    <w:rsid w:val="005F049F"/>
    <w:rsid w:val="005F04FA"/>
    <w:rsid w:val="005F0631"/>
    <w:rsid w:val="005F0ABD"/>
    <w:rsid w:val="005F0F37"/>
    <w:rsid w:val="005F0F44"/>
    <w:rsid w:val="005F0FDE"/>
    <w:rsid w:val="005F1298"/>
    <w:rsid w:val="005F12B3"/>
    <w:rsid w:val="005F1714"/>
    <w:rsid w:val="005F2183"/>
    <w:rsid w:val="005F2CAC"/>
    <w:rsid w:val="005F2E2B"/>
    <w:rsid w:val="005F2F71"/>
    <w:rsid w:val="005F32AE"/>
    <w:rsid w:val="005F32D3"/>
    <w:rsid w:val="005F32D7"/>
    <w:rsid w:val="005F32EC"/>
    <w:rsid w:val="005F368E"/>
    <w:rsid w:val="005F3862"/>
    <w:rsid w:val="005F3A32"/>
    <w:rsid w:val="005F3AFE"/>
    <w:rsid w:val="005F3D25"/>
    <w:rsid w:val="005F3D97"/>
    <w:rsid w:val="005F40EB"/>
    <w:rsid w:val="005F46C3"/>
    <w:rsid w:val="005F46C5"/>
    <w:rsid w:val="005F4883"/>
    <w:rsid w:val="005F4AAE"/>
    <w:rsid w:val="005F4DAD"/>
    <w:rsid w:val="005F4F41"/>
    <w:rsid w:val="005F4FCC"/>
    <w:rsid w:val="005F4FD0"/>
    <w:rsid w:val="005F5021"/>
    <w:rsid w:val="005F5245"/>
    <w:rsid w:val="005F52C0"/>
    <w:rsid w:val="005F5405"/>
    <w:rsid w:val="005F57B0"/>
    <w:rsid w:val="005F5858"/>
    <w:rsid w:val="005F5888"/>
    <w:rsid w:val="005F5AE5"/>
    <w:rsid w:val="005F5B06"/>
    <w:rsid w:val="005F5C5E"/>
    <w:rsid w:val="005F5D5A"/>
    <w:rsid w:val="005F6312"/>
    <w:rsid w:val="005F66A6"/>
    <w:rsid w:val="005F67F0"/>
    <w:rsid w:val="005F6A6B"/>
    <w:rsid w:val="005F6CE5"/>
    <w:rsid w:val="005F6EDB"/>
    <w:rsid w:val="005F70FA"/>
    <w:rsid w:val="005F7134"/>
    <w:rsid w:val="005F7192"/>
    <w:rsid w:val="005F7517"/>
    <w:rsid w:val="005F7575"/>
    <w:rsid w:val="005F785D"/>
    <w:rsid w:val="005F789C"/>
    <w:rsid w:val="005F78C7"/>
    <w:rsid w:val="005F796A"/>
    <w:rsid w:val="005F79CB"/>
    <w:rsid w:val="005F7B5A"/>
    <w:rsid w:val="005F7BA8"/>
    <w:rsid w:val="005F7C31"/>
    <w:rsid w:val="005F7FAE"/>
    <w:rsid w:val="00600060"/>
    <w:rsid w:val="00600099"/>
    <w:rsid w:val="0060009C"/>
    <w:rsid w:val="006000B2"/>
    <w:rsid w:val="006000C5"/>
    <w:rsid w:val="0060067C"/>
    <w:rsid w:val="0060083D"/>
    <w:rsid w:val="0060087F"/>
    <w:rsid w:val="00600978"/>
    <w:rsid w:val="0060098D"/>
    <w:rsid w:val="00600A89"/>
    <w:rsid w:val="006013E0"/>
    <w:rsid w:val="006013E7"/>
    <w:rsid w:val="006015B2"/>
    <w:rsid w:val="00601972"/>
    <w:rsid w:val="00601CE8"/>
    <w:rsid w:val="006021B8"/>
    <w:rsid w:val="00602369"/>
    <w:rsid w:val="00602432"/>
    <w:rsid w:val="0060258B"/>
    <w:rsid w:val="00602733"/>
    <w:rsid w:val="00602776"/>
    <w:rsid w:val="00602AE1"/>
    <w:rsid w:val="00602B4C"/>
    <w:rsid w:val="00602BB4"/>
    <w:rsid w:val="00602C57"/>
    <w:rsid w:val="00602C90"/>
    <w:rsid w:val="00602D4F"/>
    <w:rsid w:val="00602F8C"/>
    <w:rsid w:val="006030C7"/>
    <w:rsid w:val="006034A5"/>
    <w:rsid w:val="006038D2"/>
    <w:rsid w:val="006039EF"/>
    <w:rsid w:val="006039FF"/>
    <w:rsid w:val="00603AE4"/>
    <w:rsid w:val="00603E21"/>
    <w:rsid w:val="00603F2C"/>
    <w:rsid w:val="006040CE"/>
    <w:rsid w:val="0060411E"/>
    <w:rsid w:val="00604169"/>
    <w:rsid w:val="0060426E"/>
    <w:rsid w:val="00604524"/>
    <w:rsid w:val="0060455C"/>
    <w:rsid w:val="00604571"/>
    <w:rsid w:val="00604AEB"/>
    <w:rsid w:val="00604B64"/>
    <w:rsid w:val="006050D0"/>
    <w:rsid w:val="006052BD"/>
    <w:rsid w:val="006057FF"/>
    <w:rsid w:val="00605821"/>
    <w:rsid w:val="00605896"/>
    <w:rsid w:val="00605991"/>
    <w:rsid w:val="00605F0B"/>
    <w:rsid w:val="00606351"/>
    <w:rsid w:val="006064C1"/>
    <w:rsid w:val="006064EA"/>
    <w:rsid w:val="0060684D"/>
    <w:rsid w:val="00606A30"/>
    <w:rsid w:val="00606BB5"/>
    <w:rsid w:val="00606D5C"/>
    <w:rsid w:val="00606DCC"/>
    <w:rsid w:val="00607048"/>
    <w:rsid w:val="00607440"/>
    <w:rsid w:val="006074B5"/>
    <w:rsid w:val="006074E2"/>
    <w:rsid w:val="00607D8D"/>
    <w:rsid w:val="0061032C"/>
    <w:rsid w:val="00610354"/>
    <w:rsid w:val="0061046E"/>
    <w:rsid w:val="006106C3"/>
    <w:rsid w:val="00610B8E"/>
    <w:rsid w:val="00610CF3"/>
    <w:rsid w:val="00611094"/>
    <w:rsid w:val="006116A6"/>
    <w:rsid w:val="006116A8"/>
    <w:rsid w:val="006118A5"/>
    <w:rsid w:val="00611B97"/>
    <w:rsid w:val="00611D51"/>
    <w:rsid w:val="00611F24"/>
    <w:rsid w:val="006121CD"/>
    <w:rsid w:val="00612204"/>
    <w:rsid w:val="006122E7"/>
    <w:rsid w:val="006123F1"/>
    <w:rsid w:val="006127C9"/>
    <w:rsid w:val="006129BD"/>
    <w:rsid w:val="006129C2"/>
    <w:rsid w:val="00612BDF"/>
    <w:rsid w:val="00612D4D"/>
    <w:rsid w:val="00612E79"/>
    <w:rsid w:val="00612F95"/>
    <w:rsid w:val="006130FF"/>
    <w:rsid w:val="006133B3"/>
    <w:rsid w:val="006133EC"/>
    <w:rsid w:val="0061343C"/>
    <w:rsid w:val="0061367F"/>
    <w:rsid w:val="00613930"/>
    <w:rsid w:val="00613A23"/>
    <w:rsid w:val="00613E71"/>
    <w:rsid w:val="00613EE3"/>
    <w:rsid w:val="006141BC"/>
    <w:rsid w:val="0061431A"/>
    <w:rsid w:val="006143DE"/>
    <w:rsid w:val="006149A4"/>
    <w:rsid w:val="00614C8B"/>
    <w:rsid w:val="00614F58"/>
    <w:rsid w:val="00614FEB"/>
    <w:rsid w:val="0061506A"/>
    <w:rsid w:val="0061522D"/>
    <w:rsid w:val="00615570"/>
    <w:rsid w:val="00615880"/>
    <w:rsid w:val="00615C55"/>
    <w:rsid w:val="00615F1D"/>
    <w:rsid w:val="0061609E"/>
    <w:rsid w:val="00616165"/>
    <w:rsid w:val="006167C4"/>
    <w:rsid w:val="006168B1"/>
    <w:rsid w:val="00616959"/>
    <w:rsid w:val="006169ED"/>
    <w:rsid w:val="00616B06"/>
    <w:rsid w:val="00616C64"/>
    <w:rsid w:val="00616DE0"/>
    <w:rsid w:val="00616F5C"/>
    <w:rsid w:val="0061744A"/>
    <w:rsid w:val="00617779"/>
    <w:rsid w:val="0061793A"/>
    <w:rsid w:val="00617984"/>
    <w:rsid w:val="00617BFE"/>
    <w:rsid w:val="00617C20"/>
    <w:rsid w:val="00617D89"/>
    <w:rsid w:val="00620084"/>
    <w:rsid w:val="0062027A"/>
    <w:rsid w:val="006202A1"/>
    <w:rsid w:val="006205FC"/>
    <w:rsid w:val="00620AB4"/>
    <w:rsid w:val="00620B63"/>
    <w:rsid w:val="00620C42"/>
    <w:rsid w:val="00620D70"/>
    <w:rsid w:val="00620E79"/>
    <w:rsid w:val="00620F26"/>
    <w:rsid w:val="006210C5"/>
    <w:rsid w:val="006214EC"/>
    <w:rsid w:val="00621882"/>
    <w:rsid w:val="00621A52"/>
    <w:rsid w:val="00621A75"/>
    <w:rsid w:val="00621B07"/>
    <w:rsid w:val="00621EDB"/>
    <w:rsid w:val="006221BF"/>
    <w:rsid w:val="006222F5"/>
    <w:rsid w:val="0062243B"/>
    <w:rsid w:val="0062254E"/>
    <w:rsid w:val="0062275A"/>
    <w:rsid w:val="00623149"/>
    <w:rsid w:val="006231AC"/>
    <w:rsid w:val="0062327F"/>
    <w:rsid w:val="00623B1F"/>
    <w:rsid w:val="00624586"/>
    <w:rsid w:val="006246DC"/>
    <w:rsid w:val="00624881"/>
    <w:rsid w:val="00624D2F"/>
    <w:rsid w:val="006250B0"/>
    <w:rsid w:val="006251BF"/>
    <w:rsid w:val="00625439"/>
    <w:rsid w:val="00625854"/>
    <w:rsid w:val="00625D3F"/>
    <w:rsid w:val="00625E47"/>
    <w:rsid w:val="00626041"/>
    <w:rsid w:val="006261A4"/>
    <w:rsid w:val="00626390"/>
    <w:rsid w:val="0062644A"/>
    <w:rsid w:val="006264C5"/>
    <w:rsid w:val="00626504"/>
    <w:rsid w:val="00626523"/>
    <w:rsid w:val="0062661D"/>
    <w:rsid w:val="006266BF"/>
    <w:rsid w:val="00626821"/>
    <w:rsid w:val="00626840"/>
    <w:rsid w:val="006268D8"/>
    <w:rsid w:val="0062690A"/>
    <w:rsid w:val="0062697A"/>
    <w:rsid w:val="006269AA"/>
    <w:rsid w:val="00626BBF"/>
    <w:rsid w:val="00626C5E"/>
    <w:rsid w:val="00626D36"/>
    <w:rsid w:val="00627441"/>
    <w:rsid w:val="00627A66"/>
    <w:rsid w:val="00627A9E"/>
    <w:rsid w:val="0063032F"/>
    <w:rsid w:val="0063066A"/>
    <w:rsid w:val="0063081B"/>
    <w:rsid w:val="00630894"/>
    <w:rsid w:val="006308DC"/>
    <w:rsid w:val="00630B70"/>
    <w:rsid w:val="00630C18"/>
    <w:rsid w:val="00630D13"/>
    <w:rsid w:val="00630E67"/>
    <w:rsid w:val="0063114A"/>
    <w:rsid w:val="00631182"/>
    <w:rsid w:val="00631562"/>
    <w:rsid w:val="006315BF"/>
    <w:rsid w:val="006316F2"/>
    <w:rsid w:val="00631C77"/>
    <w:rsid w:val="00631E25"/>
    <w:rsid w:val="00631E32"/>
    <w:rsid w:val="00631EF0"/>
    <w:rsid w:val="00632174"/>
    <w:rsid w:val="00632217"/>
    <w:rsid w:val="0063278A"/>
    <w:rsid w:val="006328CC"/>
    <w:rsid w:val="00632B06"/>
    <w:rsid w:val="00632E2A"/>
    <w:rsid w:val="00633262"/>
    <w:rsid w:val="006334B0"/>
    <w:rsid w:val="006335AF"/>
    <w:rsid w:val="00633959"/>
    <w:rsid w:val="0063395B"/>
    <w:rsid w:val="00633981"/>
    <w:rsid w:val="00633D22"/>
    <w:rsid w:val="00633DA8"/>
    <w:rsid w:val="00633DC4"/>
    <w:rsid w:val="00633EBE"/>
    <w:rsid w:val="00634304"/>
    <w:rsid w:val="006343AA"/>
    <w:rsid w:val="0063478F"/>
    <w:rsid w:val="00634A8D"/>
    <w:rsid w:val="00634B8F"/>
    <w:rsid w:val="00634D69"/>
    <w:rsid w:val="00634EF5"/>
    <w:rsid w:val="00634F8D"/>
    <w:rsid w:val="00635073"/>
    <w:rsid w:val="00635122"/>
    <w:rsid w:val="00635449"/>
    <w:rsid w:val="00635A1A"/>
    <w:rsid w:val="00635A31"/>
    <w:rsid w:val="00635A8B"/>
    <w:rsid w:val="00635BA6"/>
    <w:rsid w:val="00635BB3"/>
    <w:rsid w:val="00635C06"/>
    <w:rsid w:val="00635EF2"/>
    <w:rsid w:val="00635FAD"/>
    <w:rsid w:val="00636559"/>
    <w:rsid w:val="006365DD"/>
    <w:rsid w:val="0063660E"/>
    <w:rsid w:val="00636F34"/>
    <w:rsid w:val="0063725D"/>
    <w:rsid w:val="00637288"/>
    <w:rsid w:val="00637334"/>
    <w:rsid w:val="0063786D"/>
    <w:rsid w:val="00637982"/>
    <w:rsid w:val="00637AB2"/>
    <w:rsid w:val="00637ACD"/>
    <w:rsid w:val="00637C76"/>
    <w:rsid w:val="00640003"/>
    <w:rsid w:val="00640435"/>
    <w:rsid w:val="006404B2"/>
    <w:rsid w:val="00640A2B"/>
    <w:rsid w:val="00641071"/>
    <w:rsid w:val="006410F3"/>
    <w:rsid w:val="00641107"/>
    <w:rsid w:val="0064111D"/>
    <w:rsid w:val="00641141"/>
    <w:rsid w:val="00641590"/>
    <w:rsid w:val="00641779"/>
    <w:rsid w:val="006418D1"/>
    <w:rsid w:val="00641A57"/>
    <w:rsid w:val="00641A89"/>
    <w:rsid w:val="00641D6F"/>
    <w:rsid w:val="00641FED"/>
    <w:rsid w:val="00642545"/>
    <w:rsid w:val="00642F47"/>
    <w:rsid w:val="0064319A"/>
    <w:rsid w:val="006432E6"/>
    <w:rsid w:val="006434BD"/>
    <w:rsid w:val="00643690"/>
    <w:rsid w:val="00643C38"/>
    <w:rsid w:val="00643C9B"/>
    <w:rsid w:val="00644198"/>
    <w:rsid w:val="0064421E"/>
    <w:rsid w:val="00644277"/>
    <w:rsid w:val="006442A2"/>
    <w:rsid w:val="00644321"/>
    <w:rsid w:val="0064445A"/>
    <w:rsid w:val="00644526"/>
    <w:rsid w:val="00644B43"/>
    <w:rsid w:val="00644D87"/>
    <w:rsid w:val="00644E98"/>
    <w:rsid w:val="00645142"/>
    <w:rsid w:val="0064524B"/>
    <w:rsid w:val="006456C2"/>
    <w:rsid w:val="00646104"/>
    <w:rsid w:val="00646177"/>
    <w:rsid w:val="00646218"/>
    <w:rsid w:val="00646287"/>
    <w:rsid w:val="0064663C"/>
    <w:rsid w:val="0064672E"/>
    <w:rsid w:val="00646796"/>
    <w:rsid w:val="006469D0"/>
    <w:rsid w:val="00646A11"/>
    <w:rsid w:val="00646B38"/>
    <w:rsid w:val="00646B88"/>
    <w:rsid w:val="00646C16"/>
    <w:rsid w:val="00646C75"/>
    <w:rsid w:val="0064716B"/>
    <w:rsid w:val="006472EE"/>
    <w:rsid w:val="00647393"/>
    <w:rsid w:val="006476D3"/>
    <w:rsid w:val="00647D90"/>
    <w:rsid w:val="00647E55"/>
    <w:rsid w:val="00647F86"/>
    <w:rsid w:val="00650059"/>
    <w:rsid w:val="00650244"/>
    <w:rsid w:val="00650263"/>
    <w:rsid w:val="006502B2"/>
    <w:rsid w:val="00650317"/>
    <w:rsid w:val="00650396"/>
    <w:rsid w:val="006504B1"/>
    <w:rsid w:val="006506E0"/>
    <w:rsid w:val="006507BE"/>
    <w:rsid w:val="00650D25"/>
    <w:rsid w:val="00651222"/>
    <w:rsid w:val="0065138A"/>
    <w:rsid w:val="00651489"/>
    <w:rsid w:val="0065162B"/>
    <w:rsid w:val="006518E7"/>
    <w:rsid w:val="00651A87"/>
    <w:rsid w:val="00651B25"/>
    <w:rsid w:val="00651C81"/>
    <w:rsid w:val="00651D24"/>
    <w:rsid w:val="00651DC0"/>
    <w:rsid w:val="00651F4A"/>
    <w:rsid w:val="00651F73"/>
    <w:rsid w:val="006521FA"/>
    <w:rsid w:val="006522A4"/>
    <w:rsid w:val="0065248C"/>
    <w:rsid w:val="0065249A"/>
    <w:rsid w:val="0065258F"/>
    <w:rsid w:val="00652633"/>
    <w:rsid w:val="006526CE"/>
    <w:rsid w:val="0065288F"/>
    <w:rsid w:val="00652C4B"/>
    <w:rsid w:val="00652CF3"/>
    <w:rsid w:val="00652EBB"/>
    <w:rsid w:val="00652F5C"/>
    <w:rsid w:val="006533B7"/>
    <w:rsid w:val="006533D9"/>
    <w:rsid w:val="006536AB"/>
    <w:rsid w:val="00653766"/>
    <w:rsid w:val="006539B0"/>
    <w:rsid w:val="00653A63"/>
    <w:rsid w:val="00653ACA"/>
    <w:rsid w:val="00653C70"/>
    <w:rsid w:val="00653E0A"/>
    <w:rsid w:val="00653FCF"/>
    <w:rsid w:val="00653FDA"/>
    <w:rsid w:val="006545E8"/>
    <w:rsid w:val="0065467D"/>
    <w:rsid w:val="006547FF"/>
    <w:rsid w:val="00654842"/>
    <w:rsid w:val="00654A40"/>
    <w:rsid w:val="00654C95"/>
    <w:rsid w:val="00654D87"/>
    <w:rsid w:val="006550F1"/>
    <w:rsid w:val="00655167"/>
    <w:rsid w:val="006551C9"/>
    <w:rsid w:val="0065547A"/>
    <w:rsid w:val="006558F8"/>
    <w:rsid w:val="00655AF5"/>
    <w:rsid w:val="006561F7"/>
    <w:rsid w:val="00656205"/>
    <w:rsid w:val="00656252"/>
    <w:rsid w:val="00656469"/>
    <w:rsid w:val="0065669C"/>
    <w:rsid w:val="006566F7"/>
    <w:rsid w:val="00656849"/>
    <w:rsid w:val="00656893"/>
    <w:rsid w:val="00656F35"/>
    <w:rsid w:val="006573B4"/>
    <w:rsid w:val="006573FA"/>
    <w:rsid w:val="0065799B"/>
    <w:rsid w:val="00657E04"/>
    <w:rsid w:val="00657FA8"/>
    <w:rsid w:val="0066010A"/>
    <w:rsid w:val="0066032D"/>
    <w:rsid w:val="00660646"/>
    <w:rsid w:val="006608E5"/>
    <w:rsid w:val="00660A34"/>
    <w:rsid w:val="00660BCB"/>
    <w:rsid w:val="00661572"/>
    <w:rsid w:val="00661809"/>
    <w:rsid w:val="00661822"/>
    <w:rsid w:val="00661A19"/>
    <w:rsid w:val="00661A33"/>
    <w:rsid w:val="00661DB2"/>
    <w:rsid w:val="00661F78"/>
    <w:rsid w:val="006621C8"/>
    <w:rsid w:val="0066221D"/>
    <w:rsid w:val="0066242A"/>
    <w:rsid w:val="006624DF"/>
    <w:rsid w:val="0066260B"/>
    <w:rsid w:val="006627CD"/>
    <w:rsid w:val="00662B83"/>
    <w:rsid w:val="006631AB"/>
    <w:rsid w:val="006632C8"/>
    <w:rsid w:val="006637C6"/>
    <w:rsid w:val="00663A61"/>
    <w:rsid w:val="00663AE6"/>
    <w:rsid w:val="00663D8D"/>
    <w:rsid w:val="00664169"/>
    <w:rsid w:val="006642C3"/>
    <w:rsid w:val="006648B0"/>
    <w:rsid w:val="00664B6E"/>
    <w:rsid w:val="00664C1F"/>
    <w:rsid w:val="00664C25"/>
    <w:rsid w:val="00664D95"/>
    <w:rsid w:val="00664F6F"/>
    <w:rsid w:val="0066517A"/>
    <w:rsid w:val="00665260"/>
    <w:rsid w:val="0066527A"/>
    <w:rsid w:val="006653CB"/>
    <w:rsid w:val="0066554C"/>
    <w:rsid w:val="006657AA"/>
    <w:rsid w:val="0066583F"/>
    <w:rsid w:val="00665C65"/>
    <w:rsid w:val="00666BE3"/>
    <w:rsid w:val="00666D75"/>
    <w:rsid w:val="00666DC2"/>
    <w:rsid w:val="00666E6D"/>
    <w:rsid w:val="0066730F"/>
    <w:rsid w:val="006676C1"/>
    <w:rsid w:val="00667ACC"/>
    <w:rsid w:val="00667B0B"/>
    <w:rsid w:val="00667F5A"/>
    <w:rsid w:val="00670105"/>
    <w:rsid w:val="00670124"/>
    <w:rsid w:val="0067013C"/>
    <w:rsid w:val="0067023B"/>
    <w:rsid w:val="0067083D"/>
    <w:rsid w:val="00670B16"/>
    <w:rsid w:val="00670C03"/>
    <w:rsid w:val="006712D4"/>
    <w:rsid w:val="006713DA"/>
    <w:rsid w:val="006714FF"/>
    <w:rsid w:val="00671559"/>
    <w:rsid w:val="006716CA"/>
    <w:rsid w:val="006719C2"/>
    <w:rsid w:val="00671A22"/>
    <w:rsid w:val="00671D14"/>
    <w:rsid w:val="00672016"/>
    <w:rsid w:val="006720F9"/>
    <w:rsid w:val="006724A6"/>
    <w:rsid w:val="0067250D"/>
    <w:rsid w:val="00672729"/>
    <w:rsid w:val="0067286B"/>
    <w:rsid w:val="00672A74"/>
    <w:rsid w:val="00672EF9"/>
    <w:rsid w:val="006731B8"/>
    <w:rsid w:val="0067347B"/>
    <w:rsid w:val="006734F8"/>
    <w:rsid w:val="00673531"/>
    <w:rsid w:val="00673603"/>
    <w:rsid w:val="00673823"/>
    <w:rsid w:val="006738DA"/>
    <w:rsid w:val="00673F82"/>
    <w:rsid w:val="00674153"/>
    <w:rsid w:val="00674187"/>
    <w:rsid w:val="00674259"/>
    <w:rsid w:val="00674539"/>
    <w:rsid w:val="006745A1"/>
    <w:rsid w:val="006746CF"/>
    <w:rsid w:val="00674841"/>
    <w:rsid w:val="00674953"/>
    <w:rsid w:val="00674A1E"/>
    <w:rsid w:val="00674A5C"/>
    <w:rsid w:val="00674F0F"/>
    <w:rsid w:val="0067508A"/>
    <w:rsid w:val="006753EC"/>
    <w:rsid w:val="00675574"/>
    <w:rsid w:val="00675788"/>
    <w:rsid w:val="006758B9"/>
    <w:rsid w:val="00675AF0"/>
    <w:rsid w:val="00675B24"/>
    <w:rsid w:val="00675B96"/>
    <w:rsid w:val="00675BFE"/>
    <w:rsid w:val="00675C1C"/>
    <w:rsid w:val="00675E3F"/>
    <w:rsid w:val="00675EA3"/>
    <w:rsid w:val="006760B8"/>
    <w:rsid w:val="00676175"/>
    <w:rsid w:val="00676283"/>
    <w:rsid w:val="0067649B"/>
    <w:rsid w:val="006764B5"/>
    <w:rsid w:val="0067688B"/>
    <w:rsid w:val="006769AC"/>
    <w:rsid w:val="00676C51"/>
    <w:rsid w:val="00676D37"/>
    <w:rsid w:val="00676E0C"/>
    <w:rsid w:val="006771BD"/>
    <w:rsid w:val="00677275"/>
    <w:rsid w:val="00677813"/>
    <w:rsid w:val="00677BB5"/>
    <w:rsid w:val="00677DEB"/>
    <w:rsid w:val="006800C3"/>
    <w:rsid w:val="0068023D"/>
    <w:rsid w:val="00680309"/>
    <w:rsid w:val="00680679"/>
    <w:rsid w:val="0068072B"/>
    <w:rsid w:val="0068087A"/>
    <w:rsid w:val="006808D7"/>
    <w:rsid w:val="00681003"/>
    <w:rsid w:val="006812EE"/>
    <w:rsid w:val="00681605"/>
    <w:rsid w:val="00681668"/>
    <w:rsid w:val="00681741"/>
    <w:rsid w:val="00681866"/>
    <w:rsid w:val="006819D5"/>
    <w:rsid w:val="006821CF"/>
    <w:rsid w:val="0068222E"/>
    <w:rsid w:val="0068227E"/>
    <w:rsid w:val="00682349"/>
    <w:rsid w:val="006824E5"/>
    <w:rsid w:val="0068259E"/>
    <w:rsid w:val="006826FA"/>
    <w:rsid w:val="006827F4"/>
    <w:rsid w:val="006830A2"/>
    <w:rsid w:val="006833E9"/>
    <w:rsid w:val="00683A4D"/>
    <w:rsid w:val="00683F7A"/>
    <w:rsid w:val="0068410F"/>
    <w:rsid w:val="0068424B"/>
    <w:rsid w:val="006843E4"/>
    <w:rsid w:val="00684ABF"/>
    <w:rsid w:val="00684BE4"/>
    <w:rsid w:val="00684D1C"/>
    <w:rsid w:val="00685499"/>
    <w:rsid w:val="006858A3"/>
    <w:rsid w:val="00685A38"/>
    <w:rsid w:val="00686257"/>
    <w:rsid w:val="006864CA"/>
    <w:rsid w:val="006866E7"/>
    <w:rsid w:val="00686CF9"/>
    <w:rsid w:val="00686DE1"/>
    <w:rsid w:val="00687088"/>
    <w:rsid w:val="006871C3"/>
    <w:rsid w:val="006871DB"/>
    <w:rsid w:val="006872C0"/>
    <w:rsid w:val="006876E6"/>
    <w:rsid w:val="00687943"/>
    <w:rsid w:val="00687A5A"/>
    <w:rsid w:val="00687A85"/>
    <w:rsid w:val="00687AF2"/>
    <w:rsid w:val="00687C74"/>
    <w:rsid w:val="00687E02"/>
    <w:rsid w:val="00687E46"/>
    <w:rsid w:val="00687E84"/>
    <w:rsid w:val="00687E9E"/>
    <w:rsid w:val="006900F2"/>
    <w:rsid w:val="00690243"/>
    <w:rsid w:val="00690353"/>
    <w:rsid w:val="0069059B"/>
    <w:rsid w:val="00690778"/>
    <w:rsid w:val="00690A2D"/>
    <w:rsid w:val="00690AE4"/>
    <w:rsid w:val="00690E4F"/>
    <w:rsid w:val="00690E63"/>
    <w:rsid w:val="00690FC6"/>
    <w:rsid w:val="00691041"/>
    <w:rsid w:val="0069114D"/>
    <w:rsid w:val="006912B3"/>
    <w:rsid w:val="006914E7"/>
    <w:rsid w:val="0069154B"/>
    <w:rsid w:val="0069171D"/>
    <w:rsid w:val="006917D6"/>
    <w:rsid w:val="00691BD2"/>
    <w:rsid w:val="00691D8F"/>
    <w:rsid w:val="00692004"/>
    <w:rsid w:val="006923D4"/>
    <w:rsid w:val="00692467"/>
    <w:rsid w:val="006925F4"/>
    <w:rsid w:val="006928DB"/>
    <w:rsid w:val="0069291B"/>
    <w:rsid w:val="00692F9A"/>
    <w:rsid w:val="00693195"/>
    <w:rsid w:val="006933FF"/>
    <w:rsid w:val="006937C1"/>
    <w:rsid w:val="00693924"/>
    <w:rsid w:val="00693C3B"/>
    <w:rsid w:val="00693EB5"/>
    <w:rsid w:val="00693F23"/>
    <w:rsid w:val="00693FFE"/>
    <w:rsid w:val="0069420C"/>
    <w:rsid w:val="00694329"/>
    <w:rsid w:val="0069433E"/>
    <w:rsid w:val="006943EB"/>
    <w:rsid w:val="0069442A"/>
    <w:rsid w:val="0069451A"/>
    <w:rsid w:val="006946F4"/>
    <w:rsid w:val="006947AD"/>
    <w:rsid w:val="006947E4"/>
    <w:rsid w:val="006948EB"/>
    <w:rsid w:val="006949FF"/>
    <w:rsid w:val="00694B21"/>
    <w:rsid w:val="00694FF8"/>
    <w:rsid w:val="00695153"/>
    <w:rsid w:val="0069552D"/>
    <w:rsid w:val="00695831"/>
    <w:rsid w:val="00695834"/>
    <w:rsid w:val="00695AFB"/>
    <w:rsid w:val="00695B7F"/>
    <w:rsid w:val="00695BDD"/>
    <w:rsid w:val="00695D10"/>
    <w:rsid w:val="00695DA5"/>
    <w:rsid w:val="00695E71"/>
    <w:rsid w:val="00695ED0"/>
    <w:rsid w:val="00696202"/>
    <w:rsid w:val="006962B6"/>
    <w:rsid w:val="00696326"/>
    <w:rsid w:val="00696837"/>
    <w:rsid w:val="0069691B"/>
    <w:rsid w:val="00696B0B"/>
    <w:rsid w:val="00696B44"/>
    <w:rsid w:val="00696F51"/>
    <w:rsid w:val="00697798"/>
    <w:rsid w:val="00697AEB"/>
    <w:rsid w:val="006A0044"/>
    <w:rsid w:val="006A04F5"/>
    <w:rsid w:val="006A0A7B"/>
    <w:rsid w:val="006A0C09"/>
    <w:rsid w:val="006A1214"/>
    <w:rsid w:val="006A13B5"/>
    <w:rsid w:val="006A151B"/>
    <w:rsid w:val="006A1583"/>
    <w:rsid w:val="006A19CA"/>
    <w:rsid w:val="006A1A20"/>
    <w:rsid w:val="006A1FDB"/>
    <w:rsid w:val="006A202B"/>
    <w:rsid w:val="006A2212"/>
    <w:rsid w:val="006A26FC"/>
    <w:rsid w:val="006A27A2"/>
    <w:rsid w:val="006A2927"/>
    <w:rsid w:val="006A2A8B"/>
    <w:rsid w:val="006A2B5A"/>
    <w:rsid w:val="006A2C10"/>
    <w:rsid w:val="006A305E"/>
    <w:rsid w:val="006A312B"/>
    <w:rsid w:val="006A3364"/>
    <w:rsid w:val="006A34D6"/>
    <w:rsid w:val="006A38F0"/>
    <w:rsid w:val="006A3983"/>
    <w:rsid w:val="006A3E59"/>
    <w:rsid w:val="006A4002"/>
    <w:rsid w:val="006A4696"/>
    <w:rsid w:val="006A47AF"/>
    <w:rsid w:val="006A4866"/>
    <w:rsid w:val="006A4994"/>
    <w:rsid w:val="006A4ABA"/>
    <w:rsid w:val="006A4C83"/>
    <w:rsid w:val="006A4D54"/>
    <w:rsid w:val="006A4F11"/>
    <w:rsid w:val="006A50F4"/>
    <w:rsid w:val="006A52B3"/>
    <w:rsid w:val="006A52D7"/>
    <w:rsid w:val="006A5349"/>
    <w:rsid w:val="006A5491"/>
    <w:rsid w:val="006A57D6"/>
    <w:rsid w:val="006A5A2B"/>
    <w:rsid w:val="006A5DB1"/>
    <w:rsid w:val="006A60E4"/>
    <w:rsid w:val="006A61B7"/>
    <w:rsid w:val="006A654C"/>
    <w:rsid w:val="006A6885"/>
    <w:rsid w:val="006A6C76"/>
    <w:rsid w:val="006A6D17"/>
    <w:rsid w:val="006A705D"/>
    <w:rsid w:val="006A72BA"/>
    <w:rsid w:val="006A76A8"/>
    <w:rsid w:val="006A7741"/>
    <w:rsid w:val="006A7EEF"/>
    <w:rsid w:val="006B03A1"/>
    <w:rsid w:val="006B04BC"/>
    <w:rsid w:val="006B058C"/>
    <w:rsid w:val="006B0FEC"/>
    <w:rsid w:val="006B1184"/>
    <w:rsid w:val="006B143F"/>
    <w:rsid w:val="006B14A2"/>
    <w:rsid w:val="006B172A"/>
    <w:rsid w:val="006B1CC5"/>
    <w:rsid w:val="006B1E61"/>
    <w:rsid w:val="006B207A"/>
    <w:rsid w:val="006B2100"/>
    <w:rsid w:val="006B2394"/>
    <w:rsid w:val="006B268E"/>
    <w:rsid w:val="006B26AF"/>
    <w:rsid w:val="006B2A2B"/>
    <w:rsid w:val="006B2BB0"/>
    <w:rsid w:val="006B2BE3"/>
    <w:rsid w:val="006B2E92"/>
    <w:rsid w:val="006B3044"/>
    <w:rsid w:val="006B319C"/>
    <w:rsid w:val="006B345C"/>
    <w:rsid w:val="006B3A9F"/>
    <w:rsid w:val="006B3E0B"/>
    <w:rsid w:val="006B3EA1"/>
    <w:rsid w:val="006B3F26"/>
    <w:rsid w:val="006B4369"/>
    <w:rsid w:val="006B4393"/>
    <w:rsid w:val="006B43F8"/>
    <w:rsid w:val="006B444C"/>
    <w:rsid w:val="006B4653"/>
    <w:rsid w:val="006B46BB"/>
    <w:rsid w:val="006B4904"/>
    <w:rsid w:val="006B4962"/>
    <w:rsid w:val="006B4DB8"/>
    <w:rsid w:val="006B53AD"/>
    <w:rsid w:val="006B5567"/>
    <w:rsid w:val="006B55DE"/>
    <w:rsid w:val="006B5773"/>
    <w:rsid w:val="006B58FA"/>
    <w:rsid w:val="006B5D8D"/>
    <w:rsid w:val="006B5FB7"/>
    <w:rsid w:val="006B6087"/>
    <w:rsid w:val="006B62DF"/>
    <w:rsid w:val="006B6448"/>
    <w:rsid w:val="006B646A"/>
    <w:rsid w:val="006B6852"/>
    <w:rsid w:val="006B6B7F"/>
    <w:rsid w:val="006B6C9C"/>
    <w:rsid w:val="006B6CFA"/>
    <w:rsid w:val="006B6DE7"/>
    <w:rsid w:val="006B6DF4"/>
    <w:rsid w:val="006B6F9D"/>
    <w:rsid w:val="006B7152"/>
    <w:rsid w:val="006B7192"/>
    <w:rsid w:val="006B759C"/>
    <w:rsid w:val="006B75A9"/>
    <w:rsid w:val="006B7728"/>
    <w:rsid w:val="006B773F"/>
    <w:rsid w:val="006B78B6"/>
    <w:rsid w:val="006B7A21"/>
    <w:rsid w:val="006B7AE4"/>
    <w:rsid w:val="006B7B2B"/>
    <w:rsid w:val="006B7CFB"/>
    <w:rsid w:val="006C08BF"/>
    <w:rsid w:val="006C0B06"/>
    <w:rsid w:val="006C0FEC"/>
    <w:rsid w:val="006C0FEF"/>
    <w:rsid w:val="006C1289"/>
    <w:rsid w:val="006C12BE"/>
    <w:rsid w:val="006C137C"/>
    <w:rsid w:val="006C1442"/>
    <w:rsid w:val="006C1559"/>
    <w:rsid w:val="006C1A69"/>
    <w:rsid w:val="006C1A7E"/>
    <w:rsid w:val="006C1A99"/>
    <w:rsid w:val="006C1D6E"/>
    <w:rsid w:val="006C1E3B"/>
    <w:rsid w:val="006C1E55"/>
    <w:rsid w:val="006C1EC3"/>
    <w:rsid w:val="006C281B"/>
    <w:rsid w:val="006C2881"/>
    <w:rsid w:val="006C2DB2"/>
    <w:rsid w:val="006C2DF0"/>
    <w:rsid w:val="006C3483"/>
    <w:rsid w:val="006C3612"/>
    <w:rsid w:val="006C371E"/>
    <w:rsid w:val="006C3F78"/>
    <w:rsid w:val="006C4615"/>
    <w:rsid w:val="006C4D0D"/>
    <w:rsid w:val="006C4D4D"/>
    <w:rsid w:val="006C4F8C"/>
    <w:rsid w:val="006C4F92"/>
    <w:rsid w:val="006C5626"/>
    <w:rsid w:val="006C5692"/>
    <w:rsid w:val="006C592C"/>
    <w:rsid w:val="006C5A3F"/>
    <w:rsid w:val="006C5CEF"/>
    <w:rsid w:val="006C6941"/>
    <w:rsid w:val="006C696B"/>
    <w:rsid w:val="006C6B19"/>
    <w:rsid w:val="006C6F7F"/>
    <w:rsid w:val="006C6FDC"/>
    <w:rsid w:val="006C72A2"/>
    <w:rsid w:val="006C741B"/>
    <w:rsid w:val="006C7710"/>
    <w:rsid w:val="006C77D6"/>
    <w:rsid w:val="006C791B"/>
    <w:rsid w:val="006C792A"/>
    <w:rsid w:val="006C7B7B"/>
    <w:rsid w:val="006C7BC2"/>
    <w:rsid w:val="006C7C22"/>
    <w:rsid w:val="006C7EF8"/>
    <w:rsid w:val="006D03EB"/>
    <w:rsid w:val="006D0743"/>
    <w:rsid w:val="006D0B08"/>
    <w:rsid w:val="006D0E95"/>
    <w:rsid w:val="006D0EAE"/>
    <w:rsid w:val="006D0EC9"/>
    <w:rsid w:val="006D0F25"/>
    <w:rsid w:val="006D0F31"/>
    <w:rsid w:val="006D1237"/>
    <w:rsid w:val="006D1458"/>
    <w:rsid w:val="006D14AF"/>
    <w:rsid w:val="006D150D"/>
    <w:rsid w:val="006D186D"/>
    <w:rsid w:val="006D1A65"/>
    <w:rsid w:val="006D2294"/>
    <w:rsid w:val="006D297A"/>
    <w:rsid w:val="006D2CA4"/>
    <w:rsid w:val="006D2F00"/>
    <w:rsid w:val="006D3110"/>
    <w:rsid w:val="006D34C0"/>
    <w:rsid w:val="006D3A80"/>
    <w:rsid w:val="006D3CB1"/>
    <w:rsid w:val="006D4090"/>
    <w:rsid w:val="006D40B9"/>
    <w:rsid w:val="006D4183"/>
    <w:rsid w:val="006D4682"/>
    <w:rsid w:val="006D488E"/>
    <w:rsid w:val="006D4F89"/>
    <w:rsid w:val="006D4F93"/>
    <w:rsid w:val="006D4FA7"/>
    <w:rsid w:val="006D5003"/>
    <w:rsid w:val="006D51DF"/>
    <w:rsid w:val="006D5280"/>
    <w:rsid w:val="006D54ED"/>
    <w:rsid w:val="006D5516"/>
    <w:rsid w:val="006D5BC4"/>
    <w:rsid w:val="006D5C0A"/>
    <w:rsid w:val="006D5E03"/>
    <w:rsid w:val="006D5EE0"/>
    <w:rsid w:val="006D5F65"/>
    <w:rsid w:val="006D6280"/>
    <w:rsid w:val="006D63CB"/>
    <w:rsid w:val="006D6A81"/>
    <w:rsid w:val="006D6ABA"/>
    <w:rsid w:val="006D6DB0"/>
    <w:rsid w:val="006D6EBF"/>
    <w:rsid w:val="006D6FDD"/>
    <w:rsid w:val="006D7187"/>
    <w:rsid w:val="006D749F"/>
    <w:rsid w:val="006D750A"/>
    <w:rsid w:val="006D77E4"/>
    <w:rsid w:val="006D7A43"/>
    <w:rsid w:val="006D7BB7"/>
    <w:rsid w:val="006D7CD4"/>
    <w:rsid w:val="006E03C1"/>
    <w:rsid w:val="006E05D4"/>
    <w:rsid w:val="006E069F"/>
    <w:rsid w:val="006E0786"/>
    <w:rsid w:val="006E0849"/>
    <w:rsid w:val="006E0B39"/>
    <w:rsid w:val="006E0D2D"/>
    <w:rsid w:val="006E0F2E"/>
    <w:rsid w:val="006E14D4"/>
    <w:rsid w:val="006E151F"/>
    <w:rsid w:val="006E18F1"/>
    <w:rsid w:val="006E1BA8"/>
    <w:rsid w:val="006E1BD2"/>
    <w:rsid w:val="006E1D45"/>
    <w:rsid w:val="006E2C96"/>
    <w:rsid w:val="006E2F2E"/>
    <w:rsid w:val="006E31F0"/>
    <w:rsid w:val="006E32D3"/>
    <w:rsid w:val="006E336C"/>
    <w:rsid w:val="006E3855"/>
    <w:rsid w:val="006E39FF"/>
    <w:rsid w:val="006E3B3D"/>
    <w:rsid w:val="006E3CB4"/>
    <w:rsid w:val="006E3E8A"/>
    <w:rsid w:val="006E3EFF"/>
    <w:rsid w:val="006E4058"/>
    <w:rsid w:val="006E40A8"/>
    <w:rsid w:val="006E46B4"/>
    <w:rsid w:val="006E476E"/>
    <w:rsid w:val="006E4CE2"/>
    <w:rsid w:val="006E5225"/>
    <w:rsid w:val="006E5356"/>
    <w:rsid w:val="006E5436"/>
    <w:rsid w:val="006E552A"/>
    <w:rsid w:val="006E5767"/>
    <w:rsid w:val="006E595C"/>
    <w:rsid w:val="006E5E80"/>
    <w:rsid w:val="006E605F"/>
    <w:rsid w:val="006E616D"/>
    <w:rsid w:val="006E61DA"/>
    <w:rsid w:val="006E61EF"/>
    <w:rsid w:val="006E654A"/>
    <w:rsid w:val="006E6557"/>
    <w:rsid w:val="006E65AA"/>
    <w:rsid w:val="006E6788"/>
    <w:rsid w:val="006E6CBD"/>
    <w:rsid w:val="006E6DD4"/>
    <w:rsid w:val="006E6EED"/>
    <w:rsid w:val="006E7030"/>
    <w:rsid w:val="006E70AE"/>
    <w:rsid w:val="006E7226"/>
    <w:rsid w:val="006E787F"/>
    <w:rsid w:val="006F0401"/>
    <w:rsid w:val="006F05BC"/>
    <w:rsid w:val="006F06BA"/>
    <w:rsid w:val="006F07DE"/>
    <w:rsid w:val="006F0CBB"/>
    <w:rsid w:val="006F0E7C"/>
    <w:rsid w:val="006F0F23"/>
    <w:rsid w:val="006F1099"/>
    <w:rsid w:val="006F135D"/>
    <w:rsid w:val="006F1554"/>
    <w:rsid w:val="006F1676"/>
    <w:rsid w:val="006F17B7"/>
    <w:rsid w:val="006F1C2A"/>
    <w:rsid w:val="006F1F81"/>
    <w:rsid w:val="006F2119"/>
    <w:rsid w:val="006F245E"/>
    <w:rsid w:val="006F24A3"/>
    <w:rsid w:val="006F2589"/>
    <w:rsid w:val="006F280C"/>
    <w:rsid w:val="006F2858"/>
    <w:rsid w:val="006F2888"/>
    <w:rsid w:val="006F2B05"/>
    <w:rsid w:val="006F2FA9"/>
    <w:rsid w:val="006F32B5"/>
    <w:rsid w:val="006F36AC"/>
    <w:rsid w:val="006F37E1"/>
    <w:rsid w:val="006F3840"/>
    <w:rsid w:val="006F3C19"/>
    <w:rsid w:val="006F454A"/>
    <w:rsid w:val="006F463A"/>
    <w:rsid w:val="006F4658"/>
    <w:rsid w:val="006F46E7"/>
    <w:rsid w:val="006F483C"/>
    <w:rsid w:val="006F4942"/>
    <w:rsid w:val="006F4C59"/>
    <w:rsid w:val="006F559D"/>
    <w:rsid w:val="006F55C0"/>
    <w:rsid w:val="006F5647"/>
    <w:rsid w:val="006F575F"/>
    <w:rsid w:val="006F57AA"/>
    <w:rsid w:val="006F5B3E"/>
    <w:rsid w:val="006F5DCA"/>
    <w:rsid w:val="006F5E45"/>
    <w:rsid w:val="006F604F"/>
    <w:rsid w:val="006F61BE"/>
    <w:rsid w:val="006F6479"/>
    <w:rsid w:val="006F66BC"/>
    <w:rsid w:val="006F6909"/>
    <w:rsid w:val="006F6945"/>
    <w:rsid w:val="006F69F7"/>
    <w:rsid w:val="006F6A23"/>
    <w:rsid w:val="006F6B14"/>
    <w:rsid w:val="006F6E86"/>
    <w:rsid w:val="006F6ED4"/>
    <w:rsid w:val="006F6FAE"/>
    <w:rsid w:val="006F70B3"/>
    <w:rsid w:val="006F7159"/>
    <w:rsid w:val="006F7189"/>
    <w:rsid w:val="006F719C"/>
    <w:rsid w:val="006F76E7"/>
    <w:rsid w:val="006F77A4"/>
    <w:rsid w:val="006F7929"/>
    <w:rsid w:val="006F79BC"/>
    <w:rsid w:val="006F7A61"/>
    <w:rsid w:val="006F7CB8"/>
    <w:rsid w:val="006F7EE3"/>
    <w:rsid w:val="006F7F16"/>
    <w:rsid w:val="00700050"/>
    <w:rsid w:val="00700073"/>
    <w:rsid w:val="0070008B"/>
    <w:rsid w:val="00700140"/>
    <w:rsid w:val="00700177"/>
    <w:rsid w:val="007001BF"/>
    <w:rsid w:val="00700608"/>
    <w:rsid w:val="00700DAE"/>
    <w:rsid w:val="007012B0"/>
    <w:rsid w:val="0070153B"/>
    <w:rsid w:val="007018CC"/>
    <w:rsid w:val="00701AE8"/>
    <w:rsid w:val="007022A9"/>
    <w:rsid w:val="0070233C"/>
    <w:rsid w:val="0070235C"/>
    <w:rsid w:val="007023D6"/>
    <w:rsid w:val="00702515"/>
    <w:rsid w:val="0070252D"/>
    <w:rsid w:val="007027CF"/>
    <w:rsid w:val="00702A54"/>
    <w:rsid w:val="00702B2C"/>
    <w:rsid w:val="00702B4D"/>
    <w:rsid w:val="00702BB4"/>
    <w:rsid w:val="0070317E"/>
    <w:rsid w:val="00703211"/>
    <w:rsid w:val="00703347"/>
    <w:rsid w:val="00703410"/>
    <w:rsid w:val="00703473"/>
    <w:rsid w:val="007036F2"/>
    <w:rsid w:val="00703718"/>
    <w:rsid w:val="007039AA"/>
    <w:rsid w:val="00703CB9"/>
    <w:rsid w:val="00703CE5"/>
    <w:rsid w:val="00704012"/>
    <w:rsid w:val="00704180"/>
    <w:rsid w:val="007042E9"/>
    <w:rsid w:val="007042FE"/>
    <w:rsid w:val="007043D3"/>
    <w:rsid w:val="00704850"/>
    <w:rsid w:val="00704B6C"/>
    <w:rsid w:val="00704DBA"/>
    <w:rsid w:val="00704E47"/>
    <w:rsid w:val="00704EDE"/>
    <w:rsid w:val="00704FF1"/>
    <w:rsid w:val="00705274"/>
    <w:rsid w:val="007052C7"/>
    <w:rsid w:val="0070558F"/>
    <w:rsid w:val="007055AD"/>
    <w:rsid w:val="00705F7F"/>
    <w:rsid w:val="0070603E"/>
    <w:rsid w:val="0070611A"/>
    <w:rsid w:val="0070632E"/>
    <w:rsid w:val="007064F1"/>
    <w:rsid w:val="007066D7"/>
    <w:rsid w:val="00706777"/>
    <w:rsid w:val="00706872"/>
    <w:rsid w:val="00706A98"/>
    <w:rsid w:val="00706D27"/>
    <w:rsid w:val="00706DAD"/>
    <w:rsid w:val="0070709A"/>
    <w:rsid w:val="00707498"/>
    <w:rsid w:val="0070798D"/>
    <w:rsid w:val="00707AD1"/>
    <w:rsid w:val="00707B19"/>
    <w:rsid w:val="00707BD0"/>
    <w:rsid w:val="00707EC4"/>
    <w:rsid w:val="00707F05"/>
    <w:rsid w:val="007100E8"/>
    <w:rsid w:val="007102EA"/>
    <w:rsid w:val="00710320"/>
    <w:rsid w:val="007105FD"/>
    <w:rsid w:val="00710633"/>
    <w:rsid w:val="007107B1"/>
    <w:rsid w:val="007108E4"/>
    <w:rsid w:val="00710A62"/>
    <w:rsid w:val="00710C0E"/>
    <w:rsid w:val="00710DBD"/>
    <w:rsid w:val="00710F49"/>
    <w:rsid w:val="00711221"/>
    <w:rsid w:val="00711457"/>
    <w:rsid w:val="00711918"/>
    <w:rsid w:val="00711942"/>
    <w:rsid w:val="00711A04"/>
    <w:rsid w:val="00711B97"/>
    <w:rsid w:val="00711D6D"/>
    <w:rsid w:val="00712024"/>
    <w:rsid w:val="0071207A"/>
    <w:rsid w:val="00712145"/>
    <w:rsid w:val="0071215F"/>
    <w:rsid w:val="00712497"/>
    <w:rsid w:val="00712649"/>
    <w:rsid w:val="0071296D"/>
    <w:rsid w:val="00712B9C"/>
    <w:rsid w:val="00712E9C"/>
    <w:rsid w:val="00712EC6"/>
    <w:rsid w:val="0071301A"/>
    <w:rsid w:val="00713044"/>
    <w:rsid w:val="0071305C"/>
    <w:rsid w:val="00713201"/>
    <w:rsid w:val="0071352D"/>
    <w:rsid w:val="007138A1"/>
    <w:rsid w:val="0071416A"/>
    <w:rsid w:val="0071439A"/>
    <w:rsid w:val="00714485"/>
    <w:rsid w:val="00714694"/>
    <w:rsid w:val="007146E6"/>
    <w:rsid w:val="007147E5"/>
    <w:rsid w:val="007147EC"/>
    <w:rsid w:val="00714A41"/>
    <w:rsid w:val="00714A87"/>
    <w:rsid w:val="00714CC6"/>
    <w:rsid w:val="00714D33"/>
    <w:rsid w:val="00714E8F"/>
    <w:rsid w:val="00715066"/>
    <w:rsid w:val="00715126"/>
    <w:rsid w:val="0071514C"/>
    <w:rsid w:val="00715438"/>
    <w:rsid w:val="0071550A"/>
    <w:rsid w:val="00715690"/>
    <w:rsid w:val="00715818"/>
    <w:rsid w:val="00715855"/>
    <w:rsid w:val="00715920"/>
    <w:rsid w:val="007159EE"/>
    <w:rsid w:val="00715E62"/>
    <w:rsid w:val="00715EA6"/>
    <w:rsid w:val="00715EF5"/>
    <w:rsid w:val="007163AF"/>
    <w:rsid w:val="0071732F"/>
    <w:rsid w:val="007174CC"/>
    <w:rsid w:val="00717528"/>
    <w:rsid w:val="00717544"/>
    <w:rsid w:val="00717552"/>
    <w:rsid w:val="00717979"/>
    <w:rsid w:val="00717C37"/>
    <w:rsid w:val="00720188"/>
    <w:rsid w:val="00720583"/>
    <w:rsid w:val="007208D0"/>
    <w:rsid w:val="00720DD8"/>
    <w:rsid w:val="00720E38"/>
    <w:rsid w:val="007213B0"/>
    <w:rsid w:val="007214EE"/>
    <w:rsid w:val="00721559"/>
    <w:rsid w:val="00721CB2"/>
    <w:rsid w:val="00721DF8"/>
    <w:rsid w:val="00721E51"/>
    <w:rsid w:val="00721F78"/>
    <w:rsid w:val="007221BF"/>
    <w:rsid w:val="00722202"/>
    <w:rsid w:val="007223A8"/>
    <w:rsid w:val="007223B1"/>
    <w:rsid w:val="007225A1"/>
    <w:rsid w:val="00722814"/>
    <w:rsid w:val="00722901"/>
    <w:rsid w:val="00722E13"/>
    <w:rsid w:val="00722E55"/>
    <w:rsid w:val="00722FC7"/>
    <w:rsid w:val="00723452"/>
    <w:rsid w:val="0072357C"/>
    <w:rsid w:val="00723B8C"/>
    <w:rsid w:val="00724304"/>
    <w:rsid w:val="007243B8"/>
    <w:rsid w:val="0072480B"/>
    <w:rsid w:val="00724A58"/>
    <w:rsid w:val="00724D77"/>
    <w:rsid w:val="00724F54"/>
    <w:rsid w:val="007252D3"/>
    <w:rsid w:val="00725341"/>
    <w:rsid w:val="00725483"/>
    <w:rsid w:val="00725987"/>
    <w:rsid w:val="00725BC6"/>
    <w:rsid w:val="00725CD4"/>
    <w:rsid w:val="00725D09"/>
    <w:rsid w:val="007261D5"/>
    <w:rsid w:val="00726528"/>
    <w:rsid w:val="007266A5"/>
    <w:rsid w:val="00726969"/>
    <w:rsid w:val="00727140"/>
    <w:rsid w:val="007271C6"/>
    <w:rsid w:val="00727289"/>
    <w:rsid w:val="007276BB"/>
    <w:rsid w:val="00727822"/>
    <w:rsid w:val="007278D8"/>
    <w:rsid w:val="007278E3"/>
    <w:rsid w:val="00727AAE"/>
    <w:rsid w:val="00727AF8"/>
    <w:rsid w:val="00727CD8"/>
    <w:rsid w:val="0072995A"/>
    <w:rsid w:val="0073015D"/>
    <w:rsid w:val="007305D9"/>
    <w:rsid w:val="00730AFE"/>
    <w:rsid w:val="00731670"/>
    <w:rsid w:val="007316E2"/>
    <w:rsid w:val="00731DB1"/>
    <w:rsid w:val="007320DE"/>
    <w:rsid w:val="007325C9"/>
    <w:rsid w:val="00732635"/>
    <w:rsid w:val="007327A9"/>
    <w:rsid w:val="007327C1"/>
    <w:rsid w:val="00732B46"/>
    <w:rsid w:val="00732E7D"/>
    <w:rsid w:val="00733089"/>
    <w:rsid w:val="00733125"/>
    <w:rsid w:val="007333B0"/>
    <w:rsid w:val="00733481"/>
    <w:rsid w:val="007339A7"/>
    <w:rsid w:val="00733D35"/>
    <w:rsid w:val="00733E39"/>
    <w:rsid w:val="00733EF0"/>
    <w:rsid w:val="00734163"/>
    <w:rsid w:val="00734190"/>
    <w:rsid w:val="00734192"/>
    <w:rsid w:val="007343FE"/>
    <w:rsid w:val="00734A86"/>
    <w:rsid w:val="00734A8C"/>
    <w:rsid w:val="00734DE3"/>
    <w:rsid w:val="00734EC2"/>
    <w:rsid w:val="007350C5"/>
    <w:rsid w:val="007353D9"/>
    <w:rsid w:val="007354BB"/>
    <w:rsid w:val="007358F1"/>
    <w:rsid w:val="007359CC"/>
    <w:rsid w:val="00735B8D"/>
    <w:rsid w:val="007361FC"/>
    <w:rsid w:val="0073622A"/>
    <w:rsid w:val="007362B4"/>
    <w:rsid w:val="007369E8"/>
    <w:rsid w:val="00736A8B"/>
    <w:rsid w:val="00736B62"/>
    <w:rsid w:val="00736FAD"/>
    <w:rsid w:val="007370C5"/>
    <w:rsid w:val="007373DB"/>
    <w:rsid w:val="00737971"/>
    <w:rsid w:val="00737C41"/>
    <w:rsid w:val="00737C9D"/>
    <w:rsid w:val="0074020B"/>
    <w:rsid w:val="00740311"/>
    <w:rsid w:val="0074043A"/>
    <w:rsid w:val="0074059C"/>
    <w:rsid w:val="007406CE"/>
    <w:rsid w:val="00740737"/>
    <w:rsid w:val="0074098F"/>
    <w:rsid w:val="00740E21"/>
    <w:rsid w:val="00741249"/>
    <w:rsid w:val="00741345"/>
    <w:rsid w:val="00741D45"/>
    <w:rsid w:val="0074214F"/>
    <w:rsid w:val="007425B0"/>
    <w:rsid w:val="007427AD"/>
    <w:rsid w:val="00742C29"/>
    <w:rsid w:val="00742C8E"/>
    <w:rsid w:val="00742EBF"/>
    <w:rsid w:val="007434A2"/>
    <w:rsid w:val="00743561"/>
    <w:rsid w:val="0074357A"/>
    <w:rsid w:val="0074360D"/>
    <w:rsid w:val="00743A95"/>
    <w:rsid w:val="00743FB0"/>
    <w:rsid w:val="00743FEF"/>
    <w:rsid w:val="007442B6"/>
    <w:rsid w:val="00744452"/>
    <w:rsid w:val="0074449F"/>
    <w:rsid w:val="007444E0"/>
    <w:rsid w:val="00744643"/>
    <w:rsid w:val="00744696"/>
    <w:rsid w:val="0074494C"/>
    <w:rsid w:val="00744997"/>
    <w:rsid w:val="00744AF2"/>
    <w:rsid w:val="00744CFD"/>
    <w:rsid w:val="00744DB5"/>
    <w:rsid w:val="00744E44"/>
    <w:rsid w:val="00744FCF"/>
    <w:rsid w:val="0074528D"/>
    <w:rsid w:val="00745335"/>
    <w:rsid w:val="00745638"/>
    <w:rsid w:val="00745832"/>
    <w:rsid w:val="00745907"/>
    <w:rsid w:val="00745C0A"/>
    <w:rsid w:val="00745D07"/>
    <w:rsid w:val="007462D6"/>
    <w:rsid w:val="0074636C"/>
    <w:rsid w:val="00746982"/>
    <w:rsid w:val="00746E5E"/>
    <w:rsid w:val="0074702C"/>
    <w:rsid w:val="007470E7"/>
    <w:rsid w:val="007471ED"/>
    <w:rsid w:val="00747248"/>
    <w:rsid w:val="007473CF"/>
    <w:rsid w:val="007473FB"/>
    <w:rsid w:val="00747DE2"/>
    <w:rsid w:val="007504E0"/>
    <w:rsid w:val="007504E4"/>
    <w:rsid w:val="00750A3D"/>
    <w:rsid w:val="00750C6E"/>
    <w:rsid w:val="00750C7A"/>
    <w:rsid w:val="00750DF7"/>
    <w:rsid w:val="00750EF6"/>
    <w:rsid w:val="00750FFC"/>
    <w:rsid w:val="00751008"/>
    <w:rsid w:val="00751547"/>
    <w:rsid w:val="0075162F"/>
    <w:rsid w:val="0075163D"/>
    <w:rsid w:val="007518B7"/>
    <w:rsid w:val="00751A1E"/>
    <w:rsid w:val="00751CBD"/>
    <w:rsid w:val="00751D36"/>
    <w:rsid w:val="0075207E"/>
    <w:rsid w:val="007522F3"/>
    <w:rsid w:val="00752527"/>
    <w:rsid w:val="00752674"/>
    <w:rsid w:val="007527D3"/>
    <w:rsid w:val="0075294A"/>
    <w:rsid w:val="0075361B"/>
    <w:rsid w:val="007537EC"/>
    <w:rsid w:val="00753903"/>
    <w:rsid w:val="0075391C"/>
    <w:rsid w:val="0075397F"/>
    <w:rsid w:val="00753C3E"/>
    <w:rsid w:val="00753CFC"/>
    <w:rsid w:val="00753D66"/>
    <w:rsid w:val="00753EDC"/>
    <w:rsid w:val="007540DA"/>
    <w:rsid w:val="00754216"/>
    <w:rsid w:val="0075464C"/>
    <w:rsid w:val="00754AC8"/>
    <w:rsid w:val="00754AEB"/>
    <w:rsid w:val="00754D66"/>
    <w:rsid w:val="00754E3C"/>
    <w:rsid w:val="00754EC9"/>
    <w:rsid w:val="00754F52"/>
    <w:rsid w:val="0075504E"/>
    <w:rsid w:val="007552D1"/>
    <w:rsid w:val="0075540D"/>
    <w:rsid w:val="00755417"/>
    <w:rsid w:val="007556A7"/>
    <w:rsid w:val="007556C2"/>
    <w:rsid w:val="00755804"/>
    <w:rsid w:val="0075604E"/>
    <w:rsid w:val="00756172"/>
    <w:rsid w:val="0075628A"/>
    <w:rsid w:val="007564D7"/>
    <w:rsid w:val="00756565"/>
    <w:rsid w:val="0075664D"/>
    <w:rsid w:val="00756693"/>
    <w:rsid w:val="0075676A"/>
    <w:rsid w:val="007567EA"/>
    <w:rsid w:val="007568C1"/>
    <w:rsid w:val="00756B31"/>
    <w:rsid w:val="00757193"/>
    <w:rsid w:val="0075728F"/>
    <w:rsid w:val="0075763F"/>
    <w:rsid w:val="0075767D"/>
    <w:rsid w:val="00757A26"/>
    <w:rsid w:val="00757AF0"/>
    <w:rsid w:val="00757B37"/>
    <w:rsid w:val="00757C2E"/>
    <w:rsid w:val="00760000"/>
    <w:rsid w:val="007601C3"/>
    <w:rsid w:val="007605E7"/>
    <w:rsid w:val="00760E2F"/>
    <w:rsid w:val="00760E3B"/>
    <w:rsid w:val="00760F81"/>
    <w:rsid w:val="0076157B"/>
    <w:rsid w:val="00761841"/>
    <w:rsid w:val="00761A1D"/>
    <w:rsid w:val="00761A8B"/>
    <w:rsid w:val="00761A98"/>
    <w:rsid w:val="00762738"/>
    <w:rsid w:val="0076292E"/>
    <w:rsid w:val="007632EB"/>
    <w:rsid w:val="00763474"/>
    <w:rsid w:val="007636F0"/>
    <w:rsid w:val="00763D09"/>
    <w:rsid w:val="00763F81"/>
    <w:rsid w:val="00764035"/>
    <w:rsid w:val="007642EC"/>
    <w:rsid w:val="0076456A"/>
    <w:rsid w:val="00764576"/>
    <w:rsid w:val="007646A8"/>
    <w:rsid w:val="007646D8"/>
    <w:rsid w:val="0076471A"/>
    <w:rsid w:val="00764752"/>
    <w:rsid w:val="007647DD"/>
    <w:rsid w:val="00764811"/>
    <w:rsid w:val="00764B1E"/>
    <w:rsid w:val="007653C8"/>
    <w:rsid w:val="007654BE"/>
    <w:rsid w:val="007655E9"/>
    <w:rsid w:val="007656EF"/>
    <w:rsid w:val="0076581C"/>
    <w:rsid w:val="007658F3"/>
    <w:rsid w:val="00765A27"/>
    <w:rsid w:val="00765A84"/>
    <w:rsid w:val="00765AE7"/>
    <w:rsid w:val="00765C65"/>
    <w:rsid w:val="00765F5E"/>
    <w:rsid w:val="00766137"/>
    <w:rsid w:val="007663B5"/>
    <w:rsid w:val="00766587"/>
    <w:rsid w:val="0076696C"/>
    <w:rsid w:val="00766ABF"/>
    <w:rsid w:val="00766AE1"/>
    <w:rsid w:val="00766BF9"/>
    <w:rsid w:val="007671BE"/>
    <w:rsid w:val="00767591"/>
    <w:rsid w:val="00767682"/>
    <w:rsid w:val="007676F6"/>
    <w:rsid w:val="00767BF2"/>
    <w:rsid w:val="00767E19"/>
    <w:rsid w:val="0077064E"/>
    <w:rsid w:val="0077072A"/>
    <w:rsid w:val="0077086D"/>
    <w:rsid w:val="00770A60"/>
    <w:rsid w:val="00770A6F"/>
    <w:rsid w:val="00770C65"/>
    <w:rsid w:val="00770ED2"/>
    <w:rsid w:val="00770FA4"/>
    <w:rsid w:val="00771132"/>
    <w:rsid w:val="0077117A"/>
    <w:rsid w:val="007711A0"/>
    <w:rsid w:val="00771283"/>
    <w:rsid w:val="007727D6"/>
    <w:rsid w:val="007729A9"/>
    <w:rsid w:val="00772A5E"/>
    <w:rsid w:val="00772A84"/>
    <w:rsid w:val="00772BCD"/>
    <w:rsid w:val="00772D15"/>
    <w:rsid w:val="00773009"/>
    <w:rsid w:val="00773117"/>
    <w:rsid w:val="00773181"/>
    <w:rsid w:val="007732A5"/>
    <w:rsid w:val="0077340F"/>
    <w:rsid w:val="00773674"/>
    <w:rsid w:val="00773756"/>
    <w:rsid w:val="00773C1C"/>
    <w:rsid w:val="00773C96"/>
    <w:rsid w:val="00773D4D"/>
    <w:rsid w:val="00773E80"/>
    <w:rsid w:val="00773E82"/>
    <w:rsid w:val="00774123"/>
    <w:rsid w:val="007741F3"/>
    <w:rsid w:val="00774458"/>
    <w:rsid w:val="00774CF4"/>
    <w:rsid w:val="00774E98"/>
    <w:rsid w:val="00774EDF"/>
    <w:rsid w:val="0077533A"/>
    <w:rsid w:val="007754FC"/>
    <w:rsid w:val="00775590"/>
    <w:rsid w:val="00775707"/>
    <w:rsid w:val="00775BDF"/>
    <w:rsid w:val="00775C93"/>
    <w:rsid w:val="0077611C"/>
    <w:rsid w:val="007762EA"/>
    <w:rsid w:val="00776465"/>
    <w:rsid w:val="00776513"/>
    <w:rsid w:val="0077697B"/>
    <w:rsid w:val="00776B77"/>
    <w:rsid w:val="00776BF8"/>
    <w:rsid w:val="00776D60"/>
    <w:rsid w:val="00776DFF"/>
    <w:rsid w:val="00776E42"/>
    <w:rsid w:val="00776F12"/>
    <w:rsid w:val="00776F40"/>
    <w:rsid w:val="0077704E"/>
    <w:rsid w:val="0077713F"/>
    <w:rsid w:val="0077721C"/>
    <w:rsid w:val="00777440"/>
    <w:rsid w:val="0077779B"/>
    <w:rsid w:val="00777843"/>
    <w:rsid w:val="007778E2"/>
    <w:rsid w:val="00777BC2"/>
    <w:rsid w:val="00777CB2"/>
    <w:rsid w:val="00777E41"/>
    <w:rsid w:val="0077DA2F"/>
    <w:rsid w:val="00780076"/>
    <w:rsid w:val="00780165"/>
    <w:rsid w:val="00780766"/>
    <w:rsid w:val="00780811"/>
    <w:rsid w:val="00780B2F"/>
    <w:rsid w:val="00780BB5"/>
    <w:rsid w:val="00780CC3"/>
    <w:rsid w:val="00780E1B"/>
    <w:rsid w:val="00780FEE"/>
    <w:rsid w:val="007810C0"/>
    <w:rsid w:val="00781443"/>
    <w:rsid w:val="007814C2"/>
    <w:rsid w:val="0078155C"/>
    <w:rsid w:val="0078155F"/>
    <w:rsid w:val="00781892"/>
    <w:rsid w:val="007824AF"/>
    <w:rsid w:val="00782548"/>
    <w:rsid w:val="007827B6"/>
    <w:rsid w:val="00782AA4"/>
    <w:rsid w:val="00782B08"/>
    <w:rsid w:val="00783350"/>
    <w:rsid w:val="0078378A"/>
    <w:rsid w:val="0078378F"/>
    <w:rsid w:val="007837B3"/>
    <w:rsid w:val="00783869"/>
    <w:rsid w:val="0078395E"/>
    <w:rsid w:val="00783A06"/>
    <w:rsid w:val="00783AD2"/>
    <w:rsid w:val="00783BA3"/>
    <w:rsid w:val="00783E5D"/>
    <w:rsid w:val="00784199"/>
    <w:rsid w:val="007841BC"/>
    <w:rsid w:val="0078442E"/>
    <w:rsid w:val="00784590"/>
    <w:rsid w:val="0078462D"/>
    <w:rsid w:val="00784AAF"/>
    <w:rsid w:val="00784B13"/>
    <w:rsid w:val="00784BF4"/>
    <w:rsid w:val="00784D0A"/>
    <w:rsid w:val="00784F7B"/>
    <w:rsid w:val="007850F7"/>
    <w:rsid w:val="007852E6"/>
    <w:rsid w:val="0078533F"/>
    <w:rsid w:val="00785442"/>
    <w:rsid w:val="00785574"/>
    <w:rsid w:val="00785660"/>
    <w:rsid w:val="00785A07"/>
    <w:rsid w:val="00785E3F"/>
    <w:rsid w:val="00785E55"/>
    <w:rsid w:val="00786051"/>
    <w:rsid w:val="007861EC"/>
    <w:rsid w:val="0078671E"/>
    <w:rsid w:val="007871CE"/>
    <w:rsid w:val="007872E1"/>
    <w:rsid w:val="0078731C"/>
    <w:rsid w:val="007876CC"/>
    <w:rsid w:val="007877EB"/>
    <w:rsid w:val="00787A36"/>
    <w:rsid w:val="00787A84"/>
    <w:rsid w:val="00787B36"/>
    <w:rsid w:val="00787BAA"/>
    <w:rsid w:val="00787CD9"/>
    <w:rsid w:val="00787E10"/>
    <w:rsid w:val="00787F7B"/>
    <w:rsid w:val="00787FAB"/>
    <w:rsid w:val="0079012D"/>
    <w:rsid w:val="0079068E"/>
    <w:rsid w:val="007908A6"/>
    <w:rsid w:val="00790935"/>
    <w:rsid w:val="00790AB6"/>
    <w:rsid w:val="00790C26"/>
    <w:rsid w:val="00790E89"/>
    <w:rsid w:val="0079129F"/>
    <w:rsid w:val="007912D3"/>
    <w:rsid w:val="00791351"/>
    <w:rsid w:val="00791ADC"/>
    <w:rsid w:val="00792162"/>
    <w:rsid w:val="00792340"/>
    <w:rsid w:val="00792884"/>
    <w:rsid w:val="00792A01"/>
    <w:rsid w:val="00792B9E"/>
    <w:rsid w:val="00792F75"/>
    <w:rsid w:val="007931E8"/>
    <w:rsid w:val="00793209"/>
    <w:rsid w:val="007934AC"/>
    <w:rsid w:val="007935D8"/>
    <w:rsid w:val="007935E7"/>
    <w:rsid w:val="007937A6"/>
    <w:rsid w:val="007937AF"/>
    <w:rsid w:val="00793D23"/>
    <w:rsid w:val="00793F2F"/>
    <w:rsid w:val="00793FE8"/>
    <w:rsid w:val="0079402F"/>
    <w:rsid w:val="00794168"/>
    <w:rsid w:val="007946E8"/>
    <w:rsid w:val="00794861"/>
    <w:rsid w:val="0079490C"/>
    <w:rsid w:val="00794C20"/>
    <w:rsid w:val="00795263"/>
    <w:rsid w:val="007952CA"/>
    <w:rsid w:val="007956F5"/>
    <w:rsid w:val="0079575B"/>
    <w:rsid w:val="007959C9"/>
    <w:rsid w:val="00795D3E"/>
    <w:rsid w:val="00795F5C"/>
    <w:rsid w:val="007960AF"/>
    <w:rsid w:val="00796300"/>
    <w:rsid w:val="007964BD"/>
    <w:rsid w:val="0079650E"/>
    <w:rsid w:val="007967EE"/>
    <w:rsid w:val="00796DC0"/>
    <w:rsid w:val="00796E99"/>
    <w:rsid w:val="007972EE"/>
    <w:rsid w:val="007972EF"/>
    <w:rsid w:val="007975E0"/>
    <w:rsid w:val="0079770D"/>
    <w:rsid w:val="007979B4"/>
    <w:rsid w:val="00797BC7"/>
    <w:rsid w:val="00797DFB"/>
    <w:rsid w:val="007A000A"/>
    <w:rsid w:val="007A039A"/>
    <w:rsid w:val="007A045D"/>
    <w:rsid w:val="007A0650"/>
    <w:rsid w:val="007A085E"/>
    <w:rsid w:val="007A08F5"/>
    <w:rsid w:val="007A10F4"/>
    <w:rsid w:val="007A11B5"/>
    <w:rsid w:val="007A1462"/>
    <w:rsid w:val="007A15E8"/>
    <w:rsid w:val="007A1A09"/>
    <w:rsid w:val="007A1D4B"/>
    <w:rsid w:val="007A1D5F"/>
    <w:rsid w:val="007A1E00"/>
    <w:rsid w:val="007A1F2D"/>
    <w:rsid w:val="007A2292"/>
    <w:rsid w:val="007A25A3"/>
    <w:rsid w:val="007A27C5"/>
    <w:rsid w:val="007A2850"/>
    <w:rsid w:val="007A28C5"/>
    <w:rsid w:val="007A28EE"/>
    <w:rsid w:val="007A2943"/>
    <w:rsid w:val="007A29A1"/>
    <w:rsid w:val="007A2AD2"/>
    <w:rsid w:val="007A2B20"/>
    <w:rsid w:val="007A2E32"/>
    <w:rsid w:val="007A2E4A"/>
    <w:rsid w:val="007A2FF7"/>
    <w:rsid w:val="007A30B2"/>
    <w:rsid w:val="007A319A"/>
    <w:rsid w:val="007A3477"/>
    <w:rsid w:val="007A396A"/>
    <w:rsid w:val="007A3B3E"/>
    <w:rsid w:val="007A422E"/>
    <w:rsid w:val="007A43FF"/>
    <w:rsid w:val="007A45EE"/>
    <w:rsid w:val="007A491C"/>
    <w:rsid w:val="007A4A1F"/>
    <w:rsid w:val="007A4B0E"/>
    <w:rsid w:val="007A4BEC"/>
    <w:rsid w:val="007A4E2B"/>
    <w:rsid w:val="007A501A"/>
    <w:rsid w:val="007A52F9"/>
    <w:rsid w:val="007A54E2"/>
    <w:rsid w:val="007A567C"/>
    <w:rsid w:val="007A56C7"/>
    <w:rsid w:val="007A56FC"/>
    <w:rsid w:val="007A5A8C"/>
    <w:rsid w:val="007A5B42"/>
    <w:rsid w:val="007A5B56"/>
    <w:rsid w:val="007A5E49"/>
    <w:rsid w:val="007A5F87"/>
    <w:rsid w:val="007A6085"/>
    <w:rsid w:val="007A617A"/>
    <w:rsid w:val="007A6471"/>
    <w:rsid w:val="007A6886"/>
    <w:rsid w:val="007A68DA"/>
    <w:rsid w:val="007A6A18"/>
    <w:rsid w:val="007A6BF5"/>
    <w:rsid w:val="007A6E6C"/>
    <w:rsid w:val="007A70BB"/>
    <w:rsid w:val="007A76B7"/>
    <w:rsid w:val="007A7979"/>
    <w:rsid w:val="007A79A5"/>
    <w:rsid w:val="007A7A57"/>
    <w:rsid w:val="007A7BE5"/>
    <w:rsid w:val="007A7C33"/>
    <w:rsid w:val="007A7D00"/>
    <w:rsid w:val="007B007E"/>
    <w:rsid w:val="007B0113"/>
    <w:rsid w:val="007B014B"/>
    <w:rsid w:val="007B02F8"/>
    <w:rsid w:val="007B037E"/>
    <w:rsid w:val="007B03EC"/>
    <w:rsid w:val="007B0694"/>
    <w:rsid w:val="007B069D"/>
    <w:rsid w:val="007B06D1"/>
    <w:rsid w:val="007B0985"/>
    <w:rsid w:val="007B0DE7"/>
    <w:rsid w:val="007B0F29"/>
    <w:rsid w:val="007B11E8"/>
    <w:rsid w:val="007B1209"/>
    <w:rsid w:val="007B151D"/>
    <w:rsid w:val="007B1617"/>
    <w:rsid w:val="007B182B"/>
    <w:rsid w:val="007B1913"/>
    <w:rsid w:val="007B1E90"/>
    <w:rsid w:val="007B1EE4"/>
    <w:rsid w:val="007B2464"/>
    <w:rsid w:val="007B2781"/>
    <w:rsid w:val="007B284C"/>
    <w:rsid w:val="007B28E5"/>
    <w:rsid w:val="007B2944"/>
    <w:rsid w:val="007B2A12"/>
    <w:rsid w:val="007B2A96"/>
    <w:rsid w:val="007B2C2D"/>
    <w:rsid w:val="007B2CEA"/>
    <w:rsid w:val="007B2FC7"/>
    <w:rsid w:val="007B3224"/>
    <w:rsid w:val="007B32D7"/>
    <w:rsid w:val="007B32E5"/>
    <w:rsid w:val="007B3419"/>
    <w:rsid w:val="007B3930"/>
    <w:rsid w:val="007B3931"/>
    <w:rsid w:val="007B3946"/>
    <w:rsid w:val="007B3988"/>
    <w:rsid w:val="007B3B7A"/>
    <w:rsid w:val="007B3EA2"/>
    <w:rsid w:val="007B4F7B"/>
    <w:rsid w:val="007B5031"/>
    <w:rsid w:val="007B52F4"/>
    <w:rsid w:val="007B5360"/>
    <w:rsid w:val="007B5769"/>
    <w:rsid w:val="007B5992"/>
    <w:rsid w:val="007B59A1"/>
    <w:rsid w:val="007B5B84"/>
    <w:rsid w:val="007B5C4B"/>
    <w:rsid w:val="007B6038"/>
    <w:rsid w:val="007B6127"/>
    <w:rsid w:val="007B61E5"/>
    <w:rsid w:val="007B6232"/>
    <w:rsid w:val="007B63C8"/>
    <w:rsid w:val="007B6670"/>
    <w:rsid w:val="007B673C"/>
    <w:rsid w:val="007B71C2"/>
    <w:rsid w:val="007B73FA"/>
    <w:rsid w:val="007B7503"/>
    <w:rsid w:val="007B7573"/>
    <w:rsid w:val="007B75E8"/>
    <w:rsid w:val="007B785A"/>
    <w:rsid w:val="007B7B8D"/>
    <w:rsid w:val="007B7BEB"/>
    <w:rsid w:val="007B7D97"/>
    <w:rsid w:val="007B7F10"/>
    <w:rsid w:val="007C0139"/>
    <w:rsid w:val="007C05A9"/>
    <w:rsid w:val="007C0FF3"/>
    <w:rsid w:val="007C10AB"/>
    <w:rsid w:val="007C1159"/>
    <w:rsid w:val="007C170A"/>
    <w:rsid w:val="007C1BEF"/>
    <w:rsid w:val="007C1C9C"/>
    <w:rsid w:val="007C1E44"/>
    <w:rsid w:val="007C1FD7"/>
    <w:rsid w:val="007C204D"/>
    <w:rsid w:val="007C315F"/>
    <w:rsid w:val="007C3495"/>
    <w:rsid w:val="007C34C0"/>
    <w:rsid w:val="007C3A77"/>
    <w:rsid w:val="007C3CBB"/>
    <w:rsid w:val="007C3DBE"/>
    <w:rsid w:val="007C3EC2"/>
    <w:rsid w:val="007C404B"/>
    <w:rsid w:val="007C4154"/>
    <w:rsid w:val="007C42F0"/>
    <w:rsid w:val="007C45B2"/>
    <w:rsid w:val="007C4744"/>
    <w:rsid w:val="007C48BD"/>
    <w:rsid w:val="007C48EC"/>
    <w:rsid w:val="007C4C38"/>
    <w:rsid w:val="007C50CE"/>
    <w:rsid w:val="007C53CE"/>
    <w:rsid w:val="007C5424"/>
    <w:rsid w:val="007C542B"/>
    <w:rsid w:val="007C5440"/>
    <w:rsid w:val="007C54A9"/>
    <w:rsid w:val="007C55B7"/>
    <w:rsid w:val="007C563D"/>
    <w:rsid w:val="007C568B"/>
    <w:rsid w:val="007C579A"/>
    <w:rsid w:val="007C5824"/>
    <w:rsid w:val="007C5862"/>
    <w:rsid w:val="007C5AF8"/>
    <w:rsid w:val="007C5C6A"/>
    <w:rsid w:val="007C5DFB"/>
    <w:rsid w:val="007C5EE7"/>
    <w:rsid w:val="007C629E"/>
    <w:rsid w:val="007C6313"/>
    <w:rsid w:val="007C64B4"/>
    <w:rsid w:val="007C66FB"/>
    <w:rsid w:val="007C6CE7"/>
    <w:rsid w:val="007C6DB1"/>
    <w:rsid w:val="007C6E8F"/>
    <w:rsid w:val="007C6F7A"/>
    <w:rsid w:val="007C6F89"/>
    <w:rsid w:val="007C7187"/>
    <w:rsid w:val="007C731E"/>
    <w:rsid w:val="007C7501"/>
    <w:rsid w:val="007C76BB"/>
    <w:rsid w:val="007C785E"/>
    <w:rsid w:val="007C78EB"/>
    <w:rsid w:val="007C7AC1"/>
    <w:rsid w:val="007C7B08"/>
    <w:rsid w:val="007C7B76"/>
    <w:rsid w:val="007D00AC"/>
    <w:rsid w:val="007D01BF"/>
    <w:rsid w:val="007D03C4"/>
    <w:rsid w:val="007D07BB"/>
    <w:rsid w:val="007D07CF"/>
    <w:rsid w:val="007D0934"/>
    <w:rsid w:val="007D18EE"/>
    <w:rsid w:val="007D190B"/>
    <w:rsid w:val="007D1EBA"/>
    <w:rsid w:val="007D1F8F"/>
    <w:rsid w:val="007D2273"/>
    <w:rsid w:val="007D230F"/>
    <w:rsid w:val="007D2690"/>
    <w:rsid w:val="007D287C"/>
    <w:rsid w:val="007D2B33"/>
    <w:rsid w:val="007D2C49"/>
    <w:rsid w:val="007D2F1C"/>
    <w:rsid w:val="007D2FFD"/>
    <w:rsid w:val="007D343B"/>
    <w:rsid w:val="007D34A9"/>
    <w:rsid w:val="007D3C07"/>
    <w:rsid w:val="007D3E18"/>
    <w:rsid w:val="007D3E6C"/>
    <w:rsid w:val="007D418E"/>
    <w:rsid w:val="007D419A"/>
    <w:rsid w:val="007D44C2"/>
    <w:rsid w:val="007D48E0"/>
    <w:rsid w:val="007D49DD"/>
    <w:rsid w:val="007D4D26"/>
    <w:rsid w:val="007D4EAB"/>
    <w:rsid w:val="007D50DA"/>
    <w:rsid w:val="007D53AF"/>
    <w:rsid w:val="007D5500"/>
    <w:rsid w:val="007D5723"/>
    <w:rsid w:val="007D5AB2"/>
    <w:rsid w:val="007D5B0A"/>
    <w:rsid w:val="007D612B"/>
    <w:rsid w:val="007D62CF"/>
    <w:rsid w:val="007D62D9"/>
    <w:rsid w:val="007D63EE"/>
    <w:rsid w:val="007D652D"/>
    <w:rsid w:val="007D69C4"/>
    <w:rsid w:val="007D6FB3"/>
    <w:rsid w:val="007D7143"/>
    <w:rsid w:val="007D7216"/>
    <w:rsid w:val="007D79C5"/>
    <w:rsid w:val="007D7B21"/>
    <w:rsid w:val="007D7BA4"/>
    <w:rsid w:val="007E01EB"/>
    <w:rsid w:val="007E056E"/>
    <w:rsid w:val="007E06A7"/>
    <w:rsid w:val="007E06AE"/>
    <w:rsid w:val="007E0742"/>
    <w:rsid w:val="007E07B4"/>
    <w:rsid w:val="007E0BA7"/>
    <w:rsid w:val="007E0CC5"/>
    <w:rsid w:val="007E1053"/>
    <w:rsid w:val="007E1119"/>
    <w:rsid w:val="007E14E6"/>
    <w:rsid w:val="007E17E1"/>
    <w:rsid w:val="007E19CC"/>
    <w:rsid w:val="007E1D04"/>
    <w:rsid w:val="007E245F"/>
    <w:rsid w:val="007E248C"/>
    <w:rsid w:val="007E2519"/>
    <w:rsid w:val="007E259B"/>
    <w:rsid w:val="007E313D"/>
    <w:rsid w:val="007E320C"/>
    <w:rsid w:val="007E336F"/>
    <w:rsid w:val="007E3631"/>
    <w:rsid w:val="007E36B4"/>
    <w:rsid w:val="007E3B42"/>
    <w:rsid w:val="007E3D53"/>
    <w:rsid w:val="007E3DFC"/>
    <w:rsid w:val="007E3F14"/>
    <w:rsid w:val="007E41E5"/>
    <w:rsid w:val="007E4547"/>
    <w:rsid w:val="007E4CC3"/>
    <w:rsid w:val="007E5002"/>
    <w:rsid w:val="007E5156"/>
    <w:rsid w:val="007E5601"/>
    <w:rsid w:val="007E5901"/>
    <w:rsid w:val="007E59B7"/>
    <w:rsid w:val="007E5CEF"/>
    <w:rsid w:val="007E601F"/>
    <w:rsid w:val="007E6142"/>
    <w:rsid w:val="007E6302"/>
    <w:rsid w:val="007E6389"/>
    <w:rsid w:val="007E6885"/>
    <w:rsid w:val="007E6A0E"/>
    <w:rsid w:val="007E6C5B"/>
    <w:rsid w:val="007E6D10"/>
    <w:rsid w:val="007E6E0A"/>
    <w:rsid w:val="007E7356"/>
    <w:rsid w:val="007E7492"/>
    <w:rsid w:val="007E751D"/>
    <w:rsid w:val="007E790A"/>
    <w:rsid w:val="007E7912"/>
    <w:rsid w:val="007E7C3A"/>
    <w:rsid w:val="007E7CE7"/>
    <w:rsid w:val="007E7D30"/>
    <w:rsid w:val="007F00BA"/>
    <w:rsid w:val="007F01BE"/>
    <w:rsid w:val="007F01E5"/>
    <w:rsid w:val="007F0270"/>
    <w:rsid w:val="007F0533"/>
    <w:rsid w:val="007F09F5"/>
    <w:rsid w:val="007F0AE1"/>
    <w:rsid w:val="007F0B19"/>
    <w:rsid w:val="007F0C58"/>
    <w:rsid w:val="007F0F48"/>
    <w:rsid w:val="007F10A7"/>
    <w:rsid w:val="007F1249"/>
    <w:rsid w:val="007F1266"/>
    <w:rsid w:val="007F1295"/>
    <w:rsid w:val="007F1954"/>
    <w:rsid w:val="007F1984"/>
    <w:rsid w:val="007F1A01"/>
    <w:rsid w:val="007F1CD1"/>
    <w:rsid w:val="007F1D94"/>
    <w:rsid w:val="007F23A2"/>
    <w:rsid w:val="007F23DA"/>
    <w:rsid w:val="007F2677"/>
    <w:rsid w:val="007F279F"/>
    <w:rsid w:val="007F27E8"/>
    <w:rsid w:val="007F2C1C"/>
    <w:rsid w:val="007F3083"/>
    <w:rsid w:val="007F3230"/>
    <w:rsid w:val="007F3291"/>
    <w:rsid w:val="007F3374"/>
    <w:rsid w:val="007F33A9"/>
    <w:rsid w:val="007F3440"/>
    <w:rsid w:val="007F34E9"/>
    <w:rsid w:val="007F3669"/>
    <w:rsid w:val="007F3766"/>
    <w:rsid w:val="007F386A"/>
    <w:rsid w:val="007F3A19"/>
    <w:rsid w:val="007F3C5E"/>
    <w:rsid w:val="007F440F"/>
    <w:rsid w:val="007F4E50"/>
    <w:rsid w:val="007F565A"/>
    <w:rsid w:val="007F5BC8"/>
    <w:rsid w:val="007F5D1B"/>
    <w:rsid w:val="007F5DAA"/>
    <w:rsid w:val="007F6156"/>
    <w:rsid w:val="007F6435"/>
    <w:rsid w:val="007F67A4"/>
    <w:rsid w:val="007F67B3"/>
    <w:rsid w:val="007F69B4"/>
    <w:rsid w:val="007F6B6A"/>
    <w:rsid w:val="007F6BBD"/>
    <w:rsid w:val="007F6E8A"/>
    <w:rsid w:val="007F6F31"/>
    <w:rsid w:val="007F6F83"/>
    <w:rsid w:val="007F6FD0"/>
    <w:rsid w:val="007F70D1"/>
    <w:rsid w:val="007F7273"/>
    <w:rsid w:val="007F72B8"/>
    <w:rsid w:val="007F7A4E"/>
    <w:rsid w:val="007F7B7D"/>
    <w:rsid w:val="007F7F82"/>
    <w:rsid w:val="007F7FD3"/>
    <w:rsid w:val="0080042F"/>
    <w:rsid w:val="008005F5"/>
    <w:rsid w:val="008006DB"/>
    <w:rsid w:val="00800844"/>
    <w:rsid w:val="0080085E"/>
    <w:rsid w:val="00800C91"/>
    <w:rsid w:val="00800F17"/>
    <w:rsid w:val="00800F6C"/>
    <w:rsid w:val="00801032"/>
    <w:rsid w:val="0080140E"/>
    <w:rsid w:val="008019F2"/>
    <w:rsid w:val="00801BC1"/>
    <w:rsid w:val="00801CE5"/>
    <w:rsid w:val="00802600"/>
    <w:rsid w:val="008027BE"/>
    <w:rsid w:val="00802A83"/>
    <w:rsid w:val="00802FE9"/>
    <w:rsid w:val="008030A6"/>
    <w:rsid w:val="008031CC"/>
    <w:rsid w:val="00803308"/>
    <w:rsid w:val="00803428"/>
    <w:rsid w:val="00803D9D"/>
    <w:rsid w:val="00803ED1"/>
    <w:rsid w:val="00804015"/>
    <w:rsid w:val="008043B6"/>
    <w:rsid w:val="008043D7"/>
    <w:rsid w:val="0080479B"/>
    <w:rsid w:val="00804A84"/>
    <w:rsid w:val="00804BF3"/>
    <w:rsid w:val="00804E7D"/>
    <w:rsid w:val="00804E88"/>
    <w:rsid w:val="0080581C"/>
    <w:rsid w:val="00805957"/>
    <w:rsid w:val="00805BCD"/>
    <w:rsid w:val="00805E18"/>
    <w:rsid w:val="00805F8A"/>
    <w:rsid w:val="00805FC2"/>
    <w:rsid w:val="00806051"/>
    <w:rsid w:val="008060FE"/>
    <w:rsid w:val="008064EB"/>
    <w:rsid w:val="008064FA"/>
    <w:rsid w:val="00806794"/>
    <w:rsid w:val="00806845"/>
    <w:rsid w:val="00806962"/>
    <w:rsid w:val="008069EE"/>
    <w:rsid w:val="008069F4"/>
    <w:rsid w:val="00806BC4"/>
    <w:rsid w:val="00807207"/>
    <w:rsid w:val="00807235"/>
    <w:rsid w:val="00807A96"/>
    <w:rsid w:val="00807B8D"/>
    <w:rsid w:val="00807DB0"/>
    <w:rsid w:val="00807EBB"/>
    <w:rsid w:val="00807ED2"/>
    <w:rsid w:val="00807FDD"/>
    <w:rsid w:val="00807FE6"/>
    <w:rsid w:val="00810108"/>
    <w:rsid w:val="00810402"/>
    <w:rsid w:val="0081048B"/>
    <w:rsid w:val="00810F2B"/>
    <w:rsid w:val="00810F62"/>
    <w:rsid w:val="0081161E"/>
    <w:rsid w:val="0081169B"/>
    <w:rsid w:val="008117D8"/>
    <w:rsid w:val="00811823"/>
    <w:rsid w:val="00811858"/>
    <w:rsid w:val="008119A2"/>
    <w:rsid w:val="00812329"/>
    <w:rsid w:val="00812505"/>
    <w:rsid w:val="008128C7"/>
    <w:rsid w:val="00812AB9"/>
    <w:rsid w:val="00812CCE"/>
    <w:rsid w:val="00812E24"/>
    <w:rsid w:val="008132C4"/>
    <w:rsid w:val="00813487"/>
    <w:rsid w:val="00813723"/>
    <w:rsid w:val="00813787"/>
    <w:rsid w:val="00813800"/>
    <w:rsid w:val="00813C13"/>
    <w:rsid w:val="00813D69"/>
    <w:rsid w:val="00813E4D"/>
    <w:rsid w:val="00813E63"/>
    <w:rsid w:val="0081408D"/>
    <w:rsid w:val="008144D1"/>
    <w:rsid w:val="00814674"/>
    <w:rsid w:val="008147F5"/>
    <w:rsid w:val="00814A5E"/>
    <w:rsid w:val="00814ECE"/>
    <w:rsid w:val="00814F95"/>
    <w:rsid w:val="00814FCB"/>
    <w:rsid w:val="00814FEA"/>
    <w:rsid w:val="00815230"/>
    <w:rsid w:val="00815578"/>
    <w:rsid w:val="00815856"/>
    <w:rsid w:val="0081624A"/>
    <w:rsid w:val="00816515"/>
    <w:rsid w:val="0081653B"/>
    <w:rsid w:val="0081667D"/>
    <w:rsid w:val="0081683A"/>
    <w:rsid w:val="008168AE"/>
    <w:rsid w:val="0081691F"/>
    <w:rsid w:val="00816980"/>
    <w:rsid w:val="00816A5E"/>
    <w:rsid w:val="00816BE1"/>
    <w:rsid w:val="00816CEB"/>
    <w:rsid w:val="00816FE4"/>
    <w:rsid w:val="00817076"/>
    <w:rsid w:val="00817166"/>
    <w:rsid w:val="0081723C"/>
    <w:rsid w:val="0081776A"/>
    <w:rsid w:val="0081799D"/>
    <w:rsid w:val="00817C1D"/>
    <w:rsid w:val="00820001"/>
    <w:rsid w:val="0082046F"/>
    <w:rsid w:val="008204A6"/>
    <w:rsid w:val="00820A27"/>
    <w:rsid w:val="00820D86"/>
    <w:rsid w:val="008210A0"/>
    <w:rsid w:val="008211D5"/>
    <w:rsid w:val="008212F1"/>
    <w:rsid w:val="0082131E"/>
    <w:rsid w:val="00821BF2"/>
    <w:rsid w:val="0082236F"/>
    <w:rsid w:val="0082238C"/>
    <w:rsid w:val="0082244E"/>
    <w:rsid w:val="008224D7"/>
    <w:rsid w:val="008228A8"/>
    <w:rsid w:val="00822974"/>
    <w:rsid w:val="008229E5"/>
    <w:rsid w:val="00822C93"/>
    <w:rsid w:val="00822EE2"/>
    <w:rsid w:val="00823286"/>
    <w:rsid w:val="0082376B"/>
    <w:rsid w:val="00824009"/>
    <w:rsid w:val="00824114"/>
    <w:rsid w:val="008241FE"/>
    <w:rsid w:val="008242B8"/>
    <w:rsid w:val="008243AE"/>
    <w:rsid w:val="008245C3"/>
    <w:rsid w:val="008247E4"/>
    <w:rsid w:val="00824808"/>
    <w:rsid w:val="00824927"/>
    <w:rsid w:val="008249F8"/>
    <w:rsid w:val="00824DA1"/>
    <w:rsid w:val="00824F4A"/>
    <w:rsid w:val="00825285"/>
    <w:rsid w:val="00825587"/>
    <w:rsid w:val="00825830"/>
    <w:rsid w:val="00825C0A"/>
    <w:rsid w:val="00825E6C"/>
    <w:rsid w:val="00826044"/>
    <w:rsid w:val="008267A0"/>
    <w:rsid w:val="008268C7"/>
    <w:rsid w:val="00826981"/>
    <w:rsid w:val="00826A2F"/>
    <w:rsid w:val="00826A4F"/>
    <w:rsid w:val="00826CB9"/>
    <w:rsid w:val="00826F25"/>
    <w:rsid w:val="00827202"/>
    <w:rsid w:val="008272E7"/>
    <w:rsid w:val="0082737A"/>
    <w:rsid w:val="00827663"/>
    <w:rsid w:val="00827672"/>
    <w:rsid w:val="0082783F"/>
    <w:rsid w:val="00827885"/>
    <w:rsid w:val="0082789D"/>
    <w:rsid w:val="00827A07"/>
    <w:rsid w:val="00827AFA"/>
    <w:rsid w:val="00827B03"/>
    <w:rsid w:val="00827BCF"/>
    <w:rsid w:val="00827BF5"/>
    <w:rsid w:val="00827BFD"/>
    <w:rsid w:val="00827E31"/>
    <w:rsid w:val="00827F1E"/>
    <w:rsid w:val="00827F7F"/>
    <w:rsid w:val="00830202"/>
    <w:rsid w:val="00830292"/>
    <w:rsid w:val="0083043D"/>
    <w:rsid w:val="008304FA"/>
    <w:rsid w:val="008305F7"/>
    <w:rsid w:val="008308B9"/>
    <w:rsid w:val="00830B6B"/>
    <w:rsid w:val="00830CD1"/>
    <w:rsid w:val="00830D0C"/>
    <w:rsid w:val="00830FAB"/>
    <w:rsid w:val="0083130F"/>
    <w:rsid w:val="008313F1"/>
    <w:rsid w:val="00831529"/>
    <w:rsid w:val="00831634"/>
    <w:rsid w:val="008316CD"/>
    <w:rsid w:val="00831739"/>
    <w:rsid w:val="00831791"/>
    <w:rsid w:val="00831A6B"/>
    <w:rsid w:val="00831A98"/>
    <w:rsid w:val="00831B91"/>
    <w:rsid w:val="00831D73"/>
    <w:rsid w:val="00831E6E"/>
    <w:rsid w:val="00832066"/>
    <w:rsid w:val="00832220"/>
    <w:rsid w:val="008322DC"/>
    <w:rsid w:val="008324E3"/>
    <w:rsid w:val="0083269D"/>
    <w:rsid w:val="00832788"/>
    <w:rsid w:val="00832A66"/>
    <w:rsid w:val="00832ABC"/>
    <w:rsid w:val="00832EA6"/>
    <w:rsid w:val="008334BF"/>
    <w:rsid w:val="0083387E"/>
    <w:rsid w:val="00833AA0"/>
    <w:rsid w:val="00833C6D"/>
    <w:rsid w:val="00833D17"/>
    <w:rsid w:val="00834304"/>
    <w:rsid w:val="00834357"/>
    <w:rsid w:val="0083443D"/>
    <w:rsid w:val="00834472"/>
    <w:rsid w:val="00834528"/>
    <w:rsid w:val="00834570"/>
    <w:rsid w:val="008347FB"/>
    <w:rsid w:val="008348F1"/>
    <w:rsid w:val="00834FAF"/>
    <w:rsid w:val="00835151"/>
    <w:rsid w:val="008351DF"/>
    <w:rsid w:val="008358A6"/>
    <w:rsid w:val="00835A73"/>
    <w:rsid w:val="00835AFF"/>
    <w:rsid w:val="00835C26"/>
    <w:rsid w:val="008365D0"/>
    <w:rsid w:val="00836971"/>
    <w:rsid w:val="00836977"/>
    <w:rsid w:val="00836E98"/>
    <w:rsid w:val="00836FAC"/>
    <w:rsid w:val="0083758C"/>
    <w:rsid w:val="00837944"/>
    <w:rsid w:val="00837E48"/>
    <w:rsid w:val="00840244"/>
    <w:rsid w:val="00840814"/>
    <w:rsid w:val="008408A5"/>
    <w:rsid w:val="008408BD"/>
    <w:rsid w:val="00840978"/>
    <w:rsid w:val="00840A18"/>
    <w:rsid w:val="00840A1D"/>
    <w:rsid w:val="00840A5B"/>
    <w:rsid w:val="00840D72"/>
    <w:rsid w:val="00840F1F"/>
    <w:rsid w:val="00841069"/>
    <w:rsid w:val="00841075"/>
    <w:rsid w:val="008410A9"/>
    <w:rsid w:val="008410F6"/>
    <w:rsid w:val="00841252"/>
    <w:rsid w:val="008414CB"/>
    <w:rsid w:val="00841D65"/>
    <w:rsid w:val="00842032"/>
    <w:rsid w:val="0084223D"/>
    <w:rsid w:val="00842363"/>
    <w:rsid w:val="0084278F"/>
    <w:rsid w:val="008429D7"/>
    <w:rsid w:val="00842A1A"/>
    <w:rsid w:val="00842E7C"/>
    <w:rsid w:val="0084315E"/>
    <w:rsid w:val="00843268"/>
    <w:rsid w:val="0084376B"/>
    <w:rsid w:val="00843A69"/>
    <w:rsid w:val="00843E31"/>
    <w:rsid w:val="008440C4"/>
    <w:rsid w:val="0084423B"/>
    <w:rsid w:val="008442F7"/>
    <w:rsid w:val="0084460E"/>
    <w:rsid w:val="00844BF5"/>
    <w:rsid w:val="00844E1B"/>
    <w:rsid w:val="00844F59"/>
    <w:rsid w:val="00845012"/>
    <w:rsid w:val="00845046"/>
    <w:rsid w:val="008456DF"/>
    <w:rsid w:val="0084590F"/>
    <w:rsid w:val="00845A6D"/>
    <w:rsid w:val="00845FED"/>
    <w:rsid w:val="0084611B"/>
    <w:rsid w:val="008461B5"/>
    <w:rsid w:val="00846347"/>
    <w:rsid w:val="008467E2"/>
    <w:rsid w:val="00846A63"/>
    <w:rsid w:val="00846ABE"/>
    <w:rsid w:val="00846BDB"/>
    <w:rsid w:val="0084701E"/>
    <w:rsid w:val="00847362"/>
    <w:rsid w:val="00847422"/>
    <w:rsid w:val="008475F5"/>
    <w:rsid w:val="0084763B"/>
    <w:rsid w:val="008476E0"/>
    <w:rsid w:val="008477E2"/>
    <w:rsid w:val="00847997"/>
    <w:rsid w:val="00847998"/>
    <w:rsid w:val="00847AEC"/>
    <w:rsid w:val="00847CFC"/>
    <w:rsid w:val="00847D8D"/>
    <w:rsid w:val="00847DD2"/>
    <w:rsid w:val="008500D3"/>
    <w:rsid w:val="0085017F"/>
    <w:rsid w:val="0085018C"/>
    <w:rsid w:val="0085019D"/>
    <w:rsid w:val="00850324"/>
    <w:rsid w:val="00850C61"/>
    <w:rsid w:val="00850C9F"/>
    <w:rsid w:val="00850E36"/>
    <w:rsid w:val="00850F68"/>
    <w:rsid w:val="008510F9"/>
    <w:rsid w:val="00851185"/>
    <w:rsid w:val="008511A5"/>
    <w:rsid w:val="008512B8"/>
    <w:rsid w:val="0085132E"/>
    <w:rsid w:val="008513E8"/>
    <w:rsid w:val="008513F0"/>
    <w:rsid w:val="0085163C"/>
    <w:rsid w:val="008516BD"/>
    <w:rsid w:val="00851707"/>
    <w:rsid w:val="0085173B"/>
    <w:rsid w:val="00851899"/>
    <w:rsid w:val="008519E4"/>
    <w:rsid w:val="00851B89"/>
    <w:rsid w:val="00851C17"/>
    <w:rsid w:val="00851CDE"/>
    <w:rsid w:val="00851E25"/>
    <w:rsid w:val="0085220B"/>
    <w:rsid w:val="0085254F"/>
    <w:rsid w:val="008526B0"/>
    <w:rsid w:val="00852A55"/>
    <w:rsid w:val="00852AA5"/>
    <w:rsid w:val="00852B8F"/>
    <w:rsid w:val="00852C41"/>
    <w:rsid w:val="00852CF0"/>
    <w:rsid w:val="00852DC9"/>
    <w:rsid w:val="00852DDE"/>
    <w:rsid w:val="00852E24"/>
    <w:rsid w:val="00852EBE"/>
    <w:rsid w:val="00853709"/>
    <w:rsid w:val="00853892"/>
    <w:rsid w:val="00853AFB"/>
    <w:rsid w:val="00853C99"/>
    <w:rsid w:val="008547F5"/>
    <w:rsid w:val="00854DB6"/>
    <w:rsid w:val="00854ECD"/>
    <w:rsid w:val="008552BC"/>
    <w:rsid w:val="00855307"/>
    <w:rsid w:val="00855340"/>
    <w:rsid w:val="0085546D"/>
    <w:rsid w:val="008558E1"/>
    <w:rsid w:val="008559A5"/>
    <w:rsid w:val="008559F9"/>
    <w:rsid w:val="00855B06"/>
    <w:rsid w:val="00855C79"/>
    <w:rsid w:val="00855CAE"/>
    <w:rsid w:val="00855D95"/>
    <w:rsid w:val="008566D5"/>
    <w:rsid w:val="00856930"/>
    <w:rsid w:val="0085695D"/>
    <w:rsid w:val="00856D5A"/>
    <w:rsid w:val="00856F3E"/>
    <w:rsid w:val="0085726C"/>
    <w:rsid w:val="00857331"/>
    <w:rsid w:val="008579DB"/>
    <w:rsid w:val="0086001A"/>
    <w:rsid w:val="0086040A"/>
    <w:rsid w:val="008605E6"/>
    <w:rsid w:val="0086066F"/>
    <w:rsid w:val="008608CD"/>
    <w:rsid w:val="00860B47"/>
    <w:rsid w:val="00860BD3"/>
    <w:rsid w:val="00860EA0"/>
    <w:rsid w:val="00860EE6"/>
    <w:rsid w:val="008610E5"/>
    <w:rsid w:val="0086144B"/>
    <w:rsid w:val="00861555"/>
    <w:rsid w:val="008616E3"/>
    <w:rsid w:val="00861993"/>
    <w:rsid w:val="00861FAC"/>
    <w:rsid w:val="00862051"/>
    <w:rsid w:val="008621B8"/>
    <w:rsid w:val="00862259"/>
    <w:rsid w:val="00862525"/>
    <w:rsid w:val="0086262E"/>
    <w:rsid w:val="0086278A"/>
    <w:rsid w:val="0086292C"/>
    <w:rsid w:val="00862C21"/>
    <w:rsid w:val="00862F71"/>
    <w:rsid w:val="008630D2"/>
    <w:rsid w:val="008632C3"/>
    <w:rsid w:val="00863398"/>
    <w:rsid w:val="0086339E"/>
    <w:rsid w:val="00863675"/>
    <w:rsid w:val="0086368C"/>
    <w:rsid w:val="0086369F"/>
    <w:rsid w:val="0086396E"/>
    <w:rsid w:val="008639EC"/>
    <w:rsid w:val="00863B03"/>
    <w:rsid w:val="00863CE7"/>
    <w:rsid w:val="00863F6B"/>
    <w:rsid w:val="00863F7F"/>
    <w:rsid w:val="00864061"/>
    <w:rsid w:val="00864317"/>
    <w:rsid w:val="00864401"/>
    <w:rsid w:val="008644A9"/>
    <w:rsid w:val="008644E3"/>
    <w:rsid w:val="00864606"/>
    <w:rsid w:val="008646E5"/>
    <w:rsid w:val="008648FC"/>
    <w:rsid w:val="00864BEE"/>
    <w:rsid w:val="00864C34"/>
    <w:rsid w:val="00864E30"/>
    <w:rsid w:val="00864F31"/>
    <w:rsid w:val="008651C9"/>
    <w:rsid w:val="0086522E"/>
    <w:rsid w:val="008656A4"/>
    <w:rsid w:val="00865955"/>
    <w:rsid w:val="008659D1"/>
    <w:rsid w:val="00865A3F"/>
    <w:rsid w:val="00865FB6"/>
    <w:rsid w:val="00866031"/>
    <w:rsid w:val="008660E7"/>
    <w:rsid w:val="008661D3"/>
    <w:rsid w:val="00866B25"/>
    <w:rsid w:val="0086727C"/>
    <w:rsid w:val="0086736D"/>
    <w:rsid w:val="0086748F"/>
    <w:rsid w:val="008677C1"/>
    <w:rsid w:val="0086781D"/>
    <w:rsid w:val="00867A50"/>
    <w:rsid w:val="00867C30"/>
    <w:rsid w:val="00867DE3"/>
    <w:rsid w:val="00867E44"/>
    <w:rsid w:val="00867EA3"/>
    <w:rsid w:val="00867FB8"/>
    <w:rsid w:val="008700BE"/>
    <w:rsid w:val="008704A8"/>
    <w:rsid w:val="00870574"/>
    <w:rsid w:val="00870783"/>
    <w:rsid w:val="008707C7"/>
    <w:rsid w:val="0087084B"/>
    <w:rsid w:val="00870980"/>
    <w:rsid w:val="00870AF0"/>
    <w:rsid w:val="00870C85"/>
    <w:rsid w:val="00870CEF"/>
    <w:rsid w:val="00870D70"/>
    <w:rsid w:val="00870DD5"/>
    <w:rsid w:val="00871096"/>
    <w:rsid w:val="00871344"/>
    <w:rsid w:val="0087145E"/>
    <w:rsid w:val="00871EB5"/>
    <w:rsid w:val="00872178"/>
    <w:rsid w:val="00872676"/>
    <w:rsid w:val="00872CA4"/>
    <w:rsid w:val="00872CF4"/>
    <w:rsid w:val="008730AF"/>
    <w:rsid w:val="008730B9"/>
    <w:rsid w:val="008731BF"/>
    <w:rsid w:val="008732C7"/>
    <w:rsid w:val="008734AA"/>
    <w:rsid w:val="008734C1"/>
    <w:rsid w:val="008734D8"/>
    <w:rsid w:val="0087357A"/>
    <w:rsid w:val="00873799"/>
    <w:rsid w:val="008737F5"/>
    <w:rsid w:val="00873ADA"/>
    <w:rsid w:val="00873B89"/>
    <w:rsid w:val="00873DB8"/>
    <w:rsid w:val="00873FBB"/>
    <w:rsid w:val="008741D3"/>
    <w:rsid w:val="0087422B"/>
    <w:rsid w:val="00874541"/>
    <w:rsid w:val="00874B4C"/>
    <w:rsid w:val="00874F61"/>
    <w:rsid w:val="0087500F"/>
    <w:rsid w:val="00875250"/>
    <w:rsid w:val="00875591"/>
    <w:rsid w:val="008756E6"/>
    <w:rsid w:val="00875795"/>
    <w:rsid w:val="00875AF2"/>
    <w:rsid w:val="00875E02"/>
    <w:rsid w:val="00875F4D"/>
    <w:rsid w:val="00875F63"/>
    <w:rsid w:val="00876078"/>
    <w:rsid w:val="008761BF"/>
    <w:rsid w:val="008761FC"/>
    <w:rsid w:val="00876248"/>
    <w:rsid w:val="00876434"/>
    <w:rsid w:val="008764B0"/>
    <w:rsid w:val="008764B2"/>
    <w:rsid w:val="00876538"/>
    <w:rsid w:val="0087661C"/>
    <w:rsid w:val="00876B40"/>
    <w:rsid w:val="00876CB3"/>
    <w:rsid w:val="00876D47"/>
    <w:rsid w:val="00876EDC"/>
    <w:rsid w:val="008775BD"/>
    <w:rsid w:val="008779AF"/>
    <w:rsid w:val="00877AB7"/>
    <w:rsid w:val="00877C30"/>
    <w:rsid w:val="00877E48"/>
    <w:rsid w:val="008803D2"/>
    <w:rsid w:val="0088040C"/>
    <w:rsid w:val="008805A0"/>
    <w:rsid w:val="00880B3E"/>
    <w:rsid w:val="00880D0F"/>
    <w:rsid w:val="00880D78"/>
    <w:rsid w:val="008813D1"/>
    <w:rsid w:val="00881608"/>
    <w:rsid w:val="00881A46"/>
    <w:rsid w:val="00881D87"/>
    <w:rsid w:val="0088219B"/>
    <w:rsid w:val="0088234E"/>
    <w:rsid w:val="00882E54"/>
    <w:rsid w:val="00882E94"/>
    <w:rsid w:val="00882EA6"/>
    <w:rsid w:val="00882F19"/>
    <w:rsid w:val="0088321B"/>
    <w:rsid w:val="008834C9"/>
    <w:rsid w:val="00883577"/>
    <w:rsid w:val="00883E27"/>
    <w:rsid w:val="008841D0"/>
    <w:rsid w:val="00884342"/>
    <w:rsid w:val="008843A2"/>
    <w:rsid w:val="00884571"/>
    <w:rsid w:val="00884597"/>
    <w:rsid w:val="0088480D"/>
    <w:rsid w:val="00884B3F"/>
    <w:rsid w:val="00884C0F"/>
    <w:rsid w:val="00884FEA"/>
    <w:rsid w:val="0088513B"/>
    <w:rsid w:val="00885433"/>
    <w:rsid w:val="00885632"/>
    <w:rsid w:val="0088594A"/>
    <w:rsid w:val="00885A43"/>
    <w:rsid w:val="00885FE3"/>
    <w:rsid w:val="0088658D"/>
    <w:rsid w:val="008869CE"/>
    <w:rsid w:val="00886CD8"/>
    <w:rsid w:val="008872A8"/>
    <w:rsid w:val="0088777B"/>
    <w:rsid w:val="0088791F"/>
    <w:rsid w:val="00887974"/>
    <w:rsid w:val="00887A24"/>
    <w:rsid w:val="0089004D"/>
    <w:rsid w:val="008902A2"/>
    <w:rsid w:val="00890448"/>
    <w:rsid w:val="008907F0"/>
    <w:rsid w:val="00890FD6"/>
    <w:rsid w:val="0089109B"/>
    <w:rsid w:val="00891123"/>
    <w:rsid w:val="00891467"/>
    <w:rsid w:val="0089162C"/>
    <w:rsid w:val="0089171D"/>
    <w:rsid w:val="00891F10"/>
    <w:rsid w:val="00892628"/>
    <w:rsid w:val="008928F6"/>
    <w:rsid w:val="00892990"/>
    <w:rsid w:val="008929B6"/>
    <w:rsid w:val="00892A26"/>
    <w:rsid w:val="00892ADA"/>
    <w:rsid w:val="00892BBC"/>
    <w:rsid w:val="00892D6C"/>
    <w:rsid w:val="00892D6F"/>
    <w:rsid w:val="00892E82"/>
    <w:rsid w:val="00892F7F"/>
    <w:rsid w:val="00893483"/>
    <w:rsid w:val="0089350C"/>
    <w:rsid w:val="008935AE"/>
    <w:rsid w:val="0089368C"/>
    <w:rsid w:val="008936DA"/>
    <w:rsid w:val="00893861"/>
    <w:rsid w:val="00893A5A"/>
    <w:rsid w:val="00893DE2"/>
    <w:rsid w:val="008940A3"/>
    <w:rsid w:val="008942DB"/>
    <w:rsid w:val="0089464F"/>
    <w:rsid w:val="008949FB"/>
    <w:rsid w:val="00895149"/>
    <w:rsid w:val="008955E4"/>
    <w:rsid w:val="0089571C"/>
    <w:rsid w:val="0089574F"/>
    <w:rsid w:val="0089613A"/>
    <w:rsid w:val="00896333"/>
    <w:rsid w:val="00896628"/>
    <w:rsid w:val="00896894"/>
    <w:rsid w:val="00896978"/>
    <w:rsid w:val="00896F06"/>
    <w:rsid w:val="00897339"/>
    <w:rsid w:val="00897464"/>
    <w:rsid w:val="00897476"/>
    <w:rsid w:val="00897767"/>
    <w:rsid w:val="00897787"/>
    <w:rsid w:val="008977A3"/>
    <w:rsid w:val="00897964"/>
    <w:rsid w:val="00897A62"/>
    <w:rsid w:val="00897E32"/>
    <w:rsid w:val="008A00AC"/>
    <w:rsid w:val="008A0164"/>
    <w:rsid w:val="008A0289"/>
    <w:rsid w:val="008A043E"/>
    <w:rsid w:val="008A0486"/>
    <w:rsid w:val="008A0599"/>
    <w:rsid w:val="008A0FDE"/>
    <w:rsid w:val="008A1161"/>
    <w:rsid w:val="008A14F0"/>
    <w:rsid w:val="008A1B71"/>
    <w:rsid w:val="008A1BE5"/>
    <w:rsid w:val="008A1FB3"/>
    <w:rsid w:val="008A2001"/>
    <w:rsid w:val="008A20A5"/>
    <w:rsid w:val="008A2239"/>
    <w:rsid w:val="008A248C"/>
    <w:rsid w:val="008A255B"/>
    <w:rsid w:val="008A255C"/>
    <w:rsid w:val="008A2799"/>
    <w:rsid w:val="008A27C1"/>
    <w:rsid w:val="008A2C06"/>
    <w:rsid w:val="008A32EF"/>
    <w:rsid w:val="008A32FF"/>
    <w:rsid w:val="008A3733"/>
    <w:rsid w:val="008A37E9"/>
    <w:rsid w:val="008A393C"/>
    <w:rsid w:val="008A3A8B"/>
    <w:rsid w:val="008A3C9E"/>
    <w:rsid w:val="008A3C9F"/>
    <w:rsid w:val="008A3D8D"/>
    <w:rsid w:val="008A3F5D"/>
    <w:rsid w:val="008A41F8"/>
    <w:rsid w:val="008A4836"/>
    <w:rsid w:val="008A4927"/>
    <w:rsid w:val="008A4B45"/>
    <w:rsid w:val="008A4F92"/>
    <w:rsid w:val="008A509D"/>
    <w:rsid w:val="008A5294"/>
    <w:rsid w:val="008A5902"/>
    <w:rsid w:val="008A5925"/>
    <w:rsid w:val="008A59FF"/>
    <w:rsid w:val="008A5AE0"/>
    <w:rsid w:val="008A5AFF"/>
    <w:rsid w:val="008A5B03"/>
    <w:rsid w:val="008A5E27"/>
    <w:rsid w:val="008A5FDB"/>
    <w:rsid w:val="008A60E5"/>
    <w:rsid w:val="008A6531"/>
    <w:rsid w:val="008A6576"/>
    <w:rsid w:val="008A67C7"/>
    <w:rsid w:val="008A6ACE"/>
    <w:rsid w:val="008A76EA"/>
    <w:rsid w:val="008A7803"/>
    <w:rsid w:val="008A78BC"/>
    <w:rsid w:val="008A7BB3"/>
    <w:rsid w:val="008A7FB4"/>
    <w:rsid w:val="008B0743"/>
    <w:rsid w:val="008B0781"/>
    <w:rsid w:val="008B0786"/>
    <w:rsid w:val="008B093B"/>
    <w:rsid w:val="008B114C"/>
    <w:rsid w:val="008B12D7"/>
    <w:rsid w:val="008B1500"/>
    <w:rsid w:val="008B1772"/>
    <w:rsid w:val="008B1872"/>
    <w:rsid w:val="008B1D7E"/>
    <w:rsid w:val="008B1E6F"/>
    <w:rsid w:val="008B1EF3"/>
    <w:rsid w:val="008B2122"/>
    <w:rsid w:val="008B23E2"/>
    <w:rsid w:val="008B2516"/>
    <w:rsid w:val="008B2707"/>
    <w:rsid w:val="008B2B60"/>
    <w:rsid w:val="008B2D2E"/>
    <w:rsid w:val="008B2FCF"/>
    <w:rsid w:val="008B2FEC"/>
    <w:rsid w:val="008B31FB"/>
    <w:rsid w:val="008B3635"/>
    <w:rsid w:val="008B3766"/>
    <w:rsid w:val="008B3B3A"/>
    <w:rsid w:val="008B3B87"/>
    <w:rsid w:val="008B442C"/>
    <w:rsid w:val="008B4918"/>
    <w:rsid w:val="008B4B4D"/>
    <w:rsid w:val="008B4D25"/>
    <w:rsid w:val="008B4EBE"/>
    <w:rsid w:val="008B50B5"/>
    <w:rsid w:val="008B52E4"/>
    <w:rsid w:val="008B556B"/>
    <w:rsid w:val="008B5647"/>
    <w:rsid w:val="008B56AA"/>
    <w:rsid w:val="008B5853"/>
    <w:rsid w:val="008B5A58"/>
    <w:rsid w:val="008B5F0B"/>
    <w:rsid w:val="008B5FF8"/>
    <w:rsid w:val="008B6109"/>
    <w:rsid w:val="008B62AD"/>
    <w:rsid w:val="008B6316"/>
    <w:rsid w:val="008B63A3"/>
    <w:rsid w:val="008B64EC"/>
    <w:rsid w:val="008B67D5"/>
    <w:rsid w:val="008B6821"/>
    <w:rsid w:val="008B6847"/>
    <w:rsid w:val="008B6905"/>
    <w:rsid w:val="008B6CB8"/>
    <w:rsid w:val="008B6E70"/>
    <w:rsid w:val="008B6F57"/>
    <w:rsid w:val="008B7173"/>
    <w:rsid w:val="008B7254"/>
    <w:rsid w:val="008B74B6"/>
    <w:rsid w:val="008B75C8"/>
    <w:rsid w:val="008B75F9"/>
    <w:rsid w:val="008B79BE"/>
    <w:rsid w:val="008B7B66"/>
    <w:rsid w:val="008B7BD8"/>
    <w:rsid w:val="008B7F5A"/>
    <w:rsid w:val="008C0031"/>
    <w:rsid w:val="008C04B5"/>
    <w:rsid w:val="008C04EC"/>
    <w:rsid w:val="008C0907"/>
    <w:rsid w:val="008C0B04"/>
    <w:rsid w:val="008C0EC3"/>
    <w:rsid w:val="008C1292"/>
    <w:rsid w:val="008C1585"/>
    <w:rsid w:val="008C15A4"/>
    <w:rsid w:val="008C1669"/>
    <w:rsid w:val="008C17E5"/>
    <w:rsid w:val="008C1C73"/>
    <w:rsid w:val="008C1D08"/>
    <w:rsid w:val="008C1D71"/>
    <w:rsid w:val="008C1EA2"/>
    <w:rsid w:val="008C1ED9"/>
    <w:rsid w:val="008C2224"/>
    <w:rsid w:val="008C2236"/>
    <w:rsid w:val="008C2716"/>
    <w:rsid w:val="008C2948"/>
    <w:rsid w:val="008C2958"/>
    <w:rsid w:val="008C2AAC"/>
    <w:rsid w:val="008C2B4D"/>
    <w:rsid w:val="008C2BE2"/>
    <w:rsid w:val="008C2D22"/>
    <w:rsid w:val="008C2E0A"/>
    <w:rsid w:val="008C31AB"/>
    <w:rsid w:val="008C424D"/>
    <w:rsid w:val="008C47D1"/>
    <w:rsid w:val="008C4CED"/>
    <w:rsid w:val="008C4D0E"/>
    <w:rsid w:val="008C56B9"/>
    <w:rsid w:val="008C5864"/>
    <w:rsid w:val="008C588E"/>
    <w:rsid w:val="008C5C52"/>
    <w:rsid w:val="008C5EB5"/>
    <w:rsid w:val="008C606F"/>
    <w:rsid w:val="008C60F1"/>
    <w:rsid w:val="008C63A2"/>
    <w:rsid w:val="008C6DE2"/>
    <w:rsid w:val="008C6E44"/>
    <w:rsid w:val="008C6F3E"/>
    <w:rsid w:val="008C711A"/>
    <w:rsid w:val="008C7441"/>
    <w:rsid w:val="008C760E"/>
    <w:rsid w:val="008C77C9"/>
    <w:rsid w:val="008C7A01"/>
    <w:rsid w:val="008C7AC8"/>
    <w:rsid w:val="008D0489"/>
    <w:rsid w:val="008D0537"/>
    <w:rsid w:val="008D094F"/>
    <w:rsid w:val="008D0BAC"/>
    <w:rsid w:val="008D0CB7"/>
    <w:rsid w:val="008D0E42"/>
    <w:rsid w:val="008D0E77"/>
    <w:rsid w:val="008D1085"/>
    <w:rsid w:val="008D10C0"/>
    <w:rsid w:val="008D11CD"/>
    <w:rsid w:val="008D15F7"/>
    <w:rsid w:val="008D1FBF"/>
    <w:rsid w:val="008D2153"/>
    <w:rsid w:val="008D26C1"/>
    <w:rsid w:val="008D27BA"/>
    <w:rsid w:val="008D2923"/>
    <w:rsid w:val="008D2AE9"/>
    <w:rsid w:val="008D2C61"/>
    <w:rsid w:val="008D2D7C"/>
    <w:rsid w:val="008D2F75"/>
    <w:rsid w:val="008D31DD"/>
    <w:rsid w:val="008D32BB"/>
    <w:rsid w:val="008D333F"/>
    <w:rsid w:val="008D350F"/>
    <w:rsid w:val="008D38C8"/>
    <w:rsid w:val="008D3A1D"/>
    <w:rsid w:val="008D3C37"/>
    <w:rsid w:val="008D3DC9"/>
    <w:rsid w:val="008D3E8E"/>
    <w:rsid w:val="008D4544"/>
    <w:rsid w:val="008D461C"/>
    <w:rsid w:val="008D46A7"/>
    <w:rsid w:val="008D4869"/>
    <w:rsid w:val="008D48C5"/>
    <w:rsid w:val="008D4A72"/>
    <w:rsid w:val="008D4BE8"/>
    <w:rsid w:val="008D4D3C"/>
    <w:rsid w:val="008D4DC6"/>
    <w:rsid w:val="008D4E39"/>
    <w:rsid w:val="008D5037"/>
    <w:rsid w:val="008D5055"/>
    <w:rsid w:val="008D55B0"/>
    <w:rsid w:val="008D5625"/>
    <w:rsid w:val="008D57A4"/>
    <w:rsid w:val="008D592A"/>
    <w:rsid w:val="008D5AA7"/>
    <w:rsid w:val="008D5C4A"/>
    <w:rsid w:val="008D5EB5"/>
    <w:rsid w:val="008D696B"/>
    <w:rsid w:val="008D69EE"/>
    <w:rsid w:val="008D6ACB"/>
    <w:rsid w:val="008D6E85"/>
    <w:rsid w:val="008D6F30"/>
    <w:rsid w:val="008D6F58"/>
    <w:rsid w:val="008D6FBD"/>
    <w:rsid w:val="008D710A"/>
    <w:rsid w:val="008D7436"/>
    <w:rsid w:val="008D755B"/>
    <w:rsid w:val="008D7722"/>
    <w:rsid w:val="008D794B"/>
    <w:rsid w:val="008D7B82"/>
    <w:rsid w:val="008D7CE6"/>
    <w:rsid w:val="008E025B"/>
    <w:rsid w:val="008E04E8"/>
    <w:rsid w:val="008E04F3"/>
    <w:rsid w:val="008E08FA"/>
    <w:rsid w:val="008E09EC"/>
    <w:rsid w:val="008E0AF3"/>
    <w:rsid w:val="008E0FB6"/>
    <w:rsid w:val="008E0FC2"/>
    <w:rsid w:val="008E1035"/>
    <w:rsid w:val="008E11B0"/>
    <w:rsid w:val="008E135D"/>
    <w:rsid w:val="008E17BA"/>
    <w:rsid w:val="008E1AF1"/>
    <w:rsid w:val="008E1BD0"/>
    <w:rsid w:val="008E1E47"/>
    <w:rsid w:val="008E21C0"/>
    <w:rsid w:val="008E2664"/>
    <w:rsid w:val="008E285E"/>
    <w:rsid w:val="008E28AC"/>
    <w:rsid w:val="008E2BF8"/>
    <w:rsid w:val="008E2FDE"/>
    <w:rsid w:val="008E302A"/>
    <w:rsid w:val="008E3336"/>
    <w:rsid w:val="008E33F2"/>
    <w:rsid w:val="008E34A8"/>
    <w:rsid w:val="008E374D"/>
    <w:rsid w:val="008E37D1"/>
    <w:rsid w:val="008E389C"/>
    <w:rsid w:val="008E38E2"/>
    <w:rsid w:val="008E3C5C"/>
    <w:rsid w:val="008E419F"/>
    <w:rsid w:val="008E45C1"/>
    <w:rsid w:val="008E48B8"/>
    <w:rsid w:val="008E4B98"/>
    <w:rsid w:val="008E4C2D"/>
    <w:rsid w:val="008E50A1"/>
    <w:rsid w:val="008E5366"/>
    <w:rsid w:val="008E546D"/>
    <w:rsid w:val="008E55FF"/>
    <w:rsid w:val="008E56BB"/>
    <w:rsid w:val="008E56CD"/>
    <w:rsid w:val="008E5831"/>
    <w:rsid w:val="008E5BA0"/>
    <w:rsid w:val="008E5C16"/>
    <w:rsid w:val="008E5E75"/>
    <w:rsid w:val="008E603C"/>
    <w:rsid w:val="008E60B0"/>
    <w:rsid w:val="008E614B"/>
    <w:rsid w:val="008E65B6"/>
    <w:rsid w:val="008E6634"/>
    <w:rsid w:val="008E6959"/>
    <w:rsid w:val="008E6B4E"/>
    <w:rsid w:val="008E6C75"/>
    <w:rsid w:val="008E6CFE"/>
    <w:rsid w:val="008E6E72"/>
    <w:rsid w:val="008E6F26"/>
    <w:rsid w:val="008E6FFE"/>
    <w:rsid w:val="008E7224"/>
    <w:rsid w:val="008E7331"/>
    <w:rsid w:val="008E75D8"/>
    <w:rsid w:val="008E76B8"/>
    <w:rsid w:val="008E77DC"/>
    <w:rsid w:val="008E7A12"/>
    <w:rsid w:val="008E7AB1"/>
    <w:rsid w:val="008E7BC2"/>
    <w:rsid w:val="008E7D70"/>
    <w:rsid w:val="008E7DDC"/>
    <w:rsid w:val="008E7EB9"/>
    <w:rsid w:val="008F0298"/>
    <w:rsid w:val="008F02AD"/>
    <w:rsid w:val="008F033F"/>
    <w:rsid w:val="008F0354"/>
    <w:rsid w:val="008F0391"/>
    <w:rsid w:val="008F04A5"/>
    <w:rsid w:val="008F089B"/>
    <w:rsid w:val="008F09D2"/>
    <w:rsid w:val="008F0CBE"/>
    <w:rsid w:val="008F0E85"/>
    <w:rsid w:val="008F0E8A"/>
    <w:rsid w:val="008F0E8D"/>
    <w:rsid w:val="008F0EE9"/>
    <w:rsid w:val="008F0F2C"/>
    <w:rsid w:val="008F0F75"/>
    <w:rsid w:val="008F0F94"/>
    <w:rsid w:val="008F1153"/>
    <w:rsid w:val="008F14B1"/>
    <w:rsid w:val="008F17B1"/>
    <w:rsid w:val="008F19B6"/>
    <w:rsid w:val="008F1D0F"/>
    <w:rsid w:val="008F1E02"/>
    <w:rsid w:val="008F1FA8"/>
    <w:rsid w:val="008F205B"/>
    <w:rsid w:val="008F25A8"/>
    <w:rsid w:val="008F2833"/>
    <w:rsid w:val="008F291B"/>
    <w:rsid w:val="008F291C"/>
    <w:rsid w:val="008F29B4"/>
    <w:rsid w:val="008F2D80"/>
    <w:rsid w:val="008F30CD"/>
    <w:rsid w:val="008F35DC"/>
    <w:rsid w:val="008F35E8"/>
    <w:rsid w:val="008F38E0"/>
    <w:rsid w:val="008F3E3A"/>
    <w:rsid w:val="008F3F5C"/>
    <w:rsid w:val="008F42A3"/>
    <w:rsid w:val="008F460F"/>
    <w:rsid w:val="008F4641"/>
    <w:rsid w:val="008F4863"/>
    <w:rsid w:val="008F4A58"/>
    <w:rsid w:val="008F4ECF"/>
    <w:rsid w:val="008F4FF6"/>
    <w:rsid w:val="008F5570"/>
    <w:rsid w:val="008F5655"/>
    <w:rsid w:val="008F573B"/>
    <w:rsid w:val="008F5DEC"/>
    <w:rsid w:val="008F5E0C"/>
    <w:rsid w:val="008F646E"/>
    <w:rsid w:val="008F647A"/>
    <w:rsid w:val="008F647F"/>
    <w:rsid w:val="008F64B0"/>
    <w:rsid w:val="008F65B6"/>
    <w:rsid w:val="008F6604"/>
    <w:rsid w:val="008F6631"/>
    <w:rsid w:val="008F68D2"/>
    <w:rsid w:val="008F7136"/>
    <w:rsid w:val="008F73D6"/>
    <w:rsid w:val="008F7A4A"/>
    <w:rsid w:val="008F7BBE"/>
    <w:rsid w:val="008F7C6A"/>
    <w:rsid w:val="008F7D23"/>
    <w:rsid w:val="0090012E"/>
    <w:rsid w:val="009001FC"/>
    <w:rsid w:val="009004F8"/>
    <w:rsid w:val="00900AF6"/>
    <w:rsid w:val="00900F00"/>
    <w:rsid w:val="009011A1"/>
    <w:rsid w:val="009014C6"/>
    <w:rsid w:val="0090159A"/>
    <w:rsid w:val="009015F9"/>
    <w:rsid w:val="009018B5"/>
    <w:rsid w:val="009018E1"/>
    <w:rsid w:val="0090194B"/>
    <w:rsid w:val="00901BB0"/>
    <w:rsid w:val="00901C81"/>
    <w:rsid w:val="00901F58"/>
    <w:rsid w:val="009022D3"/>
    <w:rsid w:val="009022F6"/>
    <w:rsid w:val="009026F9"/>
    <w:rsid w:val="00902710"/>
    <w:rsid w:val="00902820"/>
    <w:rsid w:val="0090292D"/>
    <w:rsid w:val="009029AF"/>
    <w:rsid w:val="00902AA6"/>
    <w:rsid w:val="00902C52"/>
    <w:rsid w:val="0090308D"/>
    <w:rsid w:val="009030B7"/>
    <w:rsid w:val="00903182"/>
    <w:rsid w:val="009032EB"/>
    <w:rsid w:val="0090335F"/>
    <w:rsid w:val="009037E8"/>
    <w:rsid w:val="00903850"/>
    <w:rsid w:val="00903899"/>
    <w:rsid w:val="00903922"/>
    <w:rsid w:val="00903D7A"/>
    <w:rsid w:val="00903E64"/>
    <w:rsid w:val="00903F30"/>
    <w:rsid w:val="00904013"/>
    <w:rsid w:val="009040ED"/>
    <w:rsid w:val="00904357"/>
    <w:rsid w:val="00904A23"/>
    <w:rsid w:val="00904BED"/>
    <w:rsid w:val="00904C93"/>
    <w:rsid w:val="00904D84"/>
    <w:rsid w:val="00904F12"/>
    <w:rsid w:val="00905280"/>
    <w:rsid w:val="009052EB"/>
    <w:rsid w:val="0090559A"/>
    <w:rsid w:val="009058F7"/>
    <w:rsid w:val="00906038"/>
    <w:rsid w:val="0090604F"/>
    <w:rsid w:val="00906118"/>
    <w:rsid w:val="0090643C"/>
    <w:rsid w:val="0090662A"/>
    <w:rsid w:val="00906CB9"/>
    <w:rsid w:val="00906E94"/>
    <w:rsid w:val="009071E2"/>
    <w:rsid w:val="00907331"/>
    <w:rsid w:val="009077AF"/>
    <w:rsid w:val="00907A3C"/>
    <w:rsid w:val="00907A3F"/>
    <w:rsid w:val="00907B71"/>
    <w:rsid w:val="00907C2B"/>
    <w:rsid w:val="00907CBA"/>
    <w:rsid w:val="00907ED3"/>
    <w:rsid w:val="00910158"/>
    <w:rsid w:val="00910217"/>
    <w:rsid w:val="009105DA"/>
    <w:rsid w:val="00910780"/>
    <w:rsid w:val="0091097F"/>
    <w:rsid w:val="00910A06"/>
    <w:rsid w:val="00910BFD"/>
    <w:rsid w:val="00910C27"/>
    <w:rsid w:val="00910EBD"/>
    <w:rsid w:val="00911161"/>
    <w:rsid w:val="00911272"/>
    <w:rsid w:val="00911310"/>
    <w:rsid w:val="00911814"/>
    <w:rsid w:val="00911DC8"/>
    <w:rsid w:val="00911E60"/>
    <w:rsid w:val="00911EA2"/>
    <w:rsid w:val="009122D9"/>
    <w:rsid w:val="0091230C"/>
    <w:rsid w:val="00912A3D"/>
    <w:rsid w:val="00912D12"/>
    <w:rsid w:val="00912D7A"/>
    <w:rsid w:val="0091345F"/>
    <w:rsid w:val="009138AA"/>
    <w:rsid w:val="00913A8F"/>
    <w:rsid w:val="00913A9E"/>
    <w:rsid w:val="00913E84"/>
    <w:rsid w:val="00913EDD"/>
    <w:rsid w:val="00914096"/>
    <w:rsid w:val="00914AE7"/>
    <w:rsid w:val="00914D55"/>
    <w:rsid w:val="009150F4"/>
    <w:rsid w:val="00915112"/>
    <w:rsid w:val="009151B3"/>
    <w:rsid w:val="00915205"/>
    <w:rsid w:val="00915207"/>
    <w:rsid w:val="009153BA"/>
    <w:rsid w:val="00915B77"/>
    <w:rsid w:val="00915EBF"/>
    <w:rsid w:val="0091625A"/>
    <w:rsid w:val="0091628C"/>
    <w:rsid w:val="0091638A"/>
    <w:rsid w:val="00916415"/>
    <w:rsid w:val="009168FA"/>
    <w:rsid w:val="0091692D"/>
    <w:rsid w:val="00916A72"/>
    <w:rsid w:val="00916B19"/>
    <w:rsid w:val="00916F88"/>
    <w:rsid w:val="00916FB4"/>
    <w:rsid w:val="0091702B"/>
    <w:rsid w:val="0091724B"/>
    <w:rsid w:val="009172E7"/>
    <w:rsid w:val="00917383"/>
    <w:rsid w:val="0091759E"/>
    <w:rsid w:val="00917784"/>
    <w:rsid w:val="00917AAE"/>
    <w:rsid w:val="00917CFC"/>
    <w:rsid w:val="00917CFE"/>
    <w:rsid w:val="00917FE6"/>
    <w:rsid w:val="009203CD"/>
    <w:rsid w:val="009204EC"/>
    <w:rsid w:val="009207DF"/>
    <w:rsid w:val="00920E13"/>
    <w:rsid w:val="00920F49"/>
    <w:rsid w:val="00920F73"/>
    <w:rsid w:val="009210BA"/>
    <w:rsid w:val="00921104"/>
    <w:rsid w:val="0092123D"/>
    <w:rsid w:val="00921250"/>
    <w:rsid w:val="009212FF"/>
    <w:rsid w:val="0092136E"/>
    <w:rsid w:val="009219FF"/>
    <w:rsid w:val="00921BD7"/>
    <w:rsid w:val="00921C5C"/>
    <w:rsid w:val="00921F01"/>
    <w:rsid w:val="009221E3"/>
    <w:rsid w:val="0092227D"/>
    <w:rsid w:val="00922707"/>
    <w:rsid w:val="0092283D"/>
    <w:rsid w:val="00922AC2"/>
    <w:rsid w:val="00922AFB"/>
    <w:rsid w:val="00922C2B"/>
    <w:rsid w:val="00923126"/>
    <w:rsid w:val="0092331D"/>
    <w:rsid w:val="009234CA"/>
    <w:rsid w:val="00923624"/>
    <w:rsid w:val="00923F9F"/>
    <w:rsid w:val="00924511"/>
    <w:rsid w:val="009246CB"/>
    <w:rsid w:val="0092494B"/>
    <w:rsid w:val="00924A7A"/>
    <w:rsid w:val="00924CC7"/>
    <w:rsid w:val="00924D3F"/>
    <w:rsid w:val="00924F46"/>
    <w:rsid w:val="009252B1"/>
    <w:rsid w:val="00925421"/>
    <w:rsid w:val="009255C6"/>
    <w:rsid w:val="00925637"/>
    <w:rsid w:val="0092599E"/>
    <w:rsid w:val="00925DD0"/>
    <w:rsid w:val="009260C7"/>
    <w:rsid w:val="0092630F"/>
    <w:rsid w:val="00926452"/>
    <w:rsid w:val="00926AB1"/>
    <w:rsid w:val="00926B3F"/>
    <w:rsid w:val="00926D15"/>
    <w:rsid w:val="00926D33"/>
    <w:rsid w:val="00926D3D"/>
    <w:rsid w:val="00926FA9"/>
    <w:rsid w:val="00927194"/>
    <w:rsid w:val="0092725E"/>
    <w:rsid w:val="0092738E"/>
    <w:rsid w:val="00927408"/>
    <w:rsid w:val="00927B14"/>
    <w:rsid w:val="00927B69"/>
    <w:rsid w:val="00927D61"/>
    <w:rsid w:val="0092B673"/>
    <w:rsid w:val="0093014D"/>
    <w:rsid w:val="0093043B"/>
    <w:rsid w:val="0093044C"/>
    <w:rsid w:val="0093048A"/>
    <w:rsid w:val="009305A7"/>
    <w:rsid w:val="00930662"/>
    <w:rsid w:val="00930899"/>
    <w:rsid w:val="00930CBB"/>
    <w:rsid w:val="00930CE4"/>
    <w:rsid w:val="00930E60"/>
    <w:rsid w:val="00930FBC"/>
    <w:rsid w:val="009311D4"/>
    <w:rsid w:val="00931236"/>
    <w:rsid w:val="009312F7"/>
    <w:rsid w:val="009314A0"/>
    <w:rsid w:val="009314F0"/>
    <w:rsid w:val="0093157C"/>
    <w:rsid w:val="00931597"/>
    <w:rsid w:val="00931A7F"/>
    <w:rsid w:val="00931CAB"/>
    <w:rsid w:val="00931D3A"/>
    <w:rsid w:val="00931F44"/>
    <w:rsid w:val="00932282"/>
    <w:rsid w:val="009322E4"/>
    <w:rsid w:val="0093249A"/>
    <w:rsid w:val="00932540"/>
    <w:rsid w:val="009327C9"/>
    <w:rsid w:val="00932A75"/>
    <w:rsid w:val="00932AA8"/>
    <w:rsid w:val="00932F34"/>
    <w:rsid w:val="00933167"/>
    <w:rsid w:val="009331E7"/>
    <w:rsid w:val="00933225"/>
    <w:rsid w:val="0093352F"/>
    <w:rsid w:val="00933726"/>
    <w:rsid w:val="0093385E"/>
    <w:rsid w:val="009338A2"/>
    <w:rsid w:val="0093391E"/>
    <w:rsid w:val="00933B0E"/>
    <w:rsid w:val="00933B2A"/>
    <w:rsid w:val="00933D03"/>
    <w:rsid w:val="00933D4B"/>
    <w:rsid w:val="00933D57"/>
    <w:rsid w:val="00933D8E"/>
    <w:rsid w:val="00933F8E"/>
    <w:rsid w:val="009343B8"/>
    <w:rsid w:val="00934480"/>
    <w:rsid w:val="009345A8"/>
    <w:rsid w:val="00934780"/>
    <w:rsid w:val="00934882"/>
    <w:rsid w:val="00934A54"/>
    <w:rsid w:val="00934E48"/>
    <w:rsid w:val="00934F90"/>
    <w:rsid w:val="00935364"/>
    <w:rsid w:val="00935776"/>
    <w:rsid w:val="00935998"/>
    <w:rsid w:val="00935CDD"/>
    <w:rsid w:val="00935D48"/>
    <w:rsid w:val="00935D82"/>
    <w:rsid w:val="009360D3"/>
    <w:rsid w:val="0093649D"/>
    <w:rsid w:val="00936552"/>
    <w:rsid w:val="00936982"/>
    <w:rsid w:val="00936DB3"/>
    <w:rsid w:val="00936F38"/>
    <w:rsid w:val="00937000"/>
    <w:rsid w:val="0093731C"/>
    <w:rsid w:val="00937464"/>
    <w:rsid w:val="0093746C"/>
    <w:rsid w:val="00937953"/>
    <w:rsid w:val="00937969"/>
    <w:rsid w:val="00937A60"/>
    <w:rsid w:val="00937D7D"/>
    <w:rsid w:val="0094024B"/>
    <w:rsid w:val="009404A9"/>
    <w:rsid w:val="0094099E"/>
    <w:rsid w:val="0094116A"/>
    <w:rsid w:val="009413FE"/>
    <w:rsid w:val="00941541"/>
    <w:rsid w:val="0094156C"/>
    <w:rsid w:val="009415F7"/>
    <w:rsid w:val="00941A15"/>
    <w:rsid w:val="00941A29"/>
    <w:rsid w:val="00942087"/>
    <w:rsid w:val="0094213D"/>
    <w:rsid w:val="009422C6"/>
    <w:rsid w:val="00942316"/>
    <w:rsid w:val="0094280A"/>
    <w:rsid w:val="009428BB"/>
    <w:rsid w:val="00942975"/>
    <w:rsid w:val="00942CDB"/>
    <w:rsid w:val="00942D43"/>
    <w:rsid w:val="0094303E"/>
    <w:rsid w:val="00943175"/>
    <w:rsid w:val="009431D2"/>
    <w:rsid w:val="00943519"/>
    <w:rsid w:val="0094368C"/>
    <w:rsid w:val="009436A5"/>
    <w:rsid w:val="009436D7"/>
    <w:rsid w:val="0094384B"/>
    <w:rsid w:val="0094397C"/>
    <w:rsid w:val="00943D34"/>
    <w:rsid w:val="00943F01"/>
    <w:rsid w:val="00944093"/>
    <w:rsid w:val="00944327"/>
    <w:rsid w:val="00944445"/>
    <w:rsid w:val="0094464D"/>
    <w:rsid w:val="00944726"/>
    <w:rsid w:val="00944AB3"/>
    <w:rsid w:val="00944D6A"/>
    <w:rsid w:val="00944EF2"/>
    <w:rsid w:val="0094532D"/>
    <w:rsid w:val="00945355"/>
    <w:rsid w:val="009453F2"/>
    <w:rsid w:val="0094575B"/>
    <w:rsid w:val="00945AA4"/>
    <w:rsid w:val="00945DC1"/>
    <w:rsid w:val="00945EF8"/>
    <w:rsid w:val="00945FB4"/>
    <w:rsid w:val="0094614A"/>
    <w:rsid w:val="009461F7"/>
    <w:rsid w:val="0094631B"/>
    <w:rsid w:val="00946430"/>
    <w:rsid w:val="00946797"/>
    <w:rsid w:val="00946844"/>
    <w:rsid w:val="00946995"/>
    <w:rsid w:val="00946BFD"/>
    <w:rsid w:val="00946C19"/>
    <w:rsid w:val="00946C46"/>
    <w:rsid w:val="00946CC1"/>
    <w:rsid w:val="00946CDA"/>
    <w:rsid w:val="00947196"/>
    <w:rsid w:val="00947611"/>
    <w:rsid w:val="0094778B"/>
    <w:rsid w:val="009477DB"/>
    <w:rsid w:val="009478F9"/>
    <w:rsid w:val="0094792F"/>
    <w:rsid w:val="00950228"/>
    <w:rsid w:val="00950485"/>
    <w:rsid w:val="00950AF7"/>
    <w:rsid w:val="00950B90"/>
    <w:rsid w:val="00951130"/>
    <w:rsid w:val="0095124C"/>
    <w:rsid w:val="009512F0"/>
    <w:rsid w:val="009521A1"/>
    <w:rsid w:val="009522FC"/>
    <w:rsid w:val="0095244D"/>
    <w:rsid w:val="0095285E"/>
    <w:rsid w:val="00952A31"/>
    <w:rsid w:val="00952EF8"/>
    <w:rsid w:val="00952F38"/>
    <w:rsid w:val="00953365"/>
    <w:rsid w:val="009533CE"/>
    <w:rsid w:val="0095360A"/>
    <w:rsid w:val="00953999"/>
    <w:rsid w:val="00953A2A"/>
    <w:rsid w:val="00953EB7"/>
    <w:rsid w:val="00954011"/>
    <w:rsid w:val="00954017"/>
    <w:rsid w:val="00954102"/>
    <w:rsid w:val="00954406"/>
    <w:rsid w:val="009544AF"/>
    <w:rsid w:val="00954723"/>
    <w:rsid w:val="0095485B"/>
    <w:rsid w:val="00954912"/>
    <w:rsid w:val="009551C8"/>
    <w:rsid w:val="00955862"/>
    <w:rsid w:val="00955996"/>
    <w:rsid w:val="009559B5"/>
    <w:rsid w:val="00955CE2"/>
    <w:rsid w:val="00955D55"/>
    <w:rsid w:val="00956151"/>
    <w:rsid w:val="0095646B"/>
    <w:rsid w:val="009565C9"/>
    <w:rsid w:val="00956662"/>
    <w:rsid w:val="00956674"/>
    <w:rsid w:val="00956709"/>
    <w:rsid w:val="00956B93"/>
    <w:rsid w:val="0095703D"/>
    <w:rsid w:val="00957051"/>
    <w:rsid w:val="0095714B"/>
    <w:rsid w:val="00957364"/>
    <w:rsid w:val="00957528"/>
    <w:rsid w:val="009578D7"/>
    <w:rsid w:val="00957DC0"/>
    <w:rsid w:val="009602E6"/>
    <w:rsid w:val="0096047C"/>
    <w:rsid w:val="009607C3"/>
    <w:rsid w:val="009608EB"/>
    <w:rsid w:val="00960AB5"/>
    <w:rsid w:val="00960FEF"/>
    <w:rsid w:val="0096100D"/>
    <w:rsid w:val="00961603"/>
    <w:rsid w:val="009616B4"/>
    <w:rsid w:val="00961C46"/>
    <w:rsid w:val="00961D2A"/>
    <w:rsid w:val="00961DD8"/>
    <w:rsid w:val="009620A3"/>
    <w:rsid w:val="00962230"/>
    <w:rsid w:val="0096232F"/>
    <w:rsid w:val="00962435"/>
    <w:rsid w:val="00962548"/>
    <w:rsid w:val="0096261D"/>
    <w:rsid w:val="0096263C"/>
    <w:rsid w:val="00962877"/>
    <w:rsid w:val="0096292A"/>
    <w:rsid w:val="009629E8"/>
    <w:rsid w:val="00962B89"/>
    <w:rsid w:val="00962E8D"/>
    <w:rsid w:val="0096309E"/>
    <w:rsid w:val="009630CF"/>
    <w:rsid w:val="00963432"/>
    <w:rsid w:val="00963770"/>
    <w:rsid w:val="00963784"/>
    <w:rsid w:val="00963998"/>
    <w:rsid w:val="00963C9D"/>
    <w:rsid w:val="009640A9"/>
    <w:rsid w:val="009640F5"/>
    <w:rsid w:val="00964297"/>
    <w:rsid w:val="009643C3"/>
    <w:rsid w:val="00964427"/>
    <w:rsid w:val="009645E9"/>
    <w:rsid w:val="009649C7"/>
    <w:rsid w:val="00964A17"/>
    <w:rsid w:val="00964A28"/>
    <w:rsid w:val="009652E0"/>
    <w:rsid w:val="00965898"/>
    <w:rsid w:val="00965BFE"/>
    <w:rsid w:val="00965CAD"/>
    <w:rsid w:val="00965D44"/>
    <w:rsid w:val="00965FC2"/>
    <w:rsid w:val="00966040"/>
    <w:rsid w:val="009660A0"/>
    <w:rsid w:val="00966117"/>
    <w:rsid w:val="0096626F"/>
    <w:rsid w:val="0096641E"/>
    <w:rsid w:val="00966481"/>
    <w:rsid w:val="00966671"/>
    <w:rsid w:val="0096678B"/>
    <w:rsid w:val="00966901"/>
    <w:rsid w:val="00966CEA"/>
    <w:rsid w:val="00966E4F"/>
    <w:rsid w:val="00967208"/>
    <w:rsid w:val="00967213"/>
    <w:rsid w:val="009673E5"/>
    <w:rsid w:val="009676D9"/>
    <w:rsid w:val="009677D6"/>
    <w:rsid w:val="00967BCA"/>
    <w:rsid w:val="00967D82"/>
    <w:rsid w:val="00967DB0"/>
    <w:rsid w:val="00967E4B"/>
    <w:rsid w:val="00967E63"/>
    <w:rsid w:val="00970C9E"/>
    <w:rsid w:val="009711AE"/>
    <w:rsid w:val="00971276"/>
    <w:rsid w:val="00971641"/>
    <w:rsid w:val="00971743"/>
    <w:rsid w:val="009717B9"/>
    <w:rsid w:val="00971BE6"/>
    <w:rsid w:val="00971C2F"/>
    <w:rsid w:val="00971CF9"/>
    <w:rsid w:val="00972584"/>
    <w:rsid w:val="00972719"/>
    <w:rsid w:val="00972851"/>
    <w:rsid w:val="00972945"/>
    <w:rsid w:val="009729AE"/>
    <w:rsid w:val="00973062"/>
    <w:rsid w:val="009730A0"/>
    <w:rsid w:val="009730F8"/>
    <w:rsid w:val="00973523"/>
    <w:rsid w:val="00973548"/>
    <w:rsid w:val="0097388E"/>
    <w:rsid w:val="00973E36"/>
    <w:rsid w:val="00973E9D"/>
    <w:rsid w:val="00973EFC"/>
    <w:rsid w:val="0097402F"/>
    <w:rsid w:val="0097405B"/>
    <w:rsid w:val="009741C3"/>
    <w:rsid w:val="009743CF"/>
    <w:rsid w:val="00974747"/>
    <w:rsid w:val="009747EF"/>
    <w:rsid w:val="00974840"/>
    <w:rsid w:val="00974D25"/>
    <w:rsid w:val="00974F6C"/>
    <w:rsid w:val="0097539E"/>
    <w:rsid w:val="009756E0"/>
    <w:rsid w:val="009756E3"/>
    <w:rsid w:val="009759C7"/>
    <w:rsid w:val="00975AA7"/>
    <w:rsid w:val="00975C42"/>
    <w:rsid w:val="00975D51"/>
    <w:rsid w:val="00975FEF"/>
    <w:rsid w:val="009760C9"/>
    <w:rsid w:val="0097618D"/>
    <w:rsid w:val="00976337"/>
    <w:rsid w:val="00976554"/>
    <w:rsid w:val="009767A6"/>
    <w:rsid w:val="00976BFA"/>
    <w:rsid w:val="00976CDB"/>
    <w:rsid w:val="0097704E"/>
    <w:rsid w:val="009771C7"/>
    <w:rsid w:val="0097733D"/>
    <w:rsid w:val="00977342"/>
    <w:rsid w:val="009773D6"/>
    <w:rsid w:val="0097749F"/>
    <w:rsid w:val="009775FB"/>
    <w:rsid w:val="0097766B"/>
    <w:rsid w:val="009778DC"/>
    <w:rsid w:val="00977D34"/>
    <w:rsid w:val="00977EE5"/>
    <w:rsid w:val="00980074"/>
    <w:rsid w:val="00980146"/>
    <w:rsid w:val="00980462"/>
    <w:rsid w:val="0098063E"/>
    <w:rsid w:val="009807FF"/>
    <w:rsid w:val="00980883"/>
    <w:rsid w:val="00980AAC"/>
    <w:rsid w:val="00980B3D"/>
    <w:rsid w:val="00980EDE"/>
    <w:rsid w:val="00981582"/>
    <w:rsid w:val="009818AA"/>
    <w:rsid w:val="00981945"/>
    <w:rsid w:val="009819DC"/>
    <w:rsid w:val="00981A72"/>
    <w:rsid w:val="00981BDC"/>
    <w:rsid w:val="00981CB4"/>
    <w:rsid w:val="00981CC4"/>
    <w:rsid w:val="00981F73"/>
    <w:rsid w:val="0098227F"/>
    <w:rsid w:val="00982476"/>
    <w:rsid w:val="0098279C"/>
    <w:rsid w:val="00982A18"/>
    <w:rsid w:val="00982A9E"/>
    <w:rsid w:val="00982AB9"/>
    <w:rsid w:val="00982B92"/>
    <w:rsid w:val="00982D0C"/>
    <w:rsid w:val="0098312E"/>
    <w:rsid w:val="009831A4"/>
    <w:rsid w:val="00983526"/>
    <w:rsid w:val="00983555"/>
    <w:rsid w:val="0098363A"/>
    <w:rsid w:val="00983DA7"/>
    <w:rsid w:val="00983DE2"/>
    <w:rsid w:val="00984125"/>
    <w:rsid w:val="0098451F"/>
    <w:rsid w:val="00984744"/>
    <w:rsid w:val="00984791"/>
    <w:rsid w:val="009847E6"/>
    <w:rsid w:val="0098499C"/>
    <w:rsid w:val="00984CD3"/>
    <w:rsid w:val="00984E77"/>
    <w:rsid w:val="00985018"/>
    <w:rsid w:val="00985077"/>
    <w:rsid w:val="00985164"/>
    <w:rsid w:val="00985383"/>
    <w:rsid w:val="00985391"/>
    <w:rsid w:val="00985636"/>
    <w:rsid w:val="00985669"/>
    <w:rsid w:val="0098575B"/>
    <w:rsid w:val="00985781"/>
    <w:rsid w:val="00985979"/>
    <w:rsid w:val="009859E4"/>
    <w:rsid w:val="0098608C"/>
    <w:rsid w:val="0098617B"/>
    <w:rsid w:val="0098634F"/>
    <w:rsid w:val="009863D9"/>
    <w:rsid w:val="00986433"/>
    <w:rsid w:val="0098643D"/>
    <w:rsid w:val="009865F2"/>
    <w:rsid w:val="00986C0F"/>
    <w:rsid w:val="00986C4D"/>
    <w:rsid w:val="00986E3D"/>
    <w:rsid w:val="00986E96"/>
    <w:rsid w:val="00987006"/>
    <w:rsid w:val="009870B4"/>
    <w:rsid w:val="009870E9"/>
    <w:rsid w:val="00987174"/>
    <w:rsid w:val="00987536"/>
    <w:rsid w:val="00987630"/>
    <w:rsid w:val="0098786E"/>
    <w:rsid w:val="00987947"/>
    <w:rsid w:val="009879C2"/>
    <w:rsid w:val="009879FF"/>
    <w:rsid w:val="00987A30"/>
    <w:rsid w:val="00987C08"/>
    <w:rsid w:val="00987EB3"/>
    <w:rsid w:val="00987FB5"/>
    <w:rsid w:val="0099018E"/>
    <w:rsid w:val="00990383"/>
    <w:rsid w:val="0099049E"/>
    <w:rsid w:val="00990581"/>
    <w:rsid w:val="009906B1"/>
    <w:rsid w:val="00990BCB"/>
    <w:rsid w:val="00990C6F"/>
    <w:rsid w:val="00990DB1"/>
    <w:rsid w:val="0099104E"/>
    <w:rsid w:val="00991200"/>
    <w:rsid w:val="00991358"/>
    <w:rsid w:val="009913DA"/>
    <w:rsid w:val="00991677"/>
    <w:rsid w:val="00991902"/>
    <w:rsid w:val="00991A7B"/>
    <w:rsid w:val="00991AD3"/>
    <w:rsid w:val="00991BBC"/>
    <w:rsid w:val="00991BDF"/>
    <w:rsid w:val="00991D47"/>
    <w:rsid w:val="00991E80"/>
    <w:rsid w:val="00991F9B"/>
    <w:rsid w:val="00991FE7"/>
    <w:rsid w:val="009920C4"/>
    <w:rsid w:val="00992119"/>
    <w:rsid w:val="0099251A"/>
    <w:rsid w:val="00992CC6"/>
    <w:rsid w:val="00992E48"/>
    <w:rsid w:val="00992EFF"/>
    <w:rsid w:val="0099334E"/>
    <w:rsid w:val="009934D6"/>
    <w:rsid w:val="00993508"/>
    <w:rsid w:val="00993F5A"/>
    <w:rsid w:val="00994163"/>
    <w:rsid w:val="00994272"/>
    <w:rsid w:val="00994396"/>
    <w:rsid w:val="0099460C"/>
    <w:rsid w:val="00994B8D"/>
    <w:rsid w:val="00994B97"/>
    <w:rsid w:val="00994F21"/>
    <w:rsid w:val="00994F8B"/>
    <w:rsid w:val="00994FE6"/>
    <w:rsid w:val="009950BF"/>
    <w:rsid w:val="00995145"/>
    <w:rsid w:val="0099535C"/>
    <w:rsid w:val="00995396"/>
    <w:rsid w:val="009953D1"/>
    <w:rsid w:val="0099546C"/>
    <w:rsid w:val="0099579A"/>
    <w:rsid w:val="0099580D"/>
    <w:rsid w:val="009958A8"/>
    <w:rsid w:val="009959C3"/>
    <w:rsid w:val="00995B33"/>
    <w:rsid w:val="00996128"/>
    <w:rsid w:val="009966BF"/>
    <w:rsid w:val="00996751"/>
    <w:rsid w:val="0099687C"/>
    <w:rsid w:val="00996A4F"/>
    <w:rsid w:val="00996A96"/>
    <w:rsid w:val="00996C5F"/>
    <w:rsid w:val="00996D53"/>
    <w:rsid w:val="00996F13"/>
    <w:rsid w:val="00997242"/>
    <w:rsid w:val="009972AB"/>
    <w:rsid w:val="00997853"/>
    <w:rsid w:val="00997B0D"/>
    <w:rsid w:val="0099A29D"/>
    <w:rsid w:val="009A0032"/>
    <w:rsid w:val="009A03B2"/>
    <w:rsid w:val="009A03F6"/>
    <w:rsid w:val="009A0511"/>
    <w:rsid w:val="009A066F"/>
    <w:rsid w:val="009A0837"/>
    <w:rsid w:val="009A0B5F"/>
    <w:rsid w:val="009A0E9C"/>
    <w:rsid w:val="009A1778"/>
    <w:rsid w:val="009A1A89"/>
    <w:rsid w:val="009A1C1A"/>
    <w:rsid w:val="009A1F32"/>
    <w:rsid w:val="009A2034"/>
    <w:rsid w:val="009A20F8"/>
    <w:rsid w:val="009A2335"/>
    <w:rsid w:val="009A2382"/>
    <w:rsid w:val="009A2430"/>
    <w:rsid w:val="009A2547"/>
    <w:rsid w:val="009A2A65"/>
    <w:rsid w:val="009A2B7D"/>
    <w:rsid w:val="009A2C23"/>
    <w:rsid w:val="009A3177"/>
    <w:rsid w:val="009A31E4"/>
    <w:rsid w:val="009A3398"/>
    <w:rsid w:val="009A346D"/>
    <w:rsid w:val="009A34C3"/>
    <w:rsid w:val="009A39D5"/>
    <w:rsid w:val="009A3A2E"/>
    <w:rsid w:val="009A3B87"/>
    <w:rsid w:val="009A3DB7"/>
    <w:rsid w:val="009A435C"/>
    <w:rsid w:val="009A448D"/>
    <w:rsid w:val="009A48BA"/>
    <w:rsid w:val="009A48DD"/>
    <w:rsid w:val="009A4930"/>
    <w:rsid w:val="009A4960"/>
    <w:rsid w:val="009A4C7E"/>
    <w:rsid w:val="009A4E40"/>
    <w:rsid w:val="009A4E6A"/>
    <w:rsid w:val="009A4E78"/>
    <w:rsid w:val="009A4EDA"/>
    <w:rsid w:val="009A5130"/>
    <w:rsid w:val="009A51A6"/>
    <w:rsid w:val="009A58EC"/>
    <w:rsid w:val="009A5952"/>
    <w:rsid w:val="009A5A66"/>
    <w:rsid w:val="009A5DDB"/>
    <w:rsid w:val="009A5FF9"/>
    <w:rsid w:val="009A60DF"/>
    <w:rsid w:val="009A64D1"/>
    <w:rsid w:val="009A6599"/>
    <w:rsid w:val="009A6656"/>
    <w:rsid w:val="009A6F2B"/>
    <w:rsid w:val="009A70BA"/>
    <w:rsid w:val="009A7279"/>
    <w:rsid w:val="009A76D4"/>
    <w:rsid w:val="009A7932"/>
    <w:rsid w:val="009A7B0F"/>
    <w:rsid w:val="009A7C2C"/>
    <w:rsid w:val="009A7DF9"/>
    <w:rsid w:val="009A7F6B"/>
    <w:rsid w:val="009B0088"/>
    <w:rsid w:val="009B059B"/>
    <w:rsid w:val="009B05E4"/>
    <w:rsid w:val="009B061B"/>
    <w:rsid w:val="009B073B"/>
    <w:rsid w:val="009B0795"/>
    <w:rsid w:val="009B0A8D"/>
    <w:rsid w:val="009B0AF5"/>
    <w:rsid w:val="009B0B08"/>
    <w:rsid w:val="009B0B40"/>
    <w:rsid w:val="009B102D"/>
    <w:rsid w:val="009B146E"/>
    <w:rsid w:val="009B1716"/>
    <w:rsid w:val="009B23EA"/>
    <w:rsid w:val="009B25DB"/>
    <w:rsid w:val="009B2C3C"/>
    <w:rsid w:val="009B2E79"/>
    <w:rsid w:val="009B3023"/>
    <w:rsid w:val="009B3339"/>
    <w:rsid w:val="009B34A5"/>
    <w:rsid w:val="009B3B64"/>
    <w:rsid w:val="009B3C28"/>
    <w:rsid w:val="009B3D4B"/>
    <w:rsid w:val="009B3E74"/>
    <w:rsid w:val="009B3ED8"/>
    <w:rsid w:val="009B3FBD"/>
    <w:rsid w:val="009B4049"/>
    <w:rsid w:val="009B4161"/>
    <w:rsid w:val="009B470F"/>
    <w:rsid w:val="009B496D"/>
    <w:rsid w:val="009B4B3F"/>
    <w:rsid w:val="009B4B55"/>
    <w:rsid w:val="009B4B66"/>
    <w:rsid w:val="009B4FD6"/>
    <w:rsid w:val="009B5684"/>
    <w:rsid w:val="009B5775"/>
    <w:rsid w:val="009B5A28"/>
    <w:rsid w:val="009B5B9D"/>
    <w:rsid w:val="009B5C64"/>
    <w:rsid w:val="009B5E64"/>
    <w:rsid w:val="009B5EA9"/>
    <w:rsid w:val="009B6027"/>
    <w:rsid w:val="009B6127"/>
    <w:rsid w:val="009B644F"/>
    <w:rsid w:val="009B64A5"/>
    <w:rsid w:val="009B64A6"/>
    <w:rsid w:val="009B652F"/>
    <w:rsid w:val="009B68E9"/>
    <w:rsid w:val="009B6969"/>
    <w:rsid w:val="009B6AA7"/>
    <w:rsid w:val="009B6C0D"/>
    <w:rsid w:val="009B73CA"/>
    <w:rsid w:val="009B766D"/>
    <w:rsid w:val="009B79D3"/>
    <w:rsid w:val="009B7BD8"/>
    <w:rsid w:val="009B7C0E"/>
    <w:rsid w:val="009B7C4B"/>
    <w:rsid w:val="009B7E0A"/>
    <w:rsid w:val="009B7E67"/>
    <w:rsid w:val="009B7F36"/>
    <w:rsid w:val="009C032E"/>
    <w:rsid w:val="009C03C2"/>
    <w:rsid w:val="009C05AA"/>
    <w:rsid w:val="009C07AC"/>
    <w:rsid w:val="009C0FC4"/>
    <w:rsid w:val="009C0FE6"/>
    <w:rsid w:val="009C143E"/>
    <w:rsid w:val="009C1533"/>
    <w:rsid w:val="009C241D"/>
    <w:rsid w:val="009C2431"/>
    <w:rsid w:val="009C2B39"/>
    <w:rsid w:val="009C2BC2"/>
    <w:rsid w:val="009C2E3C"/>
    <w:rsid w:val="009C323C"/>
    <w:rsid w:val="009C32CF"/>
    <w:rsid w:val="009C32E4"/>
    <w:rsid w:val="009C361A"/>
    <w:rsid w:val="009C3786"/>
    <w:rsid w:val="009C3BC9"/>
    <w:rsid w:val="009C3CCB"/>
    <w:rsid w:val="009C3DCC"/>
    <w:rsid w:val="009C421A"/>
    <w:rsid w:val="009C432A"/>
    <w:rsid w:val="009C4409"/>
    <w:rsid w:val="009C4538"/>
    <w:rsid w:val="009C45C4"/>
    <w:rsid w:val="009C4601"/>
    <w:rsid w:val="009C4839"/>
    <w:rsid w:val="009C483C"/>
    <w:rsid w:val="009C48CD"/>
    <w:rsid w:val="009C48DF"/>
    <w:rsid w:val="009C4A2C"/>
    <w:rsid w:val="009C4C41"/>
    <w:rsid w:val="009C4E34"/>
    <w:rsid w:val="009C4FA4"/>
    <w:rsid w:val="009C5014"/>
    <w:rsid w:val="009C508E"/>
    <w:rsid w:val="009C50BF"/>
    <w:rsid w:val="009C512B"/>
    <w:rsid w:val="009C5336"/>
    <w:rsid w:val="009C53DF"/>
    <w:rsid w:val="009C5626"/>
    <w:rsid w:val="009C5A73"/>
    <w:rsid w:val="009C5A9F"/>
    <w:rsid w:val="009C5C3F"/>
    <w:rsid w:val="009C5CDD"/>
    <w:rsid w:val="009C5CE9"/>
    <w:rsid w:val="009C63CF"/>
    <w:rsid w:val="009C699F"/>
    <w:rsid w:val="009C6D22"/>
    <w:rsid w:val="009C6E8F"/>
    <w:rsid w:val="009C70D6"/>
    <w:rsid w:val="009C725D"/>
    <w:rsid w:val="009C72DB"/>
    <w:rsid w:val="009C732D"/>
    <w:rsid w:val="009C7556"/>
    <w:rsid w:val="009C75A6"/>
    <w:rsid w:val="009C75D6"/>
    <w:rsid w:val="009C7849"/>
    <w:rsid w:val="009C7917"/>
    <w:rsid w:val="009C7D4E"/>
    <w:rsid w:val="009C7EFE"/>
    <w:rsid w:val="009D0312"/>
    <w:rsid w:val="009D0406"/>
    <w:rsid w:val="009D08A7"/>
    <w:rsid w:val="009D09FD"/>
    <w:rsid w:val="009D0ACC"/>
    <w:rsid w:val="009D0C42"/>
    <w:rsid w:val="009D0E5D"/>
    <w:rsid w:val="009D0F46"/>
    <w:rsid w:val="009D0FED"/>
    <w:rsid w:val="009D100F"/>
    <w:rsid w:val="009D13DE"/>
    <w:rsid w:val="009D1666"/>
    <w:rsid w:val="009D1942"/>
    <w:rsid w:val="009D1B27"/>
    <w:rsid w:val="009D1C89"/>
    <w:rsid w:val="009D1FA5"/>
    <w:rsid w:val="009D1FA8"/>
    <w:rsid w:val="009D26A1"/>
    <w:rsid w:val="009D2D5A"/>
    <w:rsid w:val="009D2DCE"/>
    <w:rsid w:val="009D3327"/>
    <w:rsid w:val="009D3508"/>
    <w:rsid w:val="009D3765"/>
    <w:rsid w:val="009D3775"/>
    <w:rsid w:val="009D3876"/>
    <w:rsid w:val="009D3940"/>
    <w:rsid w:val="009D3BA1"/>
    <w:rsid w:val="009D3F8F"/>
    <w:rsid w:val="009D3FCB"/>
    <w:rsid w:val="009D4115"/>
    <w:rsid w:val="009D46E0"/>
    <w:rsid w:val="009D48DF"/>
    <w:rsid w:val="009D49DE"/>
    <w:rsid w:val="009D4B37"/>
    <w:rsid w:val="009D50A1"/>
    <w:rsid w:val="009D5106"/>
    <w:rsid w:val="009D5291"/>
    <w:rsid w:val="009D52D4"/>
    <w:rsid w:val="009D533B"/>
    <w:rsid w:val="009D5524"/>
    <w:rsid w:val="009D57C7"/>
    <w:rsid w:val="009D5BE1"/>
    <w:rsid w:val="009D5D11"/>
    <w:rsid w:val="009D6030"/>
    <w:rsid w:val="009D6344"/>
    <w:rsid w:val="009D6363"/>
    <w:rsid w:val="009D6561"/>
    <w:rsid w:val="009D65DA"/>
    <w:rsid w:val="009D664F"/>
    <w:rsid w:val="009D6749"/>
    <w:rsid w:val="009D6A67"/>
    <w:rsid w:val="009D6B60"/>
    <w:rsid w:val="009D6DF1"/>
    <w:rsid w:val="009D6E4B"/>
    <w:rsid w:val="009D6E60"/>
    <w:rsid w:val="009D6FDD"/>
    <w:rsid w:val="009D75D7"/>
    <w:rsid w:val="009D773D"/>
    <w:rsid w:val="009D7FFB"/>
    <w:rsid w:val="009E0026"/>
    <w:rsid w:val="009E03F0"/>
    <w:rsid w:val="009E0597"/>
    <w:rsid w:val="009E074A"/>
    <w:rsid w:val="009E0CD6"/>
    <w:rsid w:val="009E0FFF"/>
    <w:rsid w:val="009E12C7"/>
    <w:rsid w:val="009E14FD"/>
    <w:rsid w:val="009E15D2"/>
    <w:rsid w:val="009E1636"/>
    <w:rsid w:val="009E174F"/>
    <w:rsid w:val="009E197C"/>
    <w:rsid w:val="009E19F3"/>
    <w:rsid w:val="009E1CFF"/>
    <w:rsid w:val="009E1DC3"/>
    <w:rsid w:val="009E1EE5"/>
    <w:rsid w:val="009E2227"/>
    <w:rsid w:val="009E26AE"/>
    <w:rsid w:val="009E2D20"/>
    <w:rsid w:val="009E3052"/>
    <w:rsid w:val="009E30DA"/>
    <w:rsid w:val="009E312D"/>
    <w:rsid w:val="009E3303"/>
    <w:rsid w:val="009E339E"/>
    <w:rsid w:val="009E357F"/>
    <w:rsid w:val="009E363B"/>
    <w:rsid w:val="009E38FD"/>
    <w:rsid w:val="009E39CA"/>
    <w:rsid w:val="009E3C8A"/>
    <w:rsid w:val="009E3D75"/>
    <w:rsid w:val="009E3F0A"/>
    <w:rsid w:val="009E4021"/>
    <w:rsid w:val="009E4121"/>
    <w:rsid w:val="009E42A6"/>
    <w:rsid w:val="009E42B6"/>
    <w:rsid w:val="009E46B0"/>
    <w:rsid w:val="009E4760"/>
    <w:rsid w:val="009E47B5"/>
    <w:rsid w:val="009E494C"/>
    <w:rsid w:val="009E4ACC"/>
    <w:rsid w:val="009E4B4B"/>
    <w:rsid w:val="009E50B0"/>
    <w:rsid w:val="009E50DF"/>
    <w:rsid w:val="009E5713"/>
    <w:rsid w:val="009E5B8D"/>
    <w:rsid w:val="009E5BC5"/>
    <w:rsid w:val="009E5F22"/>
    <w:rsid w:val="009E646A"/>
    <w:rsid w:val="009E651E"/>
    <w:rsid w:val="009E65EE"/>
    <w:rsid w:val="009E6B4C"/>
    <w:rsid w:val="009E6C1B"/>
    <w:rsid w:val="009E7292"/>
    <w:rsid w:val="009E72B6"/>
    <w:rsid w:val="009E73D7"/>
    <w:rsid w:val="009E74A9"/>
    <w:rsid w:val="009E74B4"/>
    <w:rsid w:val="009E75AC"/>
    <w:rsid w:val="009E7A80"/>
    <w:rsid w:val="009E7B95"/>
    <w:rsid w:val="009E7E6E"/>
    <w:rsid w:val="009E7F10"/>
    <w:rsid w:val="009F03CC"/>
    <w:rsid w:val="009F049C"/>
    <w:rsid w:val="009F04A3"/>
    <w:rsid w:val="009F0537"/>
    <w:rsid w:val="009F05FF"/>
    <w:rsid w:val="009F080D"/>
    <w:rsid w:val="009F0D81"/>
    <w:rsid w:val="009F0EA8"/>
    <w:rsid w:val="009F0F20"/>
    <w:rsid w:val="009F1238"/>
    <w:rsid w:val="009F125D"/>
    <w:rsid w:val="009F1737"/>
    <w:rsid w:val="009F18DF"/>
    <w:rsid w:val="009F1972"/>
    <w:rsid w:val="009F1A65"/>
    <w:rsid w:val="009F1CFF"/>
    <w:rsid w:val="009F1EE6"/>
    <w:rsid w:val="009F20B3"/>
    <w:rsid w:val="009F2367"/>
    <w:rsid w:val="009F2A27"/>
    <w:rsid w:val="009F2A83"/>
    <w:rsid w:val="009F2D00"/>
    <w:rsid w:val="009F3158"/>
    <w:rsid w:val="009F3282"/>
    <w:rsid w:val="009F3671"/>
    <w:rsid w:val="009F40BE"/>
    <w:rsid w:val="009F410A"/>
    <w:rsid w:val="009F4467"/>
    <w:rsid w:val="009F44DD"/>
    <w:rsid w:val="009F4525"/>
    <w:rsid w:val="009F46B5"/>
    <w:rsid w:val="009F4AE8"/>
    <w:rsid w:val="009F4BB8"/>
    <w:rsid w:val="009F53B3"/>
    <w:rsid w:val="009F568A"/>
    <w:rsid w:val="009F5C37"/>
    <w:rsid w:val="009F5D97"/>
    <w:rsid w:val="009F5E4F"/>
    <w:rsid w:val="009F5E57"/>
    <w:rsid w:val="009F5E87"/>
    <w:rsid w:val="009F616D"/>
    <w:rsid w:val="009F6386"/>
    <w:rsid w:val="009F63EA"/>
    <w:rsid w:val="009F64B8"/>
    <w:rsid w:val="009F67D4"/>
    <w:rsid w:val="009F67E3"/>
    <w:rsid w:val="009F6AC2"/>
    <w:rsid w:val="009F6E94"/>
    <w:rsid w:val="009F6F60"/>
    <w:rsid w:val="009F7495"/>
    <w:rsid w:val="009F74D3"/>
    <w:rsid w:val="009F7659"/>
    <w:rsid w:val="009F77D9"/>
    <w:rsid w:val="009F7E0A"/>
    <w:rsid w:val="009F7EE3"/>
    <w:rsid w:val="00A0039B"/>
    <w:rsid w:val="00A0039D"/>
    <w:rsid w:val="00A009DD"/>
    <w:rsid w:val="00A00DB9"/>
    <w:rsid w:val="00A00F45"/>
    <w:rsid w:val="00A01042"/>
    <w:rsid w:val="00A0104D"/>
    <w:rsid w:val="00A01327"/>
    <w:rsid w:val="00A017C4"/>
    <w:rsid w:val="00A019FF"/>
    <w:rsid w:val="00A01BC6"/>
    <w:rsid w:val="00A01CBC"/>
    <w:rsid w:val="00A01DD6"/>
    <w:rsid w:val="00A01E8C"/>
    <w:rsid w:val="00A020EC"/>
    <w:rsid w:val="00A0217D"/>
    <w:rsid w:val="00A0222F"/>
    <w:rsid w:val="00A02422"/>
    <w:rsid w:val="00A02544"/>
    <w:rsid w:val="00A02779"/>
    <w:rsid w:val="00A0282F"/>
    <w:rsid w:val="00A029A2"/>
    <w:rsid w:val="00A02B2A"/>
    <w:rsid w:val="00A02B3F"/>
    <w:rsid w:val="00A02C4A"/>
    <w:rsid w:val="00A03127"/>
    <w:rsid w:val="00A0355D"/>
    <w:rsid w:val="00A0364B"/>
    <w:rsid w:val="00A03BFD"/>
    <w:rsid w:val="00A03EDC"/>
    <w:rsid w:val="00A04209"/>
    <w:rsid w:val="00A04279"/>
    <w:rsid w:val="00A04337"/>
    <w:rsid w:val="00A046F2"/>
    <w:rsid w:val="00A04BC3"/>
    <w:rsid w:val="00A04D4D"/>
    <w:rsid w:val="00A04F2A"/>
    <w:rsid w:val="00A05143"/>
    <w:rsid w:val="00A05152"/>
    <w:rsid w:val="00A056F8"/>
    <w:rsid w:val="00A05B72"/>
    <w:rsid w:val="00A05C36"/>
    <w:rsid w:val="00A05F8E"/>
    <w:rsid w:val="00A06055"/>
    <w:rsid w:val="00A0659D"/>
    <w:rsid w:val="00A0682A"/>
    <w:rsid w:val="00A06924"/>
    <w:rsid w:val="00A06B97"/>
    <w:rsid w:val="00A07221"/>
    <w:rsid w:val="00A07321"/>
    <w:rsid w:val="00A073B8"/>
    <w:rsid w:val="00A07D96"/>
    <w:rsid w:val="00A10137"/>
    <w:rsid w:val="00A10219"/>
    <w:rsid w:val="00A1033A"/>
    <w:rsid w:val="00A1047E"/>
    <w:rsid w:val="00A1068C"/>
    <w:rsid w:val="00A10BD6"/>
    <w:rsid w:val="00A11171"/>
    <w:rsid w:val="00A111C3"/>
    <w:rsid w:val="00A111D9"/>
    <w:rsid w:val="00A11213"/>
    <w:rsid w:val="00A11444"/>
    <w:rsid w:val="00A117CE"/>
    <w:rsid w:val="00A11DA6"/>
    <w:rsid w:val="00A1213F"/>
    <w:rsid w:val="00A12157"/>
    <w:rsid w:val="00A123BE"/>
    <w:rsid w:val="00A12413"/>
    <w:rsid w:val="00A12705"/>
    <w:rsid w:val="00A12902"/>
    <w:rsid w:val="00A12932"/>
    <w:rsid w:val="00A12C1F"/>
    <w:rsid w:val="00A12C71"/>
    <w:rsid w:val="00A12CDB"/>
    <w:rsid w:val="00A12D3D"/>
    <w:rsid w:val="00A12ED4"/>
    <w:rsid w:val="00A13107"/>
    <w:rsid w:val="00A1315D"/>
    <w:rsid w:val="00A13253"/>
    <w:rsid w:val="00A13407"/>
    <w:rsid w:val="00A1347E"/>
    <w:rsid w:val="00A1381A"/>
    <w:rsid w:val="00A13D90"/>
    <w:rsid w:val="00A13E29"/>
    <w:rsid w:val="00A13E39"/>
    <w:rsid w:val="00A13E3C"/>
    <w:rsid w:val="00A14318"/>
    <w:rsid w:val="00A143EA"/>
    <w:rsid w:val="00A144C2"/>
    <w:rsid w:val="00A1461F"/>
    <w:rsid w:val="00A147FE"/>
    <w:rsid w:val="00A148F6"/>
    <w:rsid w:val="00A14981"/>
    <w:rsid w:val="00A14AC7"/>
    <w:rsid w:val="00A14D4C"/>
    <w:rsid w:val="00A14F70"/>
    <w:rsid w:val="00A1533B"/>
    <w:rsid w:val="00A1546D"/>
    <w:rsid w:val="00A158D1"/>
    <w:rsid w:val="00A15C67"/>
    <w:rsid w:val="00A162C8"/>
    <w:rsid w:val="00A16364"/>
    <w:rsid w:val="00A1679A"/>
    <w:rsid w:val="00A16833"/>
    <w:rsid w:val="00A1687B"/>
    <w:rsid w:val="00A16D6D"/>
    <w:rsid w:val="00A16ECF"/>
    <w:rsid w:val="00A17030"/>
    <w:rsid w:val="00A17073"/>
    <w:rsid w:val="00A17166"/>
    <w:rsid w:val="00A172DD"/>
    <w:rsid w:val="00A17477"/>
    <w:rsid w:val="00A17A03"/>
    <w:rsid w:val="00A17C2D"/>
    <w:rsid w:val="00A17EEC"/>
    <w:rsid w:val="00A20067"/>
    <w:rsid w:val="00A2007C"/>
    <w:rsid w:val="00A203B2"/>
    <w:rsid w:val="00A20847"/>
    <w:rsid w:val="00A2089C"/>
    <w:rsid w:val="00A20C34"/>
    <w:rsid w:val="00A20C4E"/>
    <w:rsid w:val="00A21113"/>
    <w:rsid w:val="00A21120"/>
    <w:rsid w:val="00A2140A"/>
    <w:rsid w:val="00A21688"/>
    <w:rsid w:val="00A218B7"/>
    <w:rsid w:val="00A21C4D"/>
    <w:rsid w:val="00A21DD5"/>
    <w:rsid w:val="00A22324"/>
    <w:rsid w:val="00A2244F"/>
    <w:rsid w:val="00A22899"/>
    <w:rsid w:val="00A228A5"/>
    <w:rsid w:val="00A22E77"/>
    <w:rsid w:val="00A22E9E"/>
    <w:rsid w:val="00A2322A"/>
    <w:rsid w:val="00A2393F"/>
    <w:rsid w:val="00A23F71"/>
    <w:rsid w:val="00A2416B"/>
    <w:rsid w:val="00A24281"/>
    <w:rsid w:val="00A2432F"/>
    <w:rsid w:val="00A243E1"/>
    <w:rsid w:val="00A243ED"/>
    <w:rsid w:val="00A24438"/>
    <w:rsid w:val="00A24524"/>
    <w:rsid w:val="00A24795"/>
    <w:rsid w:val="00A2528D"/>
    <w:rsid w:val="00A253FE"/>
    <w:rsid w:val="00A25609"/>
    <w:rsid w:val="00A258BE"/>
    <w:rsid w:val="00A25B2A"/>
    <w:rsid w:val="00A25F1F"/>
    <w:rsid w:val="00A25F31"/>
    <w:rsid w:val="00A25F87"/>
    <w:rsid w:val="00A25FB5"/>
    <w:rsid w:val="00A2615E"/>
    <w:rsid w:val="00A2631C"/>
    <w:rsid w:val="00A26486"/>
    <w:rsid w:val="00A26611"/>
    <w:rsid w:val="00A267AF"/>
    <w:rsid w:val="00A2692A"/>
    <w:rsid w:val="00A26DFF"/>
    <w:rsid w:val="00A26F2D"/>
    <w:rsid w:val="00A26FF0"/>
    <w:rsid w:val="00A2720A"/>
    <w:rsid w:val="00A2730E"/>
    <w:rsid w:val="00A2737F"/>
    <w:rsid w:val="00A276D2"/>
    <w:rsid w:val="00A27AAC"/>
    <w:rsid w:val="00A27DCF"/>
    <w:rsid w:val="00A30107"/>
    <w:rsid w:val="00A301DF"/>
    <w:rsid w:val="00A305A9"/>
    <w:rsid w:val="00A306A3"/>
    <w:rsid w:val="00A307ED"/>
    <w:rsid w:val="00A308B5"/>
    <w:rsid w:val="00A308D5"/>
    <w:rsid w:val="00A30924"/>
    <w:rsid w:val="00A309D0"/>
    <w:rsid w:val="00A30A2B"/>
    <w:rsid w:val="00A30C69"/>
    <w:rsid w:val="00A30EE4"/>
    <w:rsid w:val="00A31372"/>
    <w:rsid w:val="00A31409"/>
    <w:rsid w:val="00A31923"/>
    <w:rsid w:val="00A31978"/>
    <w:rsid w:val="00A31A86"/>
    <w:rsid w:val="00A31AB4"/>
    <w:rsid w:val="00A31D27"/>
    <w:rsid w:val="00A32068"/>
    <w:rsid w:val="00A32141"/>
    <w:rsid w:val="00A324CE"/>
    <w:rsid w:val="00A32557"/>
    <w:rsid w:val="00A32821"/>
    <w:rsid w:val="00A3284A"/>
    <w:rsid w:val="00A32873"/>
    <w:rsid w:val="00A3291F"/>
    <w:rsid w:val="00A329ED"/>
    <w:rsid w:val="00A32A28"/>
    <w:rsid w:val="00A32A97"/>
    <w:rsid w:val="00A32B6F"/>
    <w:rsid w:val="00A32C8A"/>
    <w:rsid w:val="00A32DA8"/>
    <w:rsid w:val="00A32F17"/>
    <w:rsid w:val="00A33073"/>
    <w:rsid w:val="00A3310D"/>
    <w:rsid w:val="00A33587"/>
    <w:rsid w:val="00A335A8"/>
    <w:rsid w:val="00A33622"/>
    <w:rsid w:val="00A33658"/>
    <w:rsid w:val="00A33862"/>
    <w:rsid w:val="00A339EC"/>
    <w:rsid w:val="00A33A9C"/>
    <w:rsid w:val="00A33D27"/>
    <w:rsid w:val="00A33DA1"/>
    <w:rsid w:val="00A33FC1"/>
    <w:rsid w:val="00A34285"/>
    <w:rsid w:val="00A3452C"/>
    <w:rsid w:val="00A346AD"/>
    <w:rsid w:val="00A35022"/>
    <w:rsid w:val="00A35038"/>
    <w:rsid w:val="00A3506B"/>
    <w:rsid w:val="00A350A6"/>
    <w:rsid w:val="00A35319"/>
    <w:rsid w:val="00A353F2"/>
    <w:rsid w:val="00A35402"/>
    <w:rsid w:val="00A35621"/>
    <w:rsid w:val="00A35C64"/>
    <w:rsid w:val="00A35D0D"/>
    <w:rsid w:val="00A3616A"/>
    <w:rsid w:val="00A368FC"/>
    <w:rsid w:val="00A36972"/>
    <w:rsid w:val="00A36DB2"/>
    <w:rsid w:val="00A36E25"/>
    <w:rsid w:val="00A3701D"/>
    <w:rsid w:val="00A37195"/>
    <w:rsid w:val="00A37673"/>
    <w:rsid w:val="00A377FE"/>
    <w:rsid w:val="00A379F0"/>
    <w:rsid w:val="00A40017"/>
    <w:rsid w:val="00A40025"/>
    <w:rsid w:val="00A408B8"/>
    <w:rsid w:val="00A40C9B"/>
    <w:rsid w:val="00A40D55"/>
    <w:rsid w:val="00A40EBD"/>
    <w:rsid w:val="00A41211"/>
    <w:rsid w:val="00A4125C"/>
    <w:rsid w:val="00A4139A"/>
    <w:rsid w:val="00A413EE"/>
    <w:rsid w:val="00A414BB"/>
    <w:rsid w:val="00A414E4"/>
    <w:rsid w:val="00A41555"/>
    <w:rsid w:val="00A41E72"/>
    <w:rsid w:val="00A421DB"/>
    <w:rsid w:val="00A421F1"/>
    <w:rsid w:val="00A4225B"/>
    <w:rsid w:val="00A42371"/>
    <w:rsid w:val="00A42574"/>
    <w:rsid w:val="00A42981"/>
    <w:rsid w:val="00A4375B"/>
    <w:rsid w:val="00A43780"/>
    <w:rsid w:val="00A437BE"/>
    <w:rsid w:val="00A43AF4"/>
    <w:rsid w:val="00A44091"/>
    <w:rsid w:val="00A44658"/>
    <w:rsid w:val="00A4466E"/>
    <w:rsid w:val="00A44690"/>
    <w:rsid w:val="00A44943"/>
    <w:rsid w:val="00A44EDB"/>
    <w:rsid w:val="00A45028"/>
    <w:rsid w:val="00A45403"/>
    <w:rsid w:val="00A454A3"/>
    <w:rsid w:val="00A4559F"/>
    <w:rsid w:val="00A45836"/>
    <w:rsid w:val="00A45A36"/>
    <w:rsid w:val="00A45B8E"/>
    <w:rsid w:val="00A45C45"/>
    <w:rsid w:val="00A45DE8"/>
    <w:rsid w:val="00A45EA1"/>
    <w:rsid w:val="00A45EE7"/>
    <w:rsid w:val="00A46789"/>
    <w:rsid w:val="00A46B89"/>
    <w:rsid w:val="00A46C0E"/>
    <w:rsid w:val="00A46C61"/>
    <w:rsid w:val="00A46D35"/>
    <w:rsid w:val="00A46E4F"/>
    <w:rsid w:val="00A46E5F"/>
    <w:rsid w:val="00A46EA5"/>
    <w:rsid w:val="00A47334"/>
    <w:rsid w:val="00A473F9"/>
    <w:rsid w:val="00A47791"/>
    <w:rsid w:val="00A47838"/>
    <w:rsid w:val="00A47AAC"/>
    <w:rsid w:val="00A47D0C"/>
    <w:rsid w:val="00A47FA6"/>
    <w:rsid w:val="00A47FA9"/>
    <w:rsid w:val="00A501F7"/>
    <w:rsid w:val="00A50270"/>
    <w:rsid w:val="00A50297"/>
    <w:rsid w:val="00A50518"/>
    <w:rsid w:val="00A50765"/>
    <w:rsid w:val="00A50E2C"/>
    <w:rsid w:val="00A512A6"/>
    <w:rsid w:val="00A51382"/>
    <w:rsid w:val="00A51590"/>
    <w:rsid w:val="00A516A1"/>
    <w:rsid w:val="00A51C25"/>
    <w:rsid w:val="00A51D99"/>
    <w:rsid w:val="00A51EF5"/>
    <w:rsid w:val="00A52109"/>
    <w:rsid w:val="00A52273"/>
    <w:rsid w:val="00A523EC"/>
    <w:rsid w:val="00A527F4"/>
    <w:rsid w:val="00A52851"/>
    <w:rsid w:val="00A52962"/>
    <w:rsid w:val="00A52B36"/>
    <w:rsid w:val="00A530E2"/>
    <w:rsid w:val="00A5326C"/>
    <w:rsid w:val="00A53337"/>
    <w:rsid w:val="00A534A0"/>
    <w:rsid w:val="00A539E7"/>
    <w:rsid w:val="00A53C73"/>
    <w:rsid w:val="00A543A9"/>
    <w:rsid w:val="00A543ED"/>
    <w:rsid w:val="00A54959"/>
    <w:rsid w:val="00A5511B"/>
    <w:rsid w:val="00A552DC"/>
    <w:rsid w:val="00A557EA"/>
    <w:rsid w:val="00A5585D"/>
    <w:rsid w:val="00A55A75"/>
    <w:rsid w:val="00A55A82"/>
    <w:rsid w:val="00A55D69"/>
    <w:rsid w:val="00A55E8C"/>
    <w:rsid w:val="00A55F0C"/>
    <w:rsid w:val="00A55FAE"/>
    <w:rsid w:val="00A561F4"/>
    <w:rsid w:val="00A5627B"/>
    <w:rsid w:val="00A56858"/>
    <w:rsid w:val="00A56B4F"/>
    <w:rsid w:val="00A56C30"/>
    <w:rsid w:val="00A56C45"/>
    <w:rsid w:val="00A56C73"/>
    <w:rsid w:val="00A56DAF"/>
    <w:rsid w:val="00A56EC8"/>
    <w:rsid w:val="00A56EF2"/>
    <w:rsid w:val="00A56FAD"/>
    <w:rsid w:val="00A57020"/>
    <w:rsid w:val="00A572E5"/>
    <w:rsid w:val="00A573B3"/>
    <w:rsid w:val="00A573D8"/>
    <w:rsid w:val="00A5754A"/>
    <w:rsid w:val="00A576B0"/>
    <w:rsid w:val="00A57713"/>
    <w:rsid w:val="00A577E7"/>
    <w:rsid w:val="00A57B3B"/>
    <w:rsid w:val="00A57C29"/>
    <w:rsid w:val="00A60102"/>
    <w:rsid w:val="00A60601"/>
    <w:rsid w:val="00A60AE9"/>
    <w:rsid w:val="00A6166E"/>
    <w:rsid w:val="00A61680"/>
    <w:rsid w:val="00A61B35"/>
    <w:rsid w:val="00A61D98"/>
    <w:rsid w:val="00A61DEE"/>
    <w:rsid w:val="00A6206F"/>
    <w:rsid w:val="00A6213B"/>
    <w:rsid w:val="00A622B4"/>
    <w:rsid w:val="00A623DA"/>
    <w:rsid w:val="00A62413"/>
    <w:rsid w:val="00A62A67"/>
    <w:rsid w:val="00A63139"/>
    <w:rsid w:val="00A6345A"/>
    <w:rsid w:val="00A6359C"/>
    <w:rsid w:val="00A635AE"/>
    <w:rsid w:val="00A63640"/>
    <w:rsid w:val="00A636AA"/>
    <w:rsid w:val="00A636DD"/>
    <w:rsid w:val="00A636F6"/>
    <w:rsid w:val="00A636F7"/>
    <w:rsid w:val="00A63842"/>
    <w:rsid w:val="00A64020"/>
    <w:rsid w:val="00A64024"/>
    <w:rsid w:val="00A64A65"/>
    <w:rsid w:val="00A64B67"/>
    <w:rsid w:val="00A650DD"/>
    <w:rsid w:val="00A65117"/>
    <w:rsid w:val="00A653AF"/>
    <w:rsid w:val="00A65546"/>
    <w:rsid w:val="00A65689"/>
    <w:rsid w:val="00A657FF"/>
    <w:rsid w:val="00A658B3"/>
    <w:rsid w:val="00A65A0E"/>
    <w:rsid w:val="00A65DC4"/>
    <w:rsid w:val="00A6631C"/>
    <w:rsid w:val="00A6674F"/>
    <w:rsid w:val="00A66ED6"/>
    <w:rsid w:val="00A66F86"/>
    <w:rsid w:val="00A6726D"/>
    <w:rsid w:val="00A67315"/>
    <w:rsid w:val="00A6738E"/>
    <w:rsid w:val="00A67456"/>
    <w:rsid w:val="00A6749C"/>
    <w:rsid w:val="00A675A9"/>
    <w:rsid w:val="00A67B01"/>
    <w:rsid w:val="00A67BDB"/>
    <w:rsid w:val="00A67CD8"/>
    <w:rsid w:val="00A70156"/>
    <w:rsid w:val="00A7094D"/>
    <w:rsid w:val="00A70B1F"/>
    <w:rsid w:val="00A70B7D"/>
    <w:rsid w:val="00A70C89"/>
    <w:rsid w:val="00A70DC0"/>
    <w:rsid w:val="00A71372"/>
    <w:rsid w:val="00A71409"/>
    <w:rsid w:val="00A71415"/>
    <w:rsid w:val="00A7148A"/>
    <w:rsid w:val="00A7181B"/>
    <w:rsid w:val="00A71861"/>
    <w:rsid w:val="00A71A6E"/>
    <w:rsid w:val="00A71B19"/>
    <w:rsid w:val="00A71B5B"/>
    <w:rsid w:val="00A71B8C"/>
    <w:rsid w:val="00A71B98"/>
    <w:rsid w:val="00A71BB0"/>
    <w:rsid w:val="00A71E8C"/>
    <w:rsid w:val="00A72548"/>
    <w:rsid w:val="00A7276F"/>
    <w:rsid w:val="00A728F0"/>
    <w:rsid w:val="00A72C4F"/>
    <w:rsid w:val="00A72C55"/>
    <w:rsid w:val="00A72CB5"/>
    <w:rsid w:val="00A72E97"/>
    <w:rsid w:val="00A73198"/>
    <w:rsid w:val="00A73A42"/>
    <w:rsid w:val="00A73B6A"/>
    <w:rsid w:val="00A73D50"/>
    <w:rsid w:val="00A73F0D"/>
    <w:rsid w:val="00A740E1"/>
    <w:rsid w:val="00A741E0"/>
    <w:rsid w:val="00A74426"/>
    <w:rsid w:val="00A74616"/>
    <w:rsid w:val="00A74CC8"/>
    <w:rsid w:val="00A74D8E"/>
    <w:rsid w:val="00A74DCD"/>
    <w:rsid w:val="00A74FC2"/>
    <w:rsid w:val="00A75400"/>
    <w:rsid w:val="00A755CF"/>
    <w:rsid w:val="00A759E8"/>
    <w:rsid w:val="00A75B9A"/>
    <w:rsid w:val="00A75BDF"/>
    <w:rsid w:val="00A75D54"/>
    <w:rsid w:val="00A7602A"/>
    <w:rsid w:val="00A760C3"/>
    <w:rsid w:val="00A761C3"/>
    <w:rsid w:val="00A76205"/>
    <w:rsid w:val="00A76366"/>
    <w:rsid w:val="00A76499"/>
    <w:rsid w:val="00A7666B"/>
    <w:rsid w:val="00A766FF"/>
    <w:rsid w:val="00A76975"/>
    <w:rsid w:val="00A76BB2"/>
    <w:rsid w:val="00A77470"/>
    <w:rsid w:val="00A77523"/>
    <w:rsid w:val="00A77767"/>
    <w:rsid w:val="00A778A5"/>
    <w:rsid w:val="00A77912"/>
    <w:rsid w:val="00A77B0C"/>
    <w:rsid w:val="00A77D3F"/>
    <w:rsid w:val="00A77F57"/>
    <w:rsid w:val="00A8001D"/>
    <w:rsid w:val="00A800A7"/>
    <w:rsid w:val="00A80105"/>
    <w:rsid w:val="00A80549"/>
    <w:rsid w:val="00A80691"/>
    <w:rsid w:val="00A80BAC"/>
    <w:rsid w:val="00A80C6F"/>
    <w:rsid w:val="00A80DA1"/>
    <w:rsid w:val="00A81133"/>
    <w:rsid w:val="00A8116F"/>
    <w:rsid w:val="00A8118E"/>
    <w:rsid w:val="00A81226"/>
    <w:rsid w:val="00A81357"/>
    <w:rsid w:val="00A817C4"/>
    <w:rsid w:val="00A81BAA"/>
    <w:rsid w:val="00A828AF"/>
    <w:rsid w:val="00A82BA1"/>
    <w:rsid w:val="00A82CF8"/>
    <w:rsid w:val="00A82F00"/>
    <w:rsid w:val="00A82F3C"/>
    <w:rsid w:val="00A83064"/>
    <w:rsid w:val="00A83191"/>
    <w:rsid w:val="00A832AC"/>
    <w:rsid w:val="00A83311"/>
    <w:rsid w:val="00A8374C"/>
    <w:rsid w:val="00A83795"/>
    <w:rsid w:val="00A837FF"/>
    <w:rsid w:val="00A83B24"/>
    <w:rsid w:val="00A83BAF"/>
    <w:rsid w:val="00A83CB4"/>
    <w:rsid w:val="00A84265"/>
    <w:rsid w:val="00A84340"/>
    <w:rsid w:val="00A84531"/>
    <w:rsid w:val="00A8454C"/>
    <w:rsid w:val="00A84677"/>
    <w:rsid w:val="00A84A86"/>
    <w:rsid w:val="00A84D7E"/>
    <w:rsid w:val="00A85212"/>
    <w:rsid w:val="00A8550E"/>
    <w:rsid w:val="00A85838"/>
    <w:rsid w:val="00A85AF5"/>
    <w:rsid w:val="00A85B5B"/>
    <w:rsid w:val="00A85BD7"/>
    <w:rsid w:val="00A85CC8"/>
    <w:rsid w:val="00A86794"/>
    <w:rsid w:val="00A867ED"/>
    <w:rsid w:val="00A86B7E"/>
    <w:rsid w:val="00A86F11"/>
    <w:rsid w:val="00A87723"/>
    <w:rsid w:val="00A879BA"/>
    <w:rsid w:val="00A87CA8"/>
    <w:rsid w:val="00A87D77"/>
    <w:rsid w:val="00A90005"/>
    <w:rsid w:val="00A90232"/>
    <w:rsid w:val="00A90362"/>
    <w:rsid w:val="00A90626"/>
    <w:rsid w:val="00A90A71"/>
    <w:rsid w:val="00A90ED7"/>
    <w:rsid w:val="00A9130A"/>
    <w:rsid w:val="00A9132F"/>
    <w:rsid w:val="00A91412"/>
    <w:rsid w:val="00A91977"/>
    <w:rsid w:val="00A91DDC"/>
    <w:rsid w:val="00A9276F"/>
    <w:rsid w:val="00A92902"/>
    <w:rsid w:val="00A92AFA"/>
    <w:rsid w:val="00A92B92"/>
    <w:rsid w:val="00A931AF"/>
    <w:rsid w:val="00A93640"/>
    <w:rsid w:val="00A936D2"/>
    <w:rsid w:val="00A93767"/>
    <w:rsid w:val="00A938D7"/>
    <w:rsid w:val="00A93903"/>
    <w:rsid w:val="00A93A1A"/>
    <w:rsid w:val="00A93AFF"/>
    <w:rsid w:val="00A93C0A"/>
    <w:rsid w:val="00A93DDA"/>
    <w:rsid w:val="00A93E5F"/>
    <w:rsid w:val="00A93FE6"/>
    <w:rsid w:val="00A94557"/>
    <w:rsid w:val="00A945A9"/>
    <w:rsid w:val="00A946C7"/>
    <w:rsid w:val="00A94AA6"/>
    <w:rsid w:val="00A94E76"/>
    <w:rsid w:val="00A958C7"/>
    <w:rsid w:val="00A958D5"/>
    <w:rsid w:val="00A95ADA"/>
    <w:rsid w:val="00A95B56"/>
    <w:rsid w:val="00A95E30"/>
    <w:rsid w:val="00A96135"/>
    <w:rsid w:val="00A96327"/>
    <w:rsid w:val="00A96472"/>
    <w:rsid w:val="00A9696D"/>
    <w:rsid w:val="00A96A90"/>
    <w:rsid w:val="00A96F14"/>
    <w:rsid w:val="00A96F6D"/>
    <w:rsid w:val="00A97485"/>
    <w:rsid w:val="00A97691"/>
    <w:rsid w:val="00A976D3"/>
    <w:rsid w:val="00A977E9"/>
    <w:rsid w:val="00A977F4"/>
    <w:rsid w:val="00A97872"/>
    <w:rsid w:val="00A978DD"/>
    <w:rsid w:val="00A9790F"/>
    <w:rsid w:val="00A97A15"/>
    <w:rsid w:val="00A97F8F"/>
    <w:rsid w:val="00AA0185"/>
    <w:rsid w:val="00AA0235"/>
    <w:rsid w:val="00AA03E7"/>
    <w:rsid w:val="00AA06E7"/>
    <w:rsid w:val="00AA0E9A"/>
    <w:rsid w:val="00AA106A"/>
    <w:rsid w:val="00AA1082"/>
    <w:rsid w:val="00AA10CE"/>
    <w:rsid w:val="00AA114D"/>
    <w:rsid w:val="00AA11D9"/>
    <w:rsid w:val="00AA1280"/>
    <w:rsid w:val="00AA13FB"/>
    <w:rsid w:val="00AA1441"/>
    <w:rsid w:val="00AA15BF"/>
    <w:rsid w:val="00AA1725"/>
    <w:rsid w:val="00AA1772"/>
    <w:rsid w:val="00AA1898"/>
    <w:rsid w:val="00AA1D05"/>
    <w:rsid w:val="00AA1E0A"/>
    <w:rsid w:val="00AA1F3A"/>
    <w:rsid w:val="00AA1F3C"/>
    <w:rsid w:val="00AA22E0"/>
    <w:rsid w:val="00AA2511"/>
    <w:rsid w:val="00AA26E2"/>
    <w:rsid w:val="00AA27D1"/>
    <w:rsid w:val="00AA2950"/>
    <w:rsid w:val="00AA2A10"/>
    <w:rsid w:val="00AA2A8A"/>
    <w:rsid w:val="00AA2AD8"/>
    <w:rsid w:val="00AA2C7F"/>
    <w:rsid w:val="00AA30EF"/>
    <w:rsid w:val="00AA3346"/>
    <w:rsid w:val="00AA3367"/>
    <w:rsid w:val="00AA33D2"/>
    <w:rsid w:val="00AA38DB"/>
    <w:rsid w:val="00AA3911"/>
    <w:rsid w:val="00AA39AE"/>
    <w:rsid w:val="00AA3CB7"/>
    <w:rsid w:val="00AA407F"/>
    <w:rsid w:val="00AA4220"/>
    <w:rsid w:val="00AA4309"/>
    <w:rsid w:val="00AA47BE"/>
    <w:rsid w:val="00AA4A42"/>
    <w:rsid w:val="00AA4BDA"/>
    <w:rsid w:val="00AA4BDF"/>
    <w:rsid w:val="00AA4C6D"/>
    <w:rsid w:val="00AA4CAD"/>
    <w:rsid w:val="00AA4D6F"/>
    <w:rsid w:val="00AA4E6C"/>
    <w:rsid w:val="00AA4F17"/>
    <w:rsid w:val="00AA5449"/>
    <w:rsid w:val="00AA57A0"/>
    <w:rsid w:val="00AA597F"/>
    <w:rsid w:val="00AA5ECD"/>
    <w:rsid w:val="00AA605E"/>
    <w:rsid w:val="00AA65F1"/>
    <w:rsid w:val="00AA6E80"/>
    <w:rsid w:val="00AA6F1E"/>
    <w:rsid w:val="00AA6F64"/>
    <w:rsid w:val="00AA6F8C"/>
    <w:rsid w:val="00AA7506"/>
    <w:rsid w:val="00AA7587"/>
    <w:rsid w:val="00AA7684"/>
    <w:rsid w:val="00AA780B"/>
    <w:rsid w:val="00AA7955"/>
    <w:rsid w:val="00AA7A5E"/>
    <w:rsid w:val="00AA7A61"/>
    <w:rsid w:val="00AA7B04"/>
    <w:rsid w:val="00AA7DBC"/>
    <w:rsid w:val="00AB00F5"/>
    <w:rsid w:val="00AB0129"/>
    <w:rsid w:val="00AB01AD"/>
    <w:rsid w:val="00AB06A3"/>
    <w:rsid w:val="00AB07AF"/>
    <w:rsid w:val="00AB0B2E"/>
    <w:rsid w:val="00AB0C17"/>
    <w:rsid w:val="00AB0C95"/>
    <w:rsid w:val="00AB0DD2"/>
    <w:rsid w:val="00AB0E2A"/>
    <w:rsid w:val="00AB1383"/>
    <w:rsid w:val="00AB1710"/>
    <w:rsid w:val="00AB184C"/>
    <w:rsid w:val="00AB18BD"/>
    <w:rsid w:val="00AB194C"/>
    <w:rsid w:val="00AB203C"/>
    <w:rsid w:val="00AB2061"/>
    <w:rsid w:val="00AB21D0"/>
    <w:rsid w:val="00AB23DD"/>
    <w:rsid w:val="00AB2572"/>
    <w:rsid w:val="00AB2917"/>
    <w:rsid w:val="00AB29BF"/>
    <w:rsid w:val="00AB2A46"/>
    <w:rsid w:val="00AB2AFC"/>
    <w:rsid w:val="00AB2BBE"/>
    <w:rsid w:val="00AB2C78"/>
    <w:rsid w:val="00AB2DAC"/>
    <w:rsid w:val="00AB3255"/>
    <w:rsid w:val="00AB33AF"/>
    <w:rsid w:val="00AB3550"/>
    <w:rsid w:val="00AB38E0"/>
    <w:rsid w:val="00AB3954"/>
    <w:rsid w:val="00AB3D3C"/>
    <w:rsid w:val="00AB3F17"/>
    <w:rsid w:val="00AB4343"/>
    <w:rsid w:val="00AB43C9"/>
    <w:rsid w:val="00AB4598"/>
    <w:rsid w:val="00AB48E7"/>
    <w:rsid w:val="00AB4933"/>
    <w:rsid w:val="00AB49F4"/>
    <w:rsid w:val="00AB52EB"/>
    <w:rsid w:val="00AB5DB5"/>
    <w:rsid w:val="00AB6070"/>
    <w:rsid w:val="00AB6315"/>
    <w:rsid w:val="00AB6EA2"/>
    <w:rsid w:val="00AB763F"/>
    <w:rsid w:val="00AB7732"/>
    <w:rsid w:val="00AB7AC6"/>
    <w:rsid w:val="00AB7B91"/>
    <w:rsid w:val="00AB7C59"/>
    <w:rsid w:val="00AB7D4B"/>
    <w:rsid w:val="00AB7E51"/>
    <w:rsid w:val="00AB7EB7"/>
    <w:rsid w:val="00AB7F1C"/>
    <w:rsid w:val="00AC0204"/>
    <w:rsid w:val="00AC0312"/>
    <w:rsid w:val="00AC08A4"/>
    <w:rsid w:val="00AC0A77"/>
    <w:rsid w:val="00AC0FC7"/>
    <w:rsid w:val="00AC10C5"/>
    <w:rsid w:val="00AC1879"/>
    <w:rsid w:val="00AC18B6"/>
    <w:rsid w:val="00AC199E"/>
    <w:rsid w:val="00AC19A8"/>
    <w:rsid w:val="00AC1E35"/>
    <w:rsid w:val="00AC1EE1"/>
    <w:rsid w:val="00AC20FA"/>
    <w:rsid w:val="00AC2AE4"/>
    <w:rsid w:val="00AC2AED"/>
    <w:rsid w:val="00AC2BEF"/>
    <w:rsid w:val="00AC2C00"/>
    <w:rsid w:val="00AC2E4D"/>
    <w:rsid w:val="00AC2F35"/>
    <w:rsid w:val="00AC325F"/>
    <w:rsid w:val="00AC34A8"/>
    <w:rsid w:val="00AC3639"/>
    <w:rsid w:val="00AC3A35"/>
    <w:rsid w:val="00AC417A"/>
    <w:rsid w:val="00AC4215"/>
    <w:rsid w:val="00AC4420"/>
    <w:rsid w:val="00AC484B"/>
    <w:rsid w:val="00AC4DEF"/>
    <w:rsid w:val="00AC4FC9"/>
    <w:rsid w:val="00AC504B"/>
    <w:rsid w:val="00AC52DC"/>
    <w:rsid w:val="00AC53C2"/>
    <w:rsid w:val="00AC5455"/>
    <w:rsid w:val="00AC5703"/>
    <w:rsid w:val="00AC5B6F"/>
    <w:rsid w:val="00AC5C99"/>
    <w:rsid w:val="00AC5E9F"/>
    <w:rsid w:val="00AC5EAC"/>
    <w:rsid w:val="00AC5EFC"/>
    <w:rsid w:val="00AC6543"/>
    <w:rsid w:val="00AC69E3"/>
    <w:rsid w:val="00AC6B3A"/>
    <w:rsid w:val="00AC6DD7"/>
    <w:rsid w:val="00AC6DE1"/>
    <w:rsid w:val="00AC6F15"/>
    <w:rsid w:val="00AC719C"/>
    <w:rsid w:val="00AC7213"/>
    <w:rsid w:val="00AC726D"/>
    <w:rsid w:val="00AC7797"/>
    <w:rsid w:val="00AC7A69"/>
    <w:rsid w:val="00AC7A6A"/>
    <w:rsid w:val="00AC7AE4"/>
    <w:rsid w:val="00AC7C02"/>
    <w:rsid w:val="00AC7C5B"/>
    <w:rsid w:val="00AC7E57"/>
    <w:rsid w:val="00AD01CD"/>
    <w:rsid w:val="00AD020C"/>
    <w:rsid w:val="00AD02C2"/>
    <w:rsid w:val="00AD0868"/>
    <w:rsid w:val="00AD0A4F"/>
    <w:rsid w:val="00AD0B19"/>
    <w:rsid w:val="00AD0E33"/>
    <w:rsid w:val="00AD0E98"/>
    <w:rsid w:val="00AD102B"/>
    <w:rsid w:val="00AD1178"/>
    <w:rsid w:val="00AD11B2"/>
    <w:rsid w:val="00AD1258"/>
    <w:rsid w:val="00AD1839"/>
    <w:rsid w:val="00AD189A"/>
    <w:rsid w:val="00AD18FE"/>
    <w:rsid w:val="00AD1D8B"/>
    <w:rsid w:val="00AD1DE9"/>
    <w:rsid w:val="00AD20C1"/>
    <w:rsid w:val="00AD252D"/>
    <w:rsid w:val="00AD261E"/>
    <w:rsid w:val="00AD2702"/>
    <w:rsid w:val="00AD2777"/>
    <w:rsid w:val="00AD2A9D"/>
    <w:rsid w:val="00AD2B6F"/>
    <w:rsid w:val="00AD2D67"/>
    <w:rsid w:val="00AD30A9"/>
    <w:rsid w:val="00AD33C3"/>
    <w:rsid w:val="00AD3472"/>
    <w:rsid w:val="00AD3528"/>
    <w:rsid w:val="00AD393E"/>
    <w:rsid w:val="00AD3B1D"/>
    <w:rsid w:val="00AD3D14"/>
    <w:rsid w:val="00AD463F"/>
    <w:rsid w:val="00AD49D1"/>
    <w:rsid w:val="00AD49D6"/>
    <w:rsid w:val="00AD4F51"/>
    <w:rsid w:val="00AD4FB6"/>
    <w:rsid w:val="00AD4FC2"/>
    <w:rsid w:val="00AD514A"/>
    <w:rsid w:val="00AD5743"/>
    <w:rsid w:val="00AD5AD4"/>
    <w:rsid w:val="00AD5BE8"/>
    <w:rsid w:val="00AD5F6F"/>
    <w:rsid w:val="00AD61C3"/>
    <w:rsid w:val="00AD6536"/>
    <w:rsid w:val="00AD6562"/>
    <w:rsid w:val="00AD66D4"/>
    <w:rsid w:val="00AD68B0"/>
    <w:rsid w:val="00AD6B3B"/>
    <w:rsid w:val="00AD6E1D"/>
    <w:rsid w:val="00AD7003"/>
    <w:rsid w:val="00AD7089"/>
    <w:rsid w:val="00AD70A7"/>
    <w:rsid w:val="00AD7104"/>
    <w:rsid w:val="00AD721A"/>
    <w:rsid w:val="00AD7399"/>
    <w:rsid w:val="00AD748F"/>
    <w:rsid w:val="00AD76F3"/>
    <w:rsid w:val="00AD77D8"/>
    <w:rsid w:val="00AD7E91"/>
    <w:rsid w:val="00AE0087"/>
    <w:rsid w:val="00AE0102"/>
    <w:rsid w:val="00AE01C1"/>
    <w:rsid w:val="00AE02D7"/>
    <w:rsid w:val="00AE0870"/>
    <w:rsid w:val="00AE08BF"/>
    <w:rsid w:val="00AE0ADF"/>
    <w:rsid w:val="00AE0C40"/>
    <w:rsid w:val="00AE0C4E"/>
    <w:rsid w:val="00AE12DF"/>
    <w:rsid w:val="00AE134C"/>
    <w:rsid w:val="00AE15C6"/>
    <w:rsid w:val="00AE186C"/>
    <w:rsid w:val="00AE1AD9"/>
    <w:rsid w:val="00AE1C08"/>
    <w:rsid w:val="00AE1D1D"/>
    <w:rsid w:val="00AE1D3B"/>
    <w:rsid w:val="00AE1E42"/>
    <w:rsid w:val="00AE1F1A"/>
    <w:rsid w:val="00AE2025"/>
    <w:rsid w:val="00AE2043"/>
    <w:rsid w:val="00AE2400"/>
    <w:rsid w:val="00AE2623"/>
    <w:rsid w:val="00AE2787"/>
    <w:rsid w:val="00AE2819"/>
    <w:rsid w:val="00AE29BF"/>
    <w:rsid w:val="00AE2A00"/>
    <w:rsid w:val="00AE2CE5"/>
    <w:rsid w:val="00AE2D09"/>
    <w:rsid w:val="00AE2D19"/>
    <w:rsid w:val="00AE2E1F"/>
    <w:rsid w:val="00AE335B"/>
    <w:rsid w:val="00AE36A0"/>
    <w:rsid w:val="00AE3770"/>
    <w:rsid w:val="00AE3A9C"/>
    <w:rsid w:val="00AE3B6F"/>
    <w:rsid w:val="00AE3D42"/>
    <w:rsid w:val="00AE4139"/>
    <w:rsid w:val="00AE4527"/>
    <w:rsid w:val="00AE46E3"/>
    <w:rsid w:val="00AE4712"/>
    <w:rsid w:val="00AE480F"/>
    <w:rsid w:val="00AE497C"/>
    <w:rsid w:val="00AE4A79"/>
    <w:rsid w:val="00AE4B5E"/>
    <w:rsid w:val="00AE4FC4"/>
    <w:rsid w:val="00AE5245"/>
    <w:rsid w:val="00AE53DB"/>
    <w:rsid w:val="00AE58E8"/>
    <w:rsid w:val="00AE5A37"/>
    <w:rsid w:val="00AE5C22"/>
    <w:rsid w:val="00AE6336"/>
    <w:rsid w:val="00AE6689"/>
    <w:rsid w:val="00AE6D75"/>
    <w:rsid w:val="00AE7198"/>
    <w:rsid w:val="00AE71C7"/>
    <w:rsid w:val="00AE780F"/>
    <w:rsid w:val="00AE7DCB"/>
    <w:rsid w:val="00AE7E28"/>
    <w:rsid w:val="00AF00A1"/>
    <w:rsid w:val="00AF0363"/>
    <w:rsid w:val="00AF03C8"/>
    <w:rsid w:val="00AF03EE"/>
    <w:rsid w:val="00AF03FE"/>
    <w:rsid w:val="00AF081A"/>
    <w:rsid w:val="00AF08A3"/>
    <w:rsid w:val="00AF0B6B"/>
    <w:rsid w:val="00AF1505"/>
    <w:rsid w:val="00AF15E5"/>
    <w:rsid w:val="00AF1613"/>
    <w:rsid w:val="00AF1BA1"/>
    <w:rsid w:val="00AF1D75"/>
    <w:rsid w:val="00AF22A1"/>
    <w:rsid w:val="00AF2434"/>
    <w:rsid w:val="00AF283B"/>
    <w:rsid w:val="00AF2A0E"/>
    <w:rsid w:val="00AF2C5E"/>
    <w:rsid w:val="00AF2D06"/>
    <w:rsid w:val="00AF2ECE"/>
    <w:rsid w:val="00AF2FBB"/>
    <w:rsid w:val="00AF3672"/>
    <w:rsid w:val="00AF37B2"/>
    <w:rsid w:val="00AF3D73"/>
    <w:rsid w:val="00AF3EC4"/>
    <w:rsid w:val="00AF43D5"/>
    <w:rsid w:val="00AF4743"/>
    <w:rsid w:val="00AF4834"/>
    <w:rsid w:val="00AF497D"/>
    <w:rsid w:val="00AF4E09"/>
    <w:rsid w:val="00AF4E7A"/>
    <w:rsid w:val="00AF4F25"/>
    <w:rsid w:val="00AF51B5"/>
    <w:rsid w:val="00AF5532"/>
    <w:rsid w:val="00AF57C6"/>
    <w:rsid w:val="00AF58D1"/>
    <w:rsid w:val="00AF5C7D"/>
    <w:rsid w:val="00AF5F17"/>
    <w:rsid w:val="00AF66BC"/>
    <w:rsid w:val="00AF6AC1"/>
    <w:rsid w:val="00AF722E"/>
    <w:rsid w:val="00AF75CB"/>
    <w:rsid w:val="00AF7A37"/>
    <w:rsid w:val="00AF7CC7"/>
    <w:rsid w:val="00AF7D97"/>
    <w:rsid w:val="00AF7FA6"/>
    <w:rsid w:val="00B0000C"/>
    <w:rsid w:val="00B000C5"/>
    <w:rsid w:val="00B001E9"/>
    <w:rsid w:val="00B004F6"/>
    <w:rsid w:val="00B00A21"/>
    <w:rsid w:val="00B00E66"/>
    <w:rsid w:val="00B00EB9"/>
    <w:rsid w:val="00B00FCB"/>
    <w:rsid w:val="00B0160F"/>
    <w:rsid w:val="00B016D2"/>
    <w:rsid w:val="00B017E7"/>
    <w:rsid w:val="00B01AA5"/>
    <w:rsid w:val="00B01B6D"/>
    <w:rsid w:val="00B01E00"/>
    <w:rsid w:val="00B02104"/>
    <w:rsid w:val="00B02337"/>
    <w:rsid w:val="00B02742"/>
    <w:rsid w:val="00B027A4"/>
    <w:rsid w:val="00B02AA1"/>
    <w:rsid w:val="00B02CD5"/>
    <w:rsid w:val="00B02CDB"/>
    <w:rsid w:val="00B02D23"/>
    <w:rsid w:val="00B02D6F"/>
    <w:rsid w:val="00B02EBB"/>
    <w:rsid w:val="00B03028"/>
    <w:rsid w:val="00B0339D"/>
    <w:rsid w:val="00B0341D"/>
    <w:rsid w:val="00B03449"/>
    <w:rsid w:val="00B038B2"/>
    <w:rsid w:val="00B038E1"/>
    <w:rsid w:val="00B03A16"/>
    <w:rsid w:val="00B03B5D"/>
    <w:rsid w:val="00B03C94"/>
    <w:rsid w:val="00B03D99"/>
    <w:rsid w:val="00B03DC5"/>
    <w:rsid w:val="00B03EBF"/>
    <w:rsid w:val="00B04220"/>
    <w:rsid w:val="00B0429F"/>
    <w:rsid w:val="00B043FF"/>
    <w:rsid w:val="00B0462A"/>
    <w:rsid w:val="00B0464C"/>
    <w:rsid w:val="00B04AF7"/>
    <w:rsid w:val="00B04EAF"/>
    <w:rsid w:val="00B04F59"/>
    <w:rsid w:val="00B050BC"/>
    <w:rsid w:val="00B0525C"/>
    <w:rsid w:val="00B0580C"/>
    <w:rsid w:val="00B05F27"/>
    <w:rsid w:val="00B05F30"/>
    <w:rsid w:val="00B0623D"/>
    <w:rsid w:val="00B06298"/>
    <w:rsid w:val="00B06332"/>
    <w:rsid w:val="00B06674"/>
    <w:rsid w:val="00B06955"/>
    <w:rsid w:val="00B06AEE"/>
    <w:rsid w:val="00B06DB8"/>
    <w:rsid w:val="00B06E1D"/>
    <w:rsid w:val="00B06EAA"/>
    <w:rsid w:val="00B06EBA"/>
    <w:rsid w:val="00B06F60"/>
    <w:rsid w:val="00B07654"/>
    <w:rsid w:val="00B07884"/>
    <w:rsid w:val="00B07AAD"/>
    <w:rsid w:val="00B07BA1"/>
    <w:rsid w:val="00B10053"/>
    <w:rsid w:val="00B102E9"/>
    <w:rsid w:val="00B10361"/>
    <w:rsid w:val="00B104DF"/>
    <w:rsid w:val="00B1074C"/>
    <w:rsid w:val="00B107AD"/>
    <w:rsid w:val="00B1097E"/>
    <w:rsid w:val="00B10E46"/>
    <w:rsid w:val="00B10F8D"/>
    <w:rsid w:val="00B111FA"/>
    <w:rsid w:val="00B11328"/>
    <w:rsid w:val="00B11400"/>
    <w:rsid w:val="00B114BC"/>
    <w:rsid w:val="00B115AD"/>
    <w:rsid w:val="00B11877"/>
    <w:rsid w:val="00B1197E"/>
    <w:rsid w:val="00B119C7"/>
    <w:rsid w:val="00B11A31"/>
    <w:rsid w:val="00B11B55"/>
    <w:rsid w:val="00B11C92"/>
    <w:rsid w:val="00B11CE8"/>
    <w:rsid w:val="00B11DFF"/>
    <w:rsid w:val="00B12240"/>
    <w:rsid w:val="00B1230C"/>
    <w:rsid w:val="00B1250A"/>
    <w:rsid w:val="00B12664"/>
    <w:rsid w:val="00B126EB"/>
    <w:rsid w:val="00B129E9"/>
    <w:rsid w:val="00B12AC9"/>
    <w:rsid w:val="00B12D52"/>
    <w:rsid w:val="00B12E35"/>
    <w:rsid w:val="00B1312D"/>
    <w:rsid w:val="00B131C7"/>
    <w:rsid w:val="00B133CC"/>
    <w:rsid w:val="00B133DD"/>
    <w:rsid w:val="00B1388C"/>
    <w:rsid w:val="00B138EC"/>
    <w:rsid w:val="00B139C2"/>
    <w:rsid w:val="00B13BE3"/>
    <w:rsid w:val="00B13E5E"/>
    <w:rsid w:val="00B14020"/>
    <w:rsid w:val="00B143F7"/>
    <w:rsid w:val="00B14402"/>
    <w:rsid w:val="00B14498"/>
    <w:rsid w:val="00B149B3"/>
    <w:rsid w:val="00B14A90"/>
    <w:rsid w:val="00B14AFD"/>
    <w:rsid w:val="00B14CFD"/>
    <w:rsid w:val="00B15112"/>
    <w:rsid w:val="00B15270"/>
    <w:rsid w:val="00B154F1"/>
    <w:rsid w:val="00B1551F"/>
    <w:rsid w:val="00B15814"/>
    <w:rsid w:val="00B158F3"/>
    <w:rsid w:val="00B15BCE"/>
    <w:rsid w:val="00B15C5A"/>
    <w:rsid w:val="00B15CEE"/>
    <w:rsid w:val="00B15CF6"/>
    <w:rsid w:val="00B167A6"/>
    <w:rsid w:val="00B1684E"/>
    <w:rsid w:val="00B16B39"/>
    <w:rsid w:val="00B16FC2"/>
    <w:rsid w:val="00B16FCA"/>
    <w:rsid w:val="00B17013"/>
    <w:rsid w:val="00B170AB"/>
    <w:rsid w:val="00B17163"/>
    <w:rsid w:val="00B173EF"/>
    <w:rsid w:val="00B1740B"/>
    <w:rsid w:val="00B17525"/>
    <w:rsid w:val="00B17807"/>
    <w:rsid w:val="00B17821"/>
    <w:rsid w:val="00B178F0"/>
    <w:rsid w:val="00B179B7"/>
    <w:rsid w:val="00B17A98"/>
    <w:rsid w:val="00B17E8D"/>
    <w:rsid w:val="00B20A35"/>
    <w:rsid w:val="00B20AD7"/>
    <w:rsid w:val="00B20C86"/>
    <w:rsid w:val="00B20CD2"/>
    <w:rsid w:val="00B20E35"/>
    <w:rsid w:val="00B20E55"/>
    <w:rsid w:val="00B20F67"/>
    <w:rsid w:val="00B21133"/>
    <w:rsid w:val="00B2131D"/>
    <w:rsid w:val="00B21524"/>
    <w:rsid w:val="00B21939"/>
    <w:rsid w:val="00B21C11"/>
    <w:rsid w:val="00B22017"/>
    <w:rsid w:val="00B2252C"/>
    <w:rsid w:val="00B226DD"/>
    <w:rsid w:val="00B22C11"/>
    <w:rsid w:val="00B22C85"/>
    <w:rsid w:val="00B23091"/>
    <w:rsid w:val="00B230C6"/>
    <w:rsid w:val="00B231E0"/>
    <w:rsid w:val="00B23624"/>
    <w:rsid w:val="00B2392A"/>
    <w:rsid w:val="00B23A7E"/>
    <w:rsid w:val="00B23AD8"/>
    <w:rsid w:val="00B23B15"/>
    <w:rsid w:val="00B23E5B"/>
    <w:rsid w:val="00B23F7F"/>
    <w:rsid w:val="00B24064"/>
    <w:rsid w:val="00B242D8"/>
    <w:rsid w:val="00B24614"/>
    <w:rsid w:val="00B246D6"/>
    <w:rsid w:val="00B24A3A"/>
    <w:rsid w:val="00B24B94"/>
    <w:rsid w:val="00B25250"/>
    <w:rsid w:val="00B252D7"/>
    <w:rsid w:val="00B25349"/>
    <w:rsid w:val="00B25449"/>
    <w:rsid w:val="00B25635"/>
    <w:rsid w:val="00B25922"/>
    <w:rsid w:val="00B264CC"/>
    <w:rsid w:val="00B26559"/>
    <w:rsid w:val="00B265C2"/>
    <w:rsid w:val="00B26712"/>
    <w:rsid w:val="00B26A4A"/>
    <w:rsid w:val="00B26A7F"/>
    <w:rsid w:val="00B26FA4"/>
    <w:rsid w:val="00B2718D"/>
    <w:rsid w:val="00B271D7"/>
    <w:rsid w:val="00B27733"/>
    <w:rsid w:val="00B278E8"/>
    <w:rsid w:val="00B27D53"/>
    <w:rsid w:val="00B27DE7"/>
    <w:rsid w:val="00B27EAB"/>
    <w:rsid w:val="00B30090"/>
    <w:rsid w:val="00B302FA"/>
    <w:rsid w:val="00B30900"/>
    <w:rsid w:val="00B30A4E"/>
    <w:rsid w:val="00B30A88"/>
    <w:rsid w:val="00B30ECB"/>
    <w:rsid w:val="00B311C4"/>
    <w:rsid w:val="00B3148E"/>
    <w:rsid w:val="00B3181C"/>
    <w:rsid w:val="00B31902"/>
    <w:rsid w:val="00B31A3F"/>
    <w:rsid w:val="00B322B0"/>
    <w:rsid w:val="00B324D3"/>
    <w:rsid w:val="00B32AE1"/>
    <w:rsid w:val="00B32CED"/>
    <w:rsid w:val="00B32D8B"/>
    <w:rsid w:val="00B32E21"/>
    <w:rsid w:val="00B334E1"/>
    <w:rsid w:val="00B3353A"/>
    <w:rsid w:val="00B33557"/>
    <w:rsid w:val="00B33607"/>
    <w:rsid w:val="00B3378C"/>
    <w:rsid w:val="00B338CE"/>
    <w:rsid w:val="00B33B00"/>
    <w:rsid w:val="00B33C6F"/>
    <w:rsid w:val="00B34250"/>
    <w:rsid w:val="00B344F1"/>
    <w:rsid w:val="00B349A1"/>
    <w:rsid w:val="00B35021"/>
    <w:rsid w:val="00B351F7"/>
    <w:rsid w:val="00B35308"/>
    <w:rsid w:val="00B353E9"/>
    <w:rsid w:val="00B3544B"/>
    <w:rsid w:val="00B3556A"/>
    <w:rsid w:val="00B35765"/>
    <w:rsid w:val="00B358DC"/>
    <w:rsid w:val="00B3596D"/>
    <w:rsid w:val="00B35980"/>
    <w:rsid w:val="00B35A6F"/>
    <w:rsid w:val="00B35BD2"/>
    <w:rsid w:val="00B35D36"/>
    <w:rsid w:val="00B35E19"/>
    <w:rsid w:val="00B3607B"/>
    <w:rsid w:val="00B36347"/>
    <w:rsid w:val="00B36550"/>
    <w:rsid w:val="00B369EC"/>
    <w:rsid w:val="00B36A04"/>
    <w:rsid w:val="00B36B4F"/>
    <w:rsid w:val="00B36D83"/>
    <w:rsid w:val="00B36FE2"/>
    <w:rsid w:val="00B3710B"/>
    <w:rsid w:val="00B372BD"/>
    <w:rsid w:val="00B3745C"/>
    <w:rsid w:val="00B378D5"/>
    <w:rsid w:val="00B37949"/>
    <w:rsid w:val="00B3797D"/>
    <w:rsid w:val="00B379C5"/>
    <w:rsid w:val="00B37FB2"/>
    <w:rsid w:val="00B4014B"/>
    <w:rsid w:val="00B40A0E"/>
    <w:rsid w:val="00B41018"/>
    <w:rsid w:val="00B41743"/>
    <w:rsid w:val="00B417DE"/>
    <w:rsid w:val="00B418F5"/>
    <w:rsid w:val="00B41A9F"/>
    <w:rsid w:val="00B41BBD"/>
    <w:rsid w:val="00B41BD6"/>
    <w:rsid w:val="00B41C93"/>
    <w:rsid w:val="00B41FC2"/>
    <w:rsid w:val="00B423F7"/>
    <w:rsid w:val="00B424F1"/>
    <w:rsid w:val="00B4257B"/>
    <w:rsid w:val="00B427E3"/>
    <w:rsid w:val="00B4283F"/>
    <w:rsid w:val="00B42958"/>
    <w:rsid w:val="00B42A65"/>
    <w:rsid w:val="00B42C1E"/>
    <w:rsid w:val="00B43597"/>
    <w:rsid w:val="00B43D33"/>
    <w:rsid w:val="00B43F28"/>
    <w:rsid w:val="00B44020"/>
    <w:rsid w:val="00B44081"/>
    <w:rsid w:val="00B44514"/>
    <w:rsid w:val="00B44AF5"/>
    <w:rsid w:val="00B44DC1"/>
    <w:rsid w:val="00B44E1F"/>
    <w:rsid w:val="00B44F2C"/>
    <w:rsid w:val="00B45375"/>
    <w:rsid w:val="00B453EF"/>
    <w:rsid w:val="00B45653"/>
    <w:rsid w:val="00B457C0"/>
    <w:rsid w:val="00B457DA"/>
    <w:rsid w:val="00B4593A"/>
    <w:rsid w:val="00B45D9C"/>
    <w:rsid w:val="00B45E4A"/>
    <w:rsid w:val="00B4642D"/>
    <w:rsid w:val="00B46469"/>
    <w:rsid w:val="00B46665"/>
    <w:rsid w:val="00B46701"/>
    <w:rsid w:val="00B46B33"/>
    <w:rsid w:val="00B46C8B"/>
    <w:rsid w:val="00B46C94"/>
    <w:rsid w:val="00B46CA9"/>
    <w:rsid w:val="00B46CCB"/>
    <w:rsid w:val="00B47754"/>
    <w:rsid w:val="00B47B7E"/>
    <w:rsid w:val="00B47BEF"/>
    <w:rsid w:val="00B47D4F"/>
    <w:rsid w:val="00B5026C"/>
    <w:rsid w:val="00B5047C"/>
    <w:rsid w:val="00B505A1"/>
    <w:rsid w:val="00B50987"/>
    <w:rsid w:val="00B50A3F"/>
    <w:rsid w:val="00B51113"/>
    <w:rsid w:val="00B511A7"/>
    <w:rsid w:val="00B5131C"/>
    <w:rsid w:val="00B513AD"/>
    <w:rsid w:val="00B5146D"/>
    <w:rsid w:val="00B51749"/>
    <w:rsid w:val="00B51A0A"/>
    <w:rsid w:val="00B51D01"/>
    <w:rsid w:val="00B51E68"/>
    <w:rsid w:val="00B51ECB"/>
    <w:rsid w:val="00B5220F"/>
    <w:rsid w:val="00B5236A"/>
    <w:rsid w:val="00B5249A"/>
    <w:rsid w:val="00B52617"/>
    <w:rsid w:val="00B527C1"/>
    <w:rsid w:val="00B52C38"/>
    <w:rsid w:val="00B52D6C"/>
    <w:rsid w:val="00B52DDA"/>
    <w:rsid w:val="00B52ED9"/>
    <w:rsid w:val="00B52F22"/>
    <w:rsid w:val="00B5319F"/>
    <w:rsid w:val="00B53495"/>
    <w:rsid w:val="00B537CE"/>
    <w:rsid w:val="00B53B3A"/>
    <w:rsid w:val="00B53DA7"/>
    <w:rsid w:val="00B53DDF"/>
    <w:rsid w:val="00B540D7"/>
    <w:rsid w:val="00B5447F"/>
    <w:rsid w:val="00B544C4"/>
    <w:rsid w:val="00B54803"/>
    <w:rsid w:val="00B54953"/>
    <w:rsid w:val="00B54A99"/>
    <w:rsid w:val="00B54B54"/>
    <w:rsid w:val="00B550AE"/>
    <w:rsid w:val="00B55260"/>
    <w:rsid w:val="00B55429"/>
    <w:rsid w:val="00B5587F"/>
    <w:rsid w:val="00B5588E"/>
    <w:rsid w:val="00B55B12"/>
    <w:rsid w:val="00B55B5C"/>
    <w:rsid w:val="00B55BDC"/>
    <w:rsid w:val="00B55CCE"/>
    <w:rsid w:val="00B55E45"/>
    <w:rsid w:val="00B55E4D"/>
    <w:rsid w:val="00B55E8B"/>
    <w:rsid w:val="00B563C2"/>
    <w:rsid w:val="00B563CA"/>
    <w:rsid w:val="00B56611"/>
    <w:rsid w:val="00B568ED"/>
    <w:rsid w:val="00B56960"/>
    <w:rsid w:val="00B56989"/>
    <w:rsid w:val="00B56B60"/>
    <w:rsid w:val="00B56EE9"/>
    <w:rsid w:val="00B56FD6"/>
    <w:rsid w:val="00B572C6"/>
    <w:rsid w:val="00B574AB"/>
    <w:rsid w:val="00B57DC5"/>
    <w:rsid w:val="00B57F83"/>
    <w:rsid w:val="00B602AE"/>
    <w:rsid w:val="00B6030E"/>
    <w:rsid w:val="00B604A8"/>
    <w:rsid w:val="00B604BD"/>
    <w:rsid w:val="00B60C29"/>
    <w:rsid w:val="00B60C96"/>
    <w:rsid w:val="00B60F1F"/>
    <w:rsid w:val="00B6110A"/>
    <w:rsid w:val="00B612F4"/>
    <w:rsid w:val="00B6174C"/>
    <w:rsid w:val="00B61C98"/>
    <w:rsid w:val="00B61E80"/>
    <w:rsid w:val="00B6256E"/>
    <w:rsid w:val="00B6261D"/>
    <w:rsid w:val="00B6267F"/>
    <w:rsid w:val="00B626EC"/>
    <w:rsid w:val="00B62906"/>
    <w:rsid w:val="00B62D83"/>
    <w:rsid w:val="00B62DCD"/>
    <w:rsid w:val="00B635BE"/>
    <w:rsid w:val="00B638B4"/>
    <w:rsid w:val="00B63C0C"/>
    <w:rsid w:val="00B63C1D"/>
    <w:rsid w:val="00B63ECE"/>
    <w:rsid w:val="00B63FA0"/>
    <w:rsid w:val="00B640E6"/>
    <w:rsid w:val="00B64180"/>
    <w:rsid w:val="00B641C6"/>
    <w:rsid w:val="00B645C6"/>
    <w:rsid w:val="00B64786"/>
    <w:rsid w:val="00B64C00"/>
    <w:rsid w:val="00B64C4F"/>
    <w:rsid w:val="00B64D9A"/>
    <w:rsid w:val="00B64DAA"/>
    <w:rsid w:val="00B6533B"/>
    <w:rsid w:val="00B65461"/>
    <w:rsid w:val="00B6557E"/>
    <w:rsid w:val="00B655AD"/>
    <w:rsid w:val="00B656C7"/>
    <w:rsid w:val="00B65DB9"/>
    <w:rsid w:val="00B66173"/>
    <w:rsid w:val="00B66287"/>
    <w:rsid w:val="00B66487"/>
    <w:rsid w:val="00B66488"/>
    <w:rsid w:val="00B664CA"/>
    <w:rsid w:val="00B66583"/>
    <w:rsid w:val="00B668E2"/>
    <w:rsid w:val="00B66952"/>
    <w:rsid w:val="00B66C44"/>
    <w:rsid w:val="00B6709D"/>
    <w:rsid w:val="00B67193"/>
    <w:rsid w:val="00B67308"/>
    <w:rsid w:val="00B67358"/>
    <w:rsid w:val="00B675FD"/>
    <w:rsid w:val="00B67CA2"/>
    <w:rsid w:val="00B67E2B"/>
    <w:rsid w:val="00B67EC5"/>
    <w:rsid w:val="00B67F3E"/>
    <w:rsid w:val="00B7007A"/>
    <w:rsid w:val="00B700A4"/>
    <w:rsid w:val="00B70573"/>
    <w:rsid w:val="00B708C7"/>
    <w:rsid w:val="00B70A35"/>
    <w:rsid w:val="00B70C04"/>
    <w:rsid w:val="00B70C47"/>
    <w:rsid w:val="00B711EE"/>
    <w:rsid w:val="00B71253"/>
    <w:rsid w:val="00B71270"/>
    <w:rsid w:val="00B714AC"/>
    <w:rsid w:val="00B7157D"/>
    <w:rsid w:val="00B7158C"/>
    <w:rsid w:val="00B71819"/>
    <w:rsid w:val="00B71A00"/>
    <w:rsid w:val="00B71D8D"/>
    <w:rsid w:val="00B71EC9"/>
    <w:rsid w:val="00B71EE7"/>
    <w:rsid w:val="00B720B4"/>
    <w:rsid w:val="00B72115"/>
    <w:rsid w:val="00B72282"/>
    <w:rsid w:val="00B722F8"/>
    <w:rsid w:val="00B724FD"/>
    <w:rsid w:val="00B72849"/>
    <w:rsid w:val="00B728A1"/>
    <w:rsid w:val="00B72DCE"/>
    <w:rsid w:val="00B730D4"/>
    <w:rsid w:val="00B73134"/>
    <w:rsid w:val="00B7319D"/>
    <w:rsid w:val="00B732F1"/>
    <w:rsid w:val="00B73474"/>
    <w:rsid w:val="00B7381C"/>
    <w:rsid w:val="00B73969"/>
    <w:rsid w:val="00B739A4"/>
    <w:rsid w:val="00B73A5C"/>
    <w:rsid w:val="00B73BCF"/>
    <w:rsid w:val="00B73C51"/>
    <w:rsid w:val="00B73D79"/>
    <w:rsid w:val="00B73EE3"/>
    <w:rsid w:val="00B74D7A"/>
    <w:rsid w:val="00B74DB1"/>
    <w:rsid w:val="00B74DB8"/>
    <w:rsid w:val="00B75016"/>
    <w:rsid w:val="00B750CA"/>
    <w:rsid w:val="00B751D1"/>
    <w:rsid w:val="00B754E3"/>
    <w:rsid w:val="00B75550"/>
    <w:rsid w:val="00B75656"/>
    <w:rsid w:val="00B756EF"/>
    <w:rsid w:val="00B75907"/>
    <w:rsid w:val="00B759D1"/>
    <w:rsid w:val="00B75A44"/>
    <w:rsid w:val="00B75A4D"/>
    <w:rsid w:val="00B75BDA"/>
    <w:rsid w:val="00B75C21"/>
    <w:rsid w:val="00B75CD6"/>
    <w:rsid w:val="00B75E42"/>
    <w:rsid w:val="00B76080"/>
    <w:rsid w:val="00B7627F"/>
    <w:rsid w:val="00B7645A"/>
    <w:rsid w:val="00B76656"/>
    <w:rsid w:val="00B76905"/>
    <w:rsid w:val="00B76969"/>
    <w:rsid w:val="00B769CA"/>
    <w:rsid w:val="00B76EB7"/>
    <w:rsid w:val="00B76EF3"/>
    <w:rsid w:val="00B76F5A"/>
    <w:rsid w:val="00B772BF"/>
    <w:rsid w:val="00B7737C"/>
    <w:rsid w:val="00B773AD"/>
    <w:rsid w:val="00B774FB"/>
    <w:rsid w:val="00B77670"/>
    <w:rsid w:val="00B7775C"/>
    <w:rsid w:val="00B778EF"/>
    <w:rsid w:val="00B77D87"/>
    <w:rsid w:val="00B78D47"/>
    <w:rsid w:val="00B801E5"/>
    <w:rsid w:val="00B802B9"/>
    <w:rsid w:val="00B80343"/>
    <w:rsid w:val="00B80547"/>
    <w:rsid w:val="00B805B4"/>
    <w:rsid w:val="00B80ACC"/>
    <w:rsid w:val="00B80ED0"/>
    <w:rsid w:val="00B81083"/>
    <w:rsid w:val="00B812D4"/>
    <w:rsid w:val="00B81309"/>
    <w:rsid w:val="00B81342"/>
    <w:rsid w:val="00B81ADB"/>
    <w:rsid w:val="00B81C2D"/>
    <w:rsid w:val="00B81D62"/>
    <w:rsid w:val="00B81F47"/>
    <w:rsid w:val="00B81FD3"/>
    <w:rsid w:val="00B82053"/>
    <w:rsid w:val="00B822A6"/>
    <w:rsid w:val="00B822B1"/>
    <w:rsid w:val="00B822D1"/>
    <w:rsid w:val="00B82345"/>
    <w:rsid w:val="00B823A9"/>
    <w:rsid w:val="00B824D4"/>
    <w:rsid w:val="00B825C5"/>
    <w:rsid w:val="00B8276B"/>
    <w:rsid w:val="00B8278A"/>
    <w:rsid w:val="00B82997"/>
    <w:rsid w:val="00B82A51"/>
    <w:rsid w:val="00B82B0E"/>
    <w:rsid w:val="00B82B2C"/>
    <w:rsid w:val="00B82C1B"/>
    <w:rsid w:val="00B82C24"/>
    <w:rsid w:val="00B82DB3"/>
    <w:rsid w:val="00B82FD9"/>
    <w:rsid w:val="00B8329C"/>
    <w:rsid w:val="00B83402"/>
    <w:rsid w:val="00B83489"/>
    <w:rsid w:val="00B83601"/>
    <w:rsid w:val="00B83BF8"/>
    <w:rsid w:val="00B83BFC"/>
    <w:rsid w:val="00B83C7B"/>
    <w:rsid w:val="00B83D0C"/>
    <w:rsid w:val="00B83FD7"/>
    <w:rsid w:val="00B8404B"/>
    <w:rsid w:val="00B84696"/>
    <w:rsid w:val="00B8474F"/>
    <w:rsid w:val="00B847D7"/>
    <w:rsid w:val="00B84883"/>
    <w:rsid w:val="00B84C22"/>
    <w:rsid w:val="00B84C73"/>
    <w:rsid w:val="00B84E6E"/>
    <w:rsid w:val="00B851CD"/>
    <w:rsid w:val="00B85229"/>
    <w:rsid w:val="00B8548D"/>
    <w:rsid w:val="00B8574F"/>
    <w:rsid w:val="00B85E09"/>
    <w:rsid w:val="00B85FC8"/>
    <w:rsid w:val="00B86600"/>
    <w:rsid w:val="00B868CC"/>
    <w:rsid w:val="00B86A51"/>
    <w:rsid w:val="00B86D11"/>
    <w:rsid w:val="00B86D81"/>
    <w:rsid w:val="00B87411"/>
    <w:rsid w:val="00B875BA"/>
    <w:rsid w:val="00B87644"/>
    <w:rsid w:val="00B876AD"/>
    <w:rsid w:val="00B87D87"/>
    <w:rsid w:val="00B87DC7"/>
    <w:rsid w:val="00B87EC6"/>
    <w:rsid w:val="00B90236"/>
    <w:rsid w:val="00B9035B"/>
    <w:rsid w:val="00B9055D"/>
    <w:rsid w:val="00B909B7"/>
    <w:rsid w:val="00B909E5"/>
    <w:rsid w:val="00B90ACA"/>
    <w:rsid w:val="00B90AD7"/>
    <w:rsid w:val="00B90BFD"/>
    <w:rsid w:val="00B91082"/>
    <w:rsid w:val="00B910DA"/>
    <w:rsid w:val="00B91163"/>
    <w:rsid w:val="00B912F6"/>
    <w:rsid w:val="00B9136E"/>
    <w:rsid w:val="00B91472"/>
    <w:rsid w:val="00B916EC"/>
    <w:rsid w:val="00B91B77"/>
    <w:rsid w:val="00B91BCD"/>
    <w:rsid w:val="00B91CC5"/>
    <w:rsid w:val="00B91F4B"/>
    <w:rsid w:val="00B9205D"/>
    <w:rsid w:val="00B92371"/>
    <w:rsid w:val="00B926B5"/>
    <w:rsid w:val="00B928C5"/>
    <w:rsid w:val="00B92B1E"/>
    <w:rsid w:val="00B92D5C"/>
    <w:rsid w:val="00B92D73"/>
    <w:rsid w:val="00B92EC9"/>
    <w:rsid w:val="00B9304D"/>
    <w:rsid w:val="00B932CE"/>
    <w:rsid w:val="00B93603"/>
    <w:rsid w:val="00B9386F"/>
    <w:rsid w:val="00B93D86"/>
    <w:rsid w:val="00B93E9B"/>
    <w:rsid w:val="00B943C3"/>
    <w:rsid w:val="00B94425"/>
    <w:rsid w:val="00B9479E"/>
    <w:rsid w:val="00B94822"/>
    <w:rsid w:val="00B949E0"/>
    <w:rsid w:val="00B94A21"/>
    <w:rsid w:val="00B94B86"/>
    <w:rsid w:val="00B94F3F"/>
    <w:rsid w:val="00B95264"/>
    <w:rsid w:val="00B95434"/>
    <w:rsid w:val="00B9547F"/>
    <w:rsid w:val="00B9622E"/>
    <w:rsid w:val="00B969F3"/>
    <w:rsid w:val="00B96ADC"/>
    <w:rsid w:val="00B96B60"/>
    <w:rsid w:val="00B96E60"/>
    <w:rsid w:val="00B96EEC"/>
    <w:rsid w:val="00B96FB8"/>
    <w:rsid w:val="00B96FB9"/>
    <w:rsid w:val="00B97132"/>
    <w:rsid w:val="00B97429"/>
    <w:rsid w:val="00B97578"/>
    <w:rsid w:val="00BA02C7"/>
    <w:rsid w:val="00BA037D"/>
    <w:rsid w:val="00BA0608"/>
    <w:rsid w:val="00BA0BAA"/>
    <w:rsid w:val="00BA0CBB"/>
    <w:rsid w:val="00BA0CF2"/>
    <w:rsid w:val="00BA0E35"/>
    <w:rsid w:val="00BA1275"/>
    <w:rsid w:val="00BA1331"/>
    <w:rsid w:val="00BA1480"/>
    <w:rsid w:val="00BA14C3"/>
    <w:rsid w:val="00BA16CF"/>
    <w:rsid w:val="00BA17E1"/>
    <w:rsid w:val="00BA183D"/>
    <w:rsid w:val="00BA1981"/>
    <w:rsid w:val="00BA19B3"/>
    <w:rsid w:val="00BA19C0"/>
    <w:rsid w:val="00BA1FE1"/>
    <w:rsid w:val="00BA2340"/>
    <w:rsid w:val="00BA269E"/>
    <w:rsid w:val="00BA26FD"/>
    <w:rsid w:val="00BA2736"/>
    <w:rsid w:val="00BA35B0"/>
    <w:rsid w:val="00BA36E1"/>
    <w:rsid w:val="00BA36E4"/>
    <w:rsid w:val="00BA3750"/>
    <w:rsid w:val="00BA37AD"/>
    <w:rsid w:val="00BA3A3C"/>
    <w:rsid w:val="00BA3DBA"/>
    <w:rsid w:val="00BA3EDF"/>
    <w:rsid w:val="00BA42E2"/>
    <w:rsid w:val="00BA44DD"/>
    <w:rsid w:val="00BA47D2"/>
    <w:rsid w:val="00BA481D"/>
    <w:rsid w:val="00BA488D"/>
    <w:rsid w:val="00BA490B"/>
    <w:rsid w:val="00BA4B6B"/>
    <w:rsid w:val="00BA4B87"/>
    <w:rsid w:val="00BA4CC7"/>
    <w:rsid w:val="00BA4E98"/>
    <w:rsid w:val="00BA4F60"/>
    <w:rsid w:val="00BA4FA5"/>
    <w:rsid w:val="00BA5225"/>
    <w:rsid w:val="00BA532E"/>
    <w:rsid w:val="00BA548F"/>
    <w:rsid w:val="00BA5711"/>
    <w:rsid w:val="00BA5718"/>
    <w:rsid w:val="00BA5B00"/>
    <w:rsid w:val="00BA5B48"/>
    <w:rsid w:val="00BA6052"/>
    <w:rsid w:val="00BA6439"/>
    <w:rsid w:val="00BA66D5"/>
    <w:rsid w:val="00BA697F"/>
    <w:rsid w:val="00BA6B51"/>
    <w:rsid w:val="00BA6B66"/>
    <w:rsid w:val="00BA6B8A"/>
    <w:rsid w:val="00BA6C02"/>
    <w:rsid w:val="00BA6CC8"/>
    <w:rsid w:val="00BA6F44"/>
    <w:rsid w:val="00BA703B"/>
    <w:rsid w:val="00BA7294"/>
    <w:rsid w:val="00BA72AE"/>
    <w:rsid w:val="00BA7447"/>
    <w:rsid w:val="00BA768B"/>
    <w:rsid w:val="00BA76AF"/>
    <w:rsid w:val="00BA76B1"/>
    <w:rsid w:val="00BA7786"/>
    <w:rsid w:val="00BA78D6"/>
    <w:rsid w:val="00BA7B39"/>
    <w:rsid w:val="00BA7D72"/>
    <w:rsid w:val="00BB0033"/>
    <w:rsid w:val="00BB01AB"/>
    <w:rsid w:val="00BB035A"/>
    <w:rsid w:val="00BB0368"/>
    <w:rsid w:val="00BB04C2"/>
    <w:rsid w:val="00BB06EF"/>
    <w:rsid w:val="00BB07E2"/>
    <w:rsid w:val="00BB0880"/>
    <w:rsid w:val="00BB0907"/>
    <w:rsid w:val="00BB0990"/>
    <w:rsid w:val="00BB09B0"/>
    <w:rsid w:val="00BB0A6D"/>
    <w:rsid w:val="00BB0ABF"/>
    <w:rsid w:val="00BB0DE9"/>
    <w:rsid w:val="00BB0DF6"/>
    <w:rsid w:val="00BB0E3C"/>
    <w:rsid w:val="00BB125D"/>
    <w:rsid w:val="00BB17C0"/>
    <w:rsid w:val="00BB1922"/>
    <w:rsid w:val="00BB1AF3"/>
    <w:rsid w:val="00BB1B2F"/>
    <w:rsid w:val="00BB1D7B"/>
    <w:rsid w:val="00BB2239"/>
    <w:rsid w:val="00BB233E"/>
    <w:rsid w:val="00BB2691"/>
    <w:rsid w:val="00BB2773"/>
    <w:rsid w:val="00BB27FE"/>
    <w:rsid w:val="00BB2D46"/>
    <w:rsid w:val="00BB2E50"/>
    <w:rsid w:val="00BB2F19"/>
    <w:rsid w:val="00BB2F56"/>
    <w:rsid w:val="00BB3063"/>
    <w:rsid w:val="00BB3506"/>
    <w:rsid w:val="00BB3755"/>
    <w:rsid w:val="00BB37E7"/>
    <w:rsid w:val="00BB3A2B"/>
    <w:rsid w:val="00BB3A58"/>
    <w:rsid w:val="00BB3C2E"/>
    <w:rsid w:val="00BB3DB7"/>
    <w:rsid w:val="00BB446B"/>
    <w:rsid w:val="00BB4499"/>
    <w:rsid w:val="00BB460D"/>
    <w:rsid w:val="00BB460F"/>
    <w:rsid w:val="00BB46FD"/>
    <w:rsid w:val="00BB4C32"/>
    <w:rsid w:val="00BB4DD4"/>
    <w:rsid w:val="00BB4E77"/>
    <w:rsid w:val="00BB5065"/>
    <w:rsid w:val="00BB536A"/>
    <w:rsid w:val="00BB55B5"/>
    <w:rsid w:val="00BB597D"/>
    <w:rsid w:val="00BB5B26"/>
    <w:rsid w:val="00BB5BC1"/>
    <w:rsid w:val="00BB5DF8"/>
    <w:rsid w:val="00BB5FDE"/>
    <w:rsid w:val="00BB6413"/>
    <w:rsid w:val="00BB6449"/>
    <w:rsid w:val="00BB6912"/>
    <w:rsid w:val="00BB6B15"/>
    <w:rsid w:val="00BB6B7E"/>
    <w:rsid w:val="00BB7024"/>
    <w:rsid w:val="00BB718A"/>
    <w:rsid w:val="00BB7195"/>
    <w:rsid w:val="00BB7409"/>
    <w:rsid w:val="00BB7667"/>
    <w:rsid w:val="00BB76E6"/>
    <w:rsid w:val="00BB79C6"/>
    <w:rsid w:val="00BB7BAB"/>
    <w:rsid w:val="00BB7CFE"/>
    <w:rsid w:val="00BB7E06"/>
    <w:rsid w:val="00BB7E5A"/>
    <w:rsid w:val="00BB7F06"/>
    <w:rsid w:val="00BC0457"/>
    <w:rsid w:val="00BC06CE"/>
    <w:rsid w:val="00BC0751"/>
    <w:rsid w:val="00BC0AB2"/>
    <w:rsid w:val="00BC0B52"/>
    <w:rsid w:val="00BC0E20"/>
    <w:rsid w:val="00BC1006"/>
    <w:rsid w:val="00BC1303"/>
    <w:rsid w:val="00BC1423"/>
    <w:rsid w:val="00BC18BE"/>
    <w:rsid w:val="00BC19E0"/>
    <w:rsid w:val="00BC1EF3"/>
    <w:rsid w:val="00BC2130"/>
    <w:rsid w:val="00BC215E"/>
    <w:rsid w:val="00BC2308"/>
    <w:rsid w:val="00BC2450"/>
    <w:rsid w:val="00BC28E4"/>
    <w:rsid w:val="00BC37D6"/>
    <w:rsid w:val="00BC38C2"/>
    <w:rsid w:val="00BC3A5C"/>
    <w:rsid w:val="00BC3A96"/>
    <w:rsid w:val="00BC3B6D"/>
    <w:rsid w:val="00BC3F0C"/>
    <w:rsid w:val="00BC3F62"/>
    <w:rsid w:val="00BC3FD4"/>
    <w:rsid w:val="00BC42F8"/>
    <w:rsid w:val="00BC430D"/>
    <w:rsid w:val="00BC4599"/>
    <w:rsid w:val="00BC4768"/>
    <w:rsid w:val="00BC476F"/>
    <w:rsid w:val="00BC4C40"/>
    <w:rsid w:val="00BC4C73"/>
    <w:rsid w:val="00BC4F0E"/>
    <w:rsid w:val="00BC5080"/>
    <w:rsid w:val="00BC5247"/>
    <w:rsid w:val="00BC530E"/>
    <w:rsid w:val="00BC536F"/>
    <w:rsid w:val="00BC563B"/>
    <w:rsid w:val="00BC5734"/>
    <w:rsid w:val="00BC58FE"/>
    <w:rsid w:val="00BC5C9D"/>
    <w:rsid w:val="00BC5E1A"/>
    <w:rsid w:val="00BC606B"/>
    <w:rsid w:val="00BC63A6"/>
    <w:rsid w:val="00BC65B0"/>
    <w:rsid w:val="00BC665D"/>
    <w:rsid w:val="00BC6C57"/>
    <w:rsid w:val="00BC6F93"/>
    <w:rsid w:val="00BC7359"/>
    <w:rsid w:val="00BC743C"/>
    <w:rsid w:val="00BC7492"/>
    <w:rsid w:val="00BC7E3B"/>
    <w:rsid w:val="00BC7F1D"/>
    <w:rsid w:val="00BD0220"/>
    <w:rsid w:val="00BD02F5"/>
    <w:rsid w:val="00BD0A0E"/>
    <w:rsid w:val="00BD0A90"/>
    <w:rsid w:val="00BD0E80"/>
    <w:rsid w:val="00BD0FEB"/>
    <w:rsid w:val="00BD10CB"/>
    <w:rsid w:val="00BD10FA"/>
    <w:rsid w:val="00BD14EC"/>
    <w:rsid w:val="00BD1A55"/>
    <w:rsid w:val="00BD1C55"/>
    <w:rsid w:val="00BD2046"/>
    <w:rsid w:val="00BD2126"/>
    <w:rsid w:val="00BD27CB"/>
    <w:rsid w:val="00BD29F8"/>
    <w:rsid w:val="00BD2D56"/>
    <w:rsid w:val="00BD2D5E"/>
    <w:rsid w:val="00BD317A"/>
    <w:rsid w:val="00BD3224"/>
    <w:rsid w:val="00BD328B"/>
    <w:rsid w:val="00BD3370"/>
    <w:rsid w:val="00BD33DA"/>
    <w:rsid w:val="00BD3656"/>
    <w:rsid w:val="00BD379E"/>
    <w:rsid w:val="00BD382A"/>
    <w:rsid w:val="00BD3A17"/>
    <w:rsid w:val="00BD3D00"/>
    <w:rsid w:val="00BD3EB0"/>
    <w:rsid w:val="00BD4230"/>
    <w:rsid w:val="00BD4359"/>
    <w:rsid w:val="00BD4374"/>
    <w:rsid w:val="00BD483A"/>
    <w:rsid w:val="00BD49FD"/>
    <w:rsid w:val="00BD4B5C"/>
    <w:rsid w:val="00BD4B66"/>
    <w:rsid w:val="00BD5126"/>
    <w:rsid w:val="00BD5805"/>
    <w:rsid w:val="00BD5969"/>
    <w:rsid w:val="00BD5B93"/>
    <w:rsid w:val="00BD5BCC"/>
    <w:rsid w:val="00BD5CF8"/>
    <w:rsid w:val="00BD6278"/>
    <w:rsid w:val="00BD64D7"/>
    <w:rsid w:val="00BD66D1"/>
    <w:rsid w:val="00BD6A76"/>
    <w:rsid w:val="00BD6AE2"/>
    <w:rsid w:val="00BD6B06"/>
    <w:rsid w:val="00BD6C07"/>
    <w:rsid w:val="00BD6D39"/>
    <w:rsid w:val="00BD6E2E"/>
    <w:rsid w:val="00BD7055"/>
    <w:rsid w:val="00BD71B5"/>
    <w:rsid w:val="00BD7528"/>
    <w:rsid w:val="00BD7614"/>
    <w:rsid w:val="00BD7748"/>
    <w:rsid w:val="00BD77C9"/>
    <w:rsid w:val="00BD7B33"/>
    <w:rsid w:val="00BD7D97"/>
    <w:rsid w:val="00BE009A"/>
    <w:rsid w:val="00BE02D8"/>
    <w:rsid w:val="00BE04D4"/>
    <w:rsid w:val="00BE06FD"/>
    <w:rsid w:val="00BE0B3F"/>
    <w:rsid w:val="00BE0B57"/>
    <w:rsid w:val="00BE0C22"/>
    <w:rsid w:val="00BE0F62"/>
    <w:rsid w:val="00BE0FCC"/>
    <w:rsid w:val="00BE116F"/>
    <w:rsid w:val="00BE1509"/>
    <w:rsid w:val="00BE1A47"/>
    <w:rsid w:val="00BE1A66"/>
    <w:rsid w:val="00BE1A72"/>
    <w:rsid w:val="00BE1CAA"/>
    <w:rsid w:val="00BE20C9"/>
    <w:rsid w:val="00BE20F0"/>
    <w:rsid w:val="00BE2324"/>
    <w:rsid w:val="00BE2700"/>
    <w:rsid w:val="00BE2748"/>
    <w:rsid w:val="00BE28E8"/>
    <w:rsid w:val="00BE29FE"/>
    <w:rsid w:val="00BE2A54"/>
    <w:rsid w:val="00BE2C2A"/>
    <w:rsid w:val="00BE2C6F"/>
    <w:rsid w:val="00BE2E83"/>
    <w:rsid w:val="00BE2EBA"/>
    <w:rsid w:val="00BE313D"/>
    <w:rsid w:val="00BE316D"/>
    <w:rsid w:val="00BE3452"/>
    <w:rsid w:val="00BE3856"/>
    <w:rsid w:val="00BE3957"/>
    <w:rsid w:val="00BE39E5"/>
    <w:rsid w:val="00BE39E9"/>
    <w:rsid w:val="00BE3A4B"/>
    <w:rsid w:val="00BE3AC0"/>
    <w:rsid w:val="00BE3D07"/>
    <w:rsid w:val="00BE3FA2"/>
    <w:rsid w:val="00BE41FB"/>
    <w:rsid w:val="00BE436A"/>
    <w:rsid w:val="00BE448D"/>
    <w:rsid w:val="00BE44A6"/>
    <w:rsid w:val="00BE4965"/>
    <w:rsid w:val="00BE4AC9"/>
    <w:rsid w:val="00BE4BB1"/>
    <w:rsid w:val="00BE4CB6"/>
    <w:rsid w:val="00BE4D29"/>
    <w:rsid w:val="00BE4F2D"/>
    <w:rsid w:val="00BE5245"/>
    <w:rsid w:val="00BE5499"/>
    <w:rsid w:val="00BE5550"/>
    <w:rsid w:val="00BE5683"/>
    <w:rsid w:val="00BE5818"/>
    <w:rsid w:val="00BE5842"/>
    <w:rsid w:val="00BE5A74"/>
    <w:rsid w:val="00BE5B68"/>
    <w:rsid w:val="00BE5BED"/>
    <w:rsid w:val="00BE6444"/>
    <w:rsid w:val="00BE66C2"/>
    <w:rsid w:val="00BE6728"/>
    <w:rsid w:val="00BE6782"/>
    <w:rsid w:val="00BE69D6"/>
    <w:rsid w:val="00BE6BC8"/>
    <w:rsid w:val="00BE6CBE"/>
    <w:rsid w:val="00BE6DC6"/>
    <w:rsid w:val="00BE707B"/>
    <w:rsid w:val="00BE71C9"/>
    <w:rsid w:val="00BE749F"/>
    <w:rsid w:val="00BE7534"/>
    <w:rsid w:val="00BE7630"/>
    <w:rsid w:val="00BE7825"/>
    <w:rsid w:val="00BE792C"/>
    <w:rsid w:val="00BE7AF2"/>
    <w:rsid w:val="00BE7C09"/>
    <w:rsid w:val="00BE7C1E"/>
    <w:rsid w:val="00BE7C7D"/>
    <w:rsid w:val="00BE7E72"/>
    <w:rsid w:val="00BE7F85"/>
    <w:rsid w:val="00BF00C1"/>
    <w:rsid w:val="00BF0309"/>
    <w:rsid w:val="00BF07C0"/>
    <w:rsid w:val="00BF0B30"/>
    <w:rsid w:val="00BF0B4A"/>
    <w:rsid w:val="00BF0CAA"/>
    <w:rsid w:val="00BF0E6A"/>
    <w:rsid w:val="00BF111A"/>
    <w:rsid w:val="00BF1A80"/>
    <w:rsid w:val="00BF1B50"/>
    <w:rsid w:val="00BF1B69"/>
    <w:rsid w:val="00BF1BAC"/>
    <w:rsid w:val="00BF1DFF"/>
    <w:rsid w:val="00BF1EC8"/>
    <w:rsid w:val="00BF2014"/>
    <w:rsid w:val="00BF2087"/>
    <w:rsid w:val="00BF228F"/>
    <w:rsid w:val="00BF25CF"/>
    <w:rsid w:val="00BF2795"/>
    <w:rsid w:val="00BF2848"/>
    <w:rsid w:val="00BF28E1"/>
    <w:rsid w:val="00BF29CD"/>
    <w:rsid w:val="00BF2A43"/>
    <w:rsid w:val="00BF2C61"/>
    <w:rsid w:val="00BF309E"/>
    <w:rsid w:val="00BF31A4"/>
    <w:rsid w:val="00BF3201"/>
    <w:rsid w:val="00BF3319"/>
    <w:rsid w:val="00BF35A9"/>
    <w:rsid w:val="00BF35C2"/>
    <w:rsid w:val="00BF3A2A"/>
    <w:rsid w:val="00BF3B1B"/>
    <w:rsid w:val="00BF3CBA"/>
    <w:rsid w:val="00BF3CE6"/>
    <w:rsid w:val="00BF3DE1"/>
    <w:rsid w:val="00BF3EB6"/>
    <w:rsid w:val="00BF4546"/>
    <w:rsid w:val="00BF4800"/>
    <w:rsid w:val="00BF4E52"/>
    <w:rsid w:val="00BF4F73"/>
    <w:rsid w:val="00BF50A5"/>
    <w:rsid w:val="00BF511E"/>
    <w:rsid w:val="00BF5148"/>
    <w:rsid w:val="00BF517F"/>
    <w:rsid w:val="00BF5201"/>
    <w:rsid w:val="00BF56E7"/>
    <w:rsid w:val="00BF590F"/>
    <w:rsid w:val="00BF59EF"/>
    <w:rsid w:val="00BF5C21"/>
    <w:rsid w:val="00BF5CEE"/>
    <w:rsid w:val="00BF5E02"/>
    <w:rsid w:val="00BF5E44"/>
    <w:rsid w:val="00BF5F40"/>
    <w:rsid w:val="00BF6197"/>
    <w:rsid w:val="00BF6200"/>
    <w:rsid w:val="00BF6216"/>
    <w:rsid w:val="00BF6738"/>
    <w:rsid w:val="00BF6EE9"/>
    <w:rsid w:val="00BF6F13"/>
    <w:rsid w:val="00BF6FA4"/>
    <w:rsid w:val="00BF7276"/>
    <w:rsid w:val="00BF72D2"/>
    <w:rsid w:val="00BF73F0"/>
    <w:rsid w:val="00BF77A6"/>
    <w:rsid w:val="00BF7B5F"/>
    <w:rsid w:val="00BF7DCB"/>
    <w:rsid w:val="00BF7E12"/>
    <w:rsid w:val="00C00004"/>
    <w:rsid w:val="00C00197"/>
    <w:rsid w:val="00C00634"/>
    <w:rsid w:val="00C00AEC"/>
    <w:rsid w:val="00C01003"/>
    <w:rsid w:val="00C011FD"/>
    <w:rsid w:val="00C012CC"/>
    <w:rsid w:val="00C01356"/>
    <w:rsid w:val="00C01563"/>
    <w:rsid w:val="00C02178"/>
    <w:rsid w:val="00C0223D"/>
    <w:rsid w:val="00C02304"/>
    <w:rsid w:val="00C023C9"/>
    <w:rsid w:val="00C023E5"/>
    <w:rsid w:val="00C0264B"/>
    <w:rsid w:val="00C0265D"/>
    <w:rsid w:val="00C02921"/>
    <w:rsid w:val="00C02A1A"/>
    <w:rsid w:val="00C02AE1"/>
    <w:rsid w:val="00C02F23"/>
    <w:rsid w:val="00C02FB4"/>
    <w:rsid w:val="00C032BF"/>
    <w:rsid w:val="00C0344D"/>
    <w:rsid w:val="00C0349B"/>
    <w:rsid w:val="00C035A5"/>
    <w:rsid w:val="00C035E4"/>
    <w:rsid w:val="00C0361D"/>
    <w:rsid w:val="00C0365D"/>
    <w:rsid w:val="00C036F6"/>
    <w:rsid w:val="00C03952"/>
    <w:rsid w:val="00C03A03"/>
    <w:rsid w:val="00C03CFC"/>
    <w:rsid w:val="00C03F8A"/>
    <w:rsid w:val="00C0416F"/>
    <w:rsid w:val="00C04517"/>
    <w:rsid w:val="00C0451C"/>
    <w:rsid w:val="00C045B4"/>
    <w:rsid w:val="00C04BB7"/>
    <w:rsid w:val="00C04E82"/>
    <w:rsid w:val="00C05138"/>
    <w:rsid w:val="00C05192"/>
    <w:rsid w:val="00C05322"/>
    <w:rsid w:val="00C05377"/>
    <w:rsid w:val="00C05637"/>
    <w:rsid w:val="00C05664"/>
    <w:rsid w:val="00C05753"/>
    <w:rsid w:val="00C059C5"/>
    <w:rsid w:val="00C059F5"/>
    <w:rsid w:val="00C05DB8"/>
    <w:rsid w:val="00C05F3D"/>
    <w:rsid w:val="00C062DE"/>
    <w:rsid w:val="00C06419"/>
    <w:rsid w:val="00C064CD"/>
    <w:rsid w:val="00C067A1"/>
    <w:rsid w:val="00C067CF"/>
    <w:rsid w:val="00C0682F"/>
    <w:rsid w:val="00C06874"/>
    <w:rsid w:val="00C06A6C"/>
    <w:rsid w:val="00C06B60"/>
    <w:rsid w:val="00C06D9F"/>
    <w:rsid w:val="00C072FB"/>
    <w:rsid w:val="00C07331"/>
    <w:rsid w:val="00C0742D"/>
    <w:rsid w:val="00C0783A"/>
    <w:rsid w:val="00C0784D"/>
    <w:rsid w:val="00C07ABD"/>
    <w:rsid w:val="00C07D17"/>
    <w:rsid w:val="00C10587"/>
    <w:rsid w:val="00C106F2"/>
    <w:rsid w:val="00C108CC"/>
    <w:rsid w:val="00C10BFB"/>
    <w:rsid w:val="00C11004"/>
    <w:rsid w:val="00C11032"/>
    <w:rsid w:val="00C11141"/>
    <w:rsid w:val="00C11218"/>
    <w:rsid w:val="00C114A5"/>
    <w:rsid w:val="00C1152E"/>
    <w:rsid w:val="00C11552"/>
    <w:rsid w:val="00C117D5"/>
    <w:rsid w:val="00C1186E"/>
    <w:rsid w:val="00C119B8"/>
    <w:rsid w:val="00C11AFC"/>
    <w:rsid w:val="00C11DAF"/>
    <w:rsid w:val="00C11FA4"/>
    <w:rsid w:val="00C121F1"/>
    <w:rsid w:val="00C12582"/>
    <w:rsid w:val="00C12927"/>
    <w:rsid w:val="00C129D8"/>
    <w:rsid w:val="00C12B63"/>
    <w:rsid w:val="00C12FCF"/>
    <w:rsid w:val="00C1306D"/>
    <w:rsid w:val="00C1313C"/>
    <w:rsid w:val="00C13174"/>
    <w:rsid w:val="00C13404"/>
    <w:rsid w:val="00C13B5A"/>
    <w:rsid w:val="00C1408D"/>
    <w:rsid w:val="00C143A7"/>
    <w:rsid w:val="00C146CF"/>
    <w:rsid w:val="00C148D2"/>
    <w:rsid w:val="00C14931"/>
    <w:rsid w:val="00C14B28"/>
    <w:rsid w:val="00C150D2"/>
    <w:rsid w:val="00C15305"/>
    <w:rsid w:val="00C1533B"/>
    <w:rsid w:val="00C15649"/>
    <w:rsid w:val="00C156C5"/>
    <w:rsid w:val="00C15803"/>
    <w:rsid w:val="00C1597A"/>
    <w:rsid w:val="00C15BCA"/>
    <w:rsid w:val="00C15E4D"/>
    <w:rsid w:val="00C16105"/>
    <w:rsid w:val="00C16214"/>
    <w:rsid w:val="00C164B7"/>
    <w:rsid w:val="00C167E9"/>
    <w:rsid w:val="00C16959"/>
    <w:rsid w:val="00C16AC5"/>
    <w:rsid w:val="00C16AD0"/>
    <w:rsid w:val="00C16BB5"/>
    <w:rsid w:val="00C16DA4"/>
    <w:rsid w:val="00C16DAB"/>
    <w:rsid w:val="00C16EB5"/>
    <w:rsid w:val="00C171A6"/>
    <w:rsid w:val="00C17245"/>
    <w:rsid w:val="00C17322"/>
    <w:rsid w:val="00C17587"/>
    <w:rsid w:val="00C17703"/>
    <w:rsid w:val="00C17813"/>
    <w:rsid w:val="00C17FEB"/>
    <w:rsid w:val="00C20082"/>
    <w:rsid w:val="00C200A3"/>
    <w:rsid w:val="00C202BB"/>
    <w:rsid w:val="00C20379"/>
    <w:rsid w:val="00C20468"/>
    <w:rsid w:val="00C2053B"/>
    <w:rsid w:val="00C20E06"/>
    <w:rsid w:val="00C20E62"/>
    <w:rsid w:val="00C20FF0"/>
    <w:rsid w:val="00C2108D"/>
    <w:rsid w:val="00C210C8"/>
    <w:rsid w:val="00C21785"/>
    <w:rsid w:val="00C21877"/>
    <w:rsid w:val="00C219F9"/>
    <w:rsid w:val="00C21B5A"/>
    <w:rsid w:val="00C21BFD"/>
    <w:rsid w:val="00C21E6B"/>
    <w:rsid w:val="00C2212F"/>
    <w:rsid w:val="00C2312F"/>
    <w:rsid w:val="00C233B0"/>
    <w:rsid w:val="00C23582"/>
    <w:rsid w:val="00C23676"/>
    <w:rsid w:val="00C23A25"/>
    <w:rsid w:val="00C23A69"/>
    <w:rsid w:val="00C2404D"/>
    <w:rsid w:val="00C243D4"/>
    <w:rsid w:val="00C2487B"/>
    <w:rsid w:val="00C2490C"/>
    <w:rsid w:val="00C24977"/>
    <w:rsid w:val="00C24E7E"/>
    <w:rsid w:val="00C24F16"/>
    <w:rsid w:val="00C24FD9"/>
    <w:rsid w:val="00C255C4"/>
    <w:rsid w:val="00C259E2"/>
    <w:rsid w:val="00C259ED"/>
    <w:rsid w:val="00C25A4F"/>
    <w:rsid w:val="00C25AEF"/>
    <w:rsid w:val="00C25C6D"/>
    <w:rsid w:val="00C25D48"/>
    <w:rsid w:val="00C25D98"/>
    <w:rsid w:val="00C25FC2"/>
    <w:rsid w:val="00C26161"/>
    <w:rsid w:val="00C2619C"/>
    <w:rsid w:val="00C262B2"/>
    <w:rsid w:val="00C2631D"/>
    <w:rsid w:val="00C26430"/>
    <w:rsid w:val="00C26727"/>
    <w:rsid w:val="00C2676A"/>
    <w:rsid w:val="00C26BD9"/>
    <w:rsid w:val="00C26D84"/>
    <w:rsid w:val="00C27084"/>
    <w:rsid w:val="00C27110"/>
    <w:rsid w:val="00C27287"/>
    <w:rsid w:val="00C2757D"/>
    <w:rsid w:val="00C275F6"/>
    <w:rsid w:val="00C279B0"/>
    <w:rsid w:val="00C30217"/>
    <w:rsid w:val="00C3035C"/>
    <w:rsid w:val="00C305F9"/>
    <w:rsid w:val="00C30784"/>
    <w:rsid w:val="00C308F9"/>
    <w:rsid w:val="00C30A0F"/>
    <w:rsid w:val="00C30AF8"/>
    <w:rsid w:val="00C30C63"/>
    <w:rsid w:val="00C30CE9"/>
    <w:rsid w:val="00C30DEF"/>
    <w:rsid w:val="00C31016"/>
    <w:rsid w:val="00C310A8"/>
    <w:rsid w:val="00C31322"/>
    <w:rsid w:val="00C313BF"/>
    <w:rsid w:val="00C313E8"/>
    <w:rsid w:val="00C31581"/>
    <w:rsid w:val="00C3161F"/>
    <w:rsid w:val="00C3172E"/>
    <w:rsid w:val="00C3175B"/>
    <w:rsid w:val="00C31859"/>
    <w:rsid w:val="00C318A1"/>
    <w:rsid w:val="00C31932"/>
    <w:rsid w:val="00C31B3A"/>
    <w:rsid w:val="00C31C97"/>
    <w:rsid w:val="00C3210B"/>
    <w:rsid w:val="00C3213B"/>
    <w:rsid w:val="00C3233D"/>
    <w:rsid w:val="00C32590"/>
    <w:rsid w:val="00C326CA"/>
    <w:rsid w:val="00C33271"/>
    <w:rsid w:val="00C333D4"/>
    <w:rsid w:val="00C334C5"/>
    <w:rsid w:val="00C335A0"/>
    <w:rsid w:val="00C33CDE"/>
    <w:rsid w:val="00C33F42"/>
    <w:rsid w:val="00C33F7F"/>
    <w:rsid w:val="00C33FD6"/>
    <w:rsid w:val="00C34421"/>
    <w:rsid w:val="00C3443F"/>
    <w:rsid w:val="00C349BB"/>
    <w:rsid w:val="00C34BC2"/>
    <w:rsid w:val="00C34F97"/>
    <w:rsid w:val="00C35590"/>
    <w:rsid w:val="00C35791"/>
    <w:rsid w:val="00C357A8"/>
    <w:rsid w:val="00C35AA6"/>
    <w:rsid w:val="00C35ADB"/>
    <w:rsid w:val="00C35C38"/>
    <w:rsid w:val="00C36022"/>
    <w:rsid w:val="00C363C7"/>
    <w:rsid w:val="00C366F8"/>
    <w:rsid w:val="00C368D7"/>
    <w:rsid w:val="00C368FF"/>
    <w:rsid w:val="00C369B4"/>
    <w:rsid w:val="00C369F8"/>
    <w:rsid w:val="00C36F07"/>
    <w:rsid w:val="00C3709F"/>
    <w:rsid w:val="00C3718F"/>
    <w:rsid w:val="00C37226"/>
    <w:rsid w:val="00C37442"/>
    <w:rsid w:val="00C37464"/>
    <w:rsid w:val="00C377B1"/>
    <w:rsid w:val="00C378C6"/>
    <w:rsid w:val="00C37BE8"/>
    <w:rsid w:val="00C401EA"/>
    <w:rsid w:val="00C4097A"/>
    <w:rsid w:val="00C40BBE"/>
    <w:rsid w:val="00C40C2D"/>
    <w:rsid w:val="00C40C70"/>
    <w:rsid w:val="00C40E59"/>
    <w:rsid w:val="00C40EC8"/>
    <w:rsid w:val="00C40F77"/>
    <w:rsid w:val="00C41169"/>
    <w:rsid w:val="00C412EE"/>
    <w:rsid w:val="00C41870"/>
    <w:rsid w:val="00C41A46"/>
    <w:rsid w:val="00C41F1B"/>
    <w:rsid w:val="00C41F45"/>
    <w:rsid w:val="00C42044"/>
    <w:rsid w:val="00C42222"/>
    <w:rsid w:val="00C423B7"/>
    <w:rsid w:val="00C423F2"/>
    <w:rsid w:val="00C425E6"/>
    <w:rsid w:val="00C42661"/>
    <w:rsid w:val="00C427E0"/>
    <w:rsid w:val="00C429ED"/>
    <w:rsid w:val="00C42D2A"/>
    <w:rsid w:val="00C43434"/>
    <w:rsid w:val="00C434E9"/>
    <w:rsid w:val="00C43607"/>
    <w:rsid w:val="00C43CDB"/>
    <w:rsid w:val="00C43E4C"/>
    <w:rsid w:val="00C44126"/>
    <w:rsid w:val="00C441D0"/>
    <w:rsid w:val="00C443F1"/>
    <w:rsid w:val="00C4441B"/>
    <w:rsid w:val="00C444E0"/>
    <w:rsid w:val="00C44650"/>
    <w:rsid w:val="00C4478D"/>
    <w:rsid w:val="00C44794"/>
    <w:rsid w:val="00C44B93"/>
    <w:rsid w:val="00C44BCF"/>
    <w:rsid w:val="00C44CA7"/>
    <w:rsid w:val="00C44D05"/>
    <w:rsid w:val="00C44D33"/>
    <w:rsid w:val="00C4515A"/>
    <w:rsid w:val="00C452EE"/>
    <w:rsid w:val="00C454B1"/>
    <w:rsid w:val="00C456D3"/>
    <w:rsid w:val="00C45AFE"/>
    <w:rsid w:val="00C45ED4"/>
    <w:rsid w:val="00C46349"/>
    <w:rsid w:val="00C463F5"/>
    <w:rsid w:val="00C465B1"/>
    <w:rsid w:val="00C4676E"/>
    <w:rsid w:val="00C467D9"/>
    <w:rsid w:val="00C46964"/>
    <w:rsid w:val="00C46A1B"/>
    <w:rsid w:val="00C46ACD"/>
    <w:rsid w:val="00C46B4C"/>
    <w:rsid w:val="00C46BEC"/>
    <w:rsid w:val="00C46C26"/>
    <w:rsid w:val="00C46C54"/>
    <w:rsid w:val="00C46E4E"/>
    <w:rsid w:val="00C470C1"/>
    <w:rsid w:val="00C47290"/>
    <w:rsid w:val="00C47482"/>
    <w:rsid w:val="00C47A22"/>
    <w:rsid w:val="00C47B2A"/>
    <w:rsid w:val="00C47BE6"/>
    <w:rsid w:val="00C47CDB"/>
    <w:rsid w:val="00C47D8E"/>
    <w:rsid w:val="00C47ED8"/>
    <w:rsid w:val="00C47F41"/>
    <w:rsid w:val="00C500D7"/>
    <w:rsid w:val="00C5055E"/>
    <w:rsid w:val="00C50821"/>
    <w:rsid w:val="00C50934"/>
    <w:rsid w:val="00C50BED"/>
    <w:rsid w:val="00C510A6"/>
    <w:rsid w:val="00C51169"/>
    <w:rsid w:val="00C51355"/>
    <w:rsid w:val="00C51567"/>
    <w:rsid w:val="00C51597"/>
    <w:rsid w:val="00C51879"/>
    <w:rsid w:val="00C51883"/>
    <w:rsid w:val="00C51972"/>
    <w:rsid w:val="00C51CF1"/>
    <w:rsid w:val="00C51FB5"/>
    <w:rsid w:val="00C520F3"/>
    <w:rsid w:val="00C52169"/>
    <w:rsid w:val="00C521E1"/>
    <w:rsid w:val="00C5241D"/>
    <w:rsid w:val="00C524E5"/>
    <w:rsid w:val="00C524FD"/>
    <w:rsid w:val="00C52978"/>
    <w:rsid w:val="00C52A20"/>
    <w:rsid w:val="00C52A8C"/>
    <w:rsid w:val="00C52C8A"/>
    <w:rsid w:val="00C52CC1"/>
    <w:rsid w:val="00C52FD9"/>
    <w:rsid w:val="00C5304D"/>
    <w:rsid w:val="00C531C5"/>
    <w:rsid w:val="00C53F3F"/>
    <w:rsid w:val="00C53FBA"/>
    <w:rsid w:val="00C5410D"/>
    <w:rsid w:val="00C5471C"/>
    <w:rsid w:val="00C548CB"/>
    <w:rsid w:val="00C54D4C"/>
    <w:rsid w:val="00C54DBE"/>
    <w:rsid w:val="00C54E7F"/>
    <w:rsid w:val="00C5529B"/>
    <w:rsid w:val="00C55B09"/>
    <w:rsid w:val="00C55BB1"/>
    <w:rsid w:val="00C55D87"/>
    <w:rsid w:val="00C56051"/>
    <w:rsid w:val="00C560BC"/>
    <w:rsid w:val="00C56259"/>
    <w:rsid w:val="00C56312"/>
    <w:rsid w:val="00C5647D"/>
    <w:rsid w:val="00C564E2"/>
    <w:rsid w:val="00C56826"/>
    <w:rsid w:val="00C569B4"/>
    <w:rsid w:val="00C56E50"/>
    <w:rsid w:val="00C570D6"/>
    <w:rsid w:val="00C5742A"/>
    <w:rsid w:val="00C57F71"/>
    <w:rsid w:val="00C60040"/>
    <w:rsid w:val="00C6018F"/>
    <w:rsid w:val="00C60218"/>
    <w:rsid w:val="00C6028F"/>
    <w:rsid w:val="00C602CE"/>
    <w:rsid w:val="00C60382"/>
    <w:rsid w:val="00C60739"/>
    <w:rsid w:val="00C6084D"/>
    <w:rsid w:val="00C608C3"/>
    <w:rsid w:val="00C6094D"/>
    <w:rsid w:val="00C60962"/>
    <w:rsid w:val="00C60CF1"/>
    <w:rsid w:val="00C61507"/>
    <w:rsid w:val="00C615CA"/>
    <w:rsid w:val="00C6160A"/>
    <w:rsid w:val="00C61644"/>
    <w:rsid w:val="00C61830"/>
    <w:rsid w:val="00C61986"/>
    <w:rsid w:val="00C619AC"/>
    <w:rsid w:val="00C61AB8"/>
    <w:rsid w:val="00C61B49"/>
    <w:rsid w:val="00C61D6B"/>
    <w:rsid w:val="00C620D0"/>
    <w:rsid w:val="00C6239F"/>
    <w:rsid w:val="00C62773"/>
    <w:rsid w:val="00C62EAC"/>
    <w:rsid w:val="00C6308D"/>
    <w:rsid w:val="00C63373"/>
    <w:rsid w:val="00C63393"/>
    <w:rsid w:val="00C633E6"/>
    <w:rsid w:val="00C63635"/>
    <w:rsid w:val="00C6400A"/>
    <w:rsid w:val="00C644E6"/>
    <w:rsid w:val="00C6469D"/>
    <w:rsid w:val="00C64787"/>
    <w:rsid w:val="00C64A4C"/>
    <w:rsid w:val="00C64B9F"/>
    <w:rsid w:val="00C64CB9"/>
    <w:rsid w:val="00C64F08"/>
    <w:rsid w:val="00C64FAB"/>
    <w:rsid w:val="00C65002"/>
    <w:rsid w:val="00C65229"/>
    <w:rsid w:val="00C65406"/>
    <w:rsid w:val="00C6544F"/>
    <w:rsid w:val="00C658A5"/>
    <w:rsid w:val="00C65CB6"/>
    <w:rsid w:val="00C65DD0"/>
    <w:rsid w:val="00C66111"/>
    <w:rsid w:val="00C6617B"/>
    <w:rsid w:val="00C661BA"/>
    <w:rsid w:val="00C661DA"/>
    <w:rsid w:val="00C664D6"/>
    <w:rsid w:val="00C66DEF"/>
    <w:rsid w:val="00C66E88"/>
    <w:rsid w:val="00C67516"/>
    <w:rsid w:val="00C67648"/>
    <w:rsid w:val="00C6775D"/>
    <w:rsid w:val="00C67955"/>
    <w:rsid w:val="00C67BF9"/>
    <w:rsid w:val="00C7026F"/>
    <w:rsid w:val="00C703C4"/>
    <w:rsid w:val="00C70400"/>
    <w:rsid w:val="00C7043E"/>
    <w:rsid w:val="00C7044D"/>
    <w:rsid w:val="00C704C5"/>
    <w:rsid w:val="00C70894"/>
    <w:rsid w:val="00C70AD9"/>
    <w:rsid w:val="00C70D8B"/>
    <w:rsid w:val="00C70FDE"/>
    <w:rsid w:val="00C710A1"/>
    <w:rsid w:val="00C7118B"/>
    <w:rsid w:val="00C712E5"/>
    <w:rsid w:val="00C71C46"/>
    <w:rsid w:val="00C71E85"/>
    <w:rsid w:val="00C7217D"/>
    <w:rsid w:val="00C723E2"/>
    <w:rsid w:val="00C725C8"/>
    <w:rsid w:val="00C7275D"/>
    <w:rsid w:val="00C72AE4"/>
    <w:rsid w:val="00C72B47"/>
    <w:rsid w:val="00C72C1C"/>
    <w:rsid w:val="00C72C49"/>
    <w:rsid w:val="00C72F17"/>
    <w:rsid w:val="00C72F74"/>
    <w:rsid w:val="00C72FA2"/>
    <w:rsid w:val="00C72FB2"/>
    <w:rsid w:val="00C73181"/>
    <w:rsid w:val="00C73650"/>
    <w:rsid w:val="00C73930"/>
    <w:rsid w:val="00C73B3F"/>
    <w:rsid w:val="00C73C9B"/>
    <w:rsid w:val="00C73EB3"/>
    <w:rsid w:val="00C74067"/>
    <w:rsid w:val="00C740F4"/>
    <w:rsid w:val="00C74576"/>
    <w:rsid w:val="00C747CF"/>
    <w:rsid w:val="00C74AC6"/>
    <w:rsid w:val="00C7516D"/>
    <w:rsid w:val="00C7578A"/>
    <w:rsid w:val="00C75812"/>
    <w:rsid w:val="00C75A95"/>
    <w:rsid w:val="00C75E59"/>
    <w:rsid w:val="00C76042"/>
    <w:rsid w:val="00C76208"/>
    <w:rsid w:val="00C762D0"/>
    <w:rsid w:val="00C765BE"/>
    <w:rsid w:val="00C766B7"/>
    <w:rsid w:val="00C76B73"/>
    <w:rsid w:val="00C76D24"/>
    <w:rsid w:val="00C76D32"/>
    <w:rsid w:val="00C7708E"/>
    <w:rsid w:val="00C770FE"/>
    <w:rsid w:val="00C779BE"/>
    <w:rsid w:val="00C77A78"/>
    <w:rsid w:val="00C77BCE"/>
    <w:rsid w:val="00C77CA9"/>
    <w:rsid w:val="00C77CF0"/>
    <w:rsid w:val="00C77FFA"/>
    <w:rsid w:val="00C7B331"/>
    <w:rsid w:val="00C801CF"/>
    <w:rsid w:val="00C80841"/>
    <w:rsid w:val="00C80B00"/>
    <w:rsid w:val="00C80D6C"/>
    <w:rsid w:val="00C80F6B"/>
    <w:rsid w:val="00C8106D"/>
    <w:rsid w:val="00C8147B"/>
    <w:rsid w:val="00C819AC"/>
    <w:rsid w:val="00C81B77"/>
    <w:rsid w:val="00C81BFF"/>
    <w:rsid w:val="00C81CD5"/>
    <w:rsid w:val="00C81D0D"/>
    <w:rsid w:val="00C81DFC"/>
    <w:rsid w:val="00C81E49"/>
    <w:rsid w:val="00C81E85"/>
    <w:rsid w:val="00C81FEB"/>
    <w:rsid w:val="00C82083"/>
    <w:rsid w:val="00C82331"/>
    <w:rsid w:val="00C826F9"/>
    <w:rsid w:val="00C8273D"/>
    <w:rsid w:val="00C82795"/>
    <w:rsid w:val="00C82C3F"/>
    <w:rsid w:val="00C82D1A"/>
    <w:rsid w:val="00C82D24"/>
    <w:rsid w:val="00C82E6D"/>
    <w:rsid w:val="00C83401"/>
    <w:rsid w:val="00C83929"/>
    <w:rsid w:val="00C83BA9"/>
    <w:rsid w:val="00C84073"/>
    <w:rsid w:val="00C84590"/>
    <w:rsid w:val="00C84904"/>
    <w:rsid w:val="00C84B1B"/>
    <w:rsid w:val="00C84B84"/>
    <w:rsid w:val="00C84CE2"/>
    <w:rsid w:val="00C84D61"/>
    <w:rsid w:val="00C84E2C"/>
    <w:rsid w:val="00C85035"/>
    <w:rsid w:val="00C85582"/>
    <w:rsid w:val="00C855FD"/>
    <w:rsid w:val="00C85683"/>
    <w:rsid w:val="00C85B01"/>
    <w:rsid w:val="00C85D40"/>
    <w:rsid w:val="00C85E70"/>
    <w:rsid w:val="00C85E92"/>
    <w:rsid w:val="00C86013"/>
    <w:rsid w:val="00C861B0"/>
    <w:rsid w:val="00C863AE"/>
    <w:rsid w:val="00C86A81"/>
    <w:rsid w:val="00C86C4A"/>
    <w:rsid w:val="00C86D15"/>
    <w:rsid w:val="00C86F0D"/>
    <w:rsid w:val="00C87246"/>
    <w:rsid w:val="00C87AC5"/>
    <w:rsid w:val="00C87B8E"/>
    <w:rsid w:val="00C87E0A"/>
    <w:rsid w:val="00C87EAA"/>
    <w:rsid w:val="00C90253"/>
    <w:rsid w:val="00C902E9"/>
    <w:rsid w:val="00C90516"/>
    <w:rsid w:val="00C9083E"/>
    <w:rsid w:val="00C908E3"/>
    <w:rsid w:val="00C90D3B"/>
    <w:rsid w:val="00C91813"/>
    <w:rsid w:val="00C91821"/>
    <w:rsid w:val="00C91E83"/>
    <w:rsid w:val="00C92353"/>
    <w:rsid w:val="00C9267C"/>
    <w:rsid w:val="00C926CE"/>
    <w:rsid w:val="00C92785"/>
    <w:rsid w:val="00C92959"/>
    <w:rsid w:val="00C92A25"/>
    <w:rsid w:val="00C92AB8"/>
    <w:rsid w:val="00C92C96"/>
    <w:rsid w:val="00C92E72"/>
    <w:rsid w:val="00C92E9A"/>
    <w:rsid w:val="00C92F88"/>
    <w:rsid w:val="00C92FB4"/>
    <w:rsid w:val="00C93288"/>
    <w:rsid w:val="00C949E3"/>
    <w:rsid w:val="00C94ECB"/>
    <w:rsid w:val="00C94F4C"/>
    <w:rsid w:val="00C95020"/>
    <w:rsid w:val="00C950A7"/>
    <w:rsid w:val="00C950B1"/>
    <w:rsid w:val="00C95351"/>
    <w:rsid w:val="00C955A3"/>
    <w:rsid w:val="00C956B4"/>
    <w:rsid w:val="00C95919"/>
    <w:rsid w:val="00C95953"/>
    <w:rsid w:val="00C95DFD"/>
    <w:rsid w:val="00C95FD1"/>
    <w:rsid w:val="00C964A4"/>
    <w:rsid w:val="00C967BC"/>
    <w:rsid w:val="00C967D9"/>
    <w:rsid w:val="00C9681E"/>
    <w:rsid w:val="00C968AC"/>
    <w:rsid w:val="00C96924"/>
    <w:rsid w:val="00C96A03"/>
    <w:rsid w:val="00C96E23"/>
    <w:rsid w:val="00C97153"/>
    <w:rsid w:val="00C9732B"/>
    <w:rsid w:val="00C97559"/>
    <w:rsid w:val="00C975CF"/>
    <w:rsid w:val="00C97660"/>
    <w:rsid w:val="00C9789E"/>
    <w:rsid w:val="00C97A6E"/>
    <w:rsid w:val="00C97C5E"/>
    <w:rsid w:val="00C97ECE"/>
    <w:rsid w:val="00CA0013"/>
    <w:rsid w:val="00CA0091"/>
    <w:rsid w:val="00CA00BF"/>
    <w:rsid w:val="00CA014F"/>
    <w:rsid w:val="00CA0186"/>
    <w:rsid w:val="00CA06DA"/>
    <w:rsid w:val="00CA07F8"/>
    <w:rsid w:val="00CA0BCD"/>
    <w:rsid w:val="00CA0D1A"/>
    <w:rsid w:val="00CA0EF6"/>
    <w:rsid w:val="00CA0FF9"/>
    <w:rsid w:val="00CA111F"/>
    <w:rsid w:val="00CA18FE"/>
    <w:rsid w:val="00CA194B"/>
    <w:rsid w:val="00CA199A"/>
    <w:rsid w:val="00CA1B40"/>
    <w:rsid w:val="00CA1B64"/>
    <w:rsid w:val="00CA1D13"/>
    <w:rsid w:val="00CA1E03"/>
    <w:rsid w:val="00CA1F85"/>
    <w:rsid w:val="00CA1FDC"/>
    <w:rsid w:val="00CA23C5"/>
    <w:rsid w:val="00CA2418"/>
    <w:rsid w:val="00CA25F1"/>
    <w:rsid w:val="00CA2693"/>
    <w:rsid w:val="00CA2CC0"/>
    <w:rsid w:val="00CA30A6"/>
    <w:rsid w:val="00CA3152"/>
    <w:rsid w:val="00CA329E"/>
    <w:rsid w:val="00CA33A2"/>
    <w:rsid w:val="00CA341C"/>
    <w:rsid w:val="00CA35D3"/>
    <w:rsid w:val="00CA35F7"/>
    <w:rsid w:val="00CA3A9D"/>
    <w:rsid w:val="00CA3B6F"/>
    <w:rsid w:val="00CA3BE0"/>
    <w:rsid w:val="00CA4162"/>
    <w:rsid w:val="00CA4493"/>
    <w:rsid w:val="00CA45C2"/>
    <w:rsid w:val="00CA49B8"/>
    <w:rsid w:val="00CA4A15"/>
    <w:rsid w:val="00CA51B8"/>
    <w:rsid w:val="00CA54E5"/>
    <w:rsid w:val="00CA56DF"/>
    <w:rsid w:val="00CA5A10"/>
    <w:rsid w:val="00CA5BAF"/>
    <w:rsid w:val="00CA5D85"/>
    <w:rsid w:val="00CA5EF2"/>
    <w:rsid w:val="00CA5F7D"/>
    <w:rsid w:val="00CA64BE"/>
    <w:rsid w:val="00CA6A29"/>
    <w:rsid w:val="00CA6D41"/>
    <w:rsid w:val="00CA6D5B"/>
    <w:rsid w:val="00CA6D63"/>
    <w:rsid w:val="00CA70E4"/>
    <w:rsid w:val="00CA739B"/>
    <w:rsid w:val="00CA747B"/>
    <w:rsid w:val="00CA76A4"/>
    <w:rsid w:val="00CA7725"/>
    <w:rsid w:val="00CA7A93"/>
    <w:rsid w:val="00CB01B2"/>
    <w:rsid w:val="00CB023C"/>
    <w:rsid w:val="00CB05B7"/>
    <w:rsid w:val="00CB0994"/>
    <w:rsid w:val="00CB09ED"/>
    <w:rsid w:val="00CB0BA3"/>
    <w:rsid w:val="00CB1500"/>
    <w:rsid w:val="00CB15EA"/>
    <w:rsid w:val="00CB1655"/>
    <w:rsid w:val="00CB18A1"/>
    <w:rsid w:val="00CB19BB"/>
    <w:rsid w:val="00CB19DF"/>
    <w:rsid w:val="00CB2258"/>
    <w:rsid w:val="00CB25F7"/>
    <w:rsid w:val="00CB271C"/>
    <w:rsid w:val="00CB2ED6"/>
    <w:rsid w:val="00CB34C3"/>
    <w:rsid w:val="00CB3506"/>
    <w:rsid w:val="00CB37C5"/>
    <w:rsid w:val="00CB37D9"/>
    <w:rsid w:val="00CB39C9"/>
    <w:rsid w:val="00CB3A69"/>
    <w:rsid w:val="00CB3BCC"/>
    <w:rsid w:val="00CB3D05"/>
    <w:rsid w:val="00CB4267"/>
    <w:rsid w:val="00CB44AC"/>
    <w:rsid w:val="00CB4877"/>
    <w:rsid w:val="00CB48C1"/>
    <w:rsid w:val="00CB4AD1"/>
    <w:rsid w:val="00CB4C76"/>
    <w:rsid w:val="00CB4DDA"/>
    <w:rsid w:val="00CB5953"/>
    <w:rsid w:val="00CB5995"/>
    <w:rsid w:val="00CB606B"/>
    <w:rsid w:val="00CB6781"/>
    <w:rsid w:val="00CB67A5"/>
    <w:rsid w:val="00CB688C"/>
    <w:rsid w:val="00CB6A68"/>
    <w:rsid w:val="00CB6B91"/>
    <w:rsid w:val="00CB6CA6"/>
    <w:rsid w:val="00CB6E2C"/>
    <w:rsid w:val="00CB6EAE"/>
    <w:rsid w:val="00CB70A3"/>
    <w:rsid w:val="00CB7670"/>
    <w:rsid w:val="00CB7700"/>
    <w:rsid w:val="00CB7739"/>
    <w:rsid w:val="00CB788B"/>
    <w:rsid w:val="00CB793D"/>
    <w:rsid w:val="00CB798B"/>
    <w:rsid w:val="00CB7A7D"/>
    <w:rsid w:val="00CB7DA8"/>
    <w:rsid w:val="00CB7E70"/>
    <w:rsid w:val="00CB7E9E"/>
    <w:rsid w:val="00CB7FC6"/>
    <w:rsid w:val="00CC0164"/>
    <w:rsid w:val="00CC02F4"/>
    <w:rsid w:val="00CC035E"/>
    <w:rsid w:val="00CC038F"/>
    <w:rsid w:val="00CC043A"/>
    <w:rsid w:val="00CC048E"/>
    <w:rsid w:val="00CC0810"/>
    <w:rsid w:val="00CC0DE7"/>
    <w:rsid w:val="00CC1901"/>
    <w:rsid w:val="00CC1C40"/>
    <w:rsid w:val="00CC1EBD"/>
    <w:rsid w:val="00CC212F"/>
    <w:rsid w:val="00CC2167"/>
    <w:rsid w:val="00CC2541"/>
    <w:rsid w:val="00CC2582"/>
    <w:rsid w:val="00CC2597"/>
    <w:rsid w:val="00CC2954"/>
    <w:rsid w:val="00CC2A95"/>
    <w:rsid w:val="00CC3007"/>
    <w:rsid w:val="00CC3194"/>
    <w:rsid w:val="00CC3486"/>
    <w:rsid w:val="00CC3606"/>
    <w:rsid w:val="00CC369B"/>
    <w:rsid w:val="00CC3868"/>
    <w:rsid w:val="00CC3E25"/>
    <w:rsid w:val="00CC3E58"/>
    <w:rsid w:val="00CC4194"/>
    <w:rsid w:val="00CC4483"/>
    <w:rsid w:val="00CC4600"/>
    <w:rsid w:val="00CC46CE"/>
    <w:rsid w:val="00CC48BA"/>
    <w:rsid w:val="00CC4C29"/>
    <w:rsid w:val="00CC4DB0"/>
    <w:rsid w:val="00CC50C0"/>
    <w:rsid w:val="00CC50C5"/>
    <w:rsid w:val="00CC5510"/>
    <w:rsid w:val="00CC55BC"/>
    <w:rsid w:val="00CC56EA"/>
    <w:rsid w:val="00CC59D1"/>
    <w:rsid w:val="00CC5D96"/>
    <w:rsid w:val="00CC6038"/>
    <w:rsid w:val="00CC6134"/>
    <w:rsid w:val="00CC64E0"/>
    <w:rsid w:val="00CC66FE"/>
    <w:rsid w:val="00CC67A0"/>
    <w:rsid w:val="00CC67C3"/>
    <w:rsid w:val="00CC6887"/>
    <w:rsid w:val="00CC68B9"/>
    <w:rsid w:val="00CC68C9"/>
    <w:rsid w:val="00CC68F0"/>
    <w:rsid w:val="00CC693C"/>
    <w:rsid w:val="00CC6A66"/>
    <w:rsid w:val="00CC6BE4"/>
    <w:rsid w:val="00CC6ECF"/>
    <w:rsid w:val="00CC73A2"/>
    <w:rsid w:val="00CC7652"/>
    <w:rsid w:val="00CC76A9"/>
    <w:rsid w:val="00CC7AD6"/>
    <w:rsid w:val="00CC7D99"/>
    <w:rsid w:val="00CC7F09"/>
    <w:rsid w:val="00CD019A"/>
    <w:rsid w:val="00CD076E"/>
    <w:rsid w:val="00CD0851"/>
    <w:rsid w:val="00CD08A3"/>
    <w:rsid w:val="00CD0A18"/>
    <w:rsid w:val="00CD1146"/>
    <w:rsid w:val="00CD13B6"/>
    <w:rsid w:val="00CD1782"/>
    <w:rsid w:val="00CD1B4B"/>
    <w:rsid w:val="00CD1BDB"/>
    <w:rsid w:val="00CD1C58"/>
    <w:rsid w:val="00CD1D39"/>
    <w:rsid w:val="00CD2003"/>
    <w:rsid w:val="00CD23D7"/>
    <w:rsid w:val="00CD3313"/>
    <w:rsid w:val="00CD3681"/>
    <w:rsid w:val="00CD37CA"/>
    <w:rsid w:val="00CD3982"/>
    <w:rsid w:val="00CD3A2F"/>
    <w:rsid w:val="00CD3E44"/>
    <w:rsid w:val="00CD3F05"/>
    <w:rsid w:val="00CD3FAA"/>
    <w:rsid w:val="00CD4128"/>
    <w:rsid w:val="00CD4955"/>
    <w:rsid w:val="00CD4D53"/>
    <w:rsid w:val="00CD4DBA"/>
    <w:rsid w:val="00CD4FDD"/>
    <w:rsid w:val="00CD5299"/>
    <w:rsid w:val="00CD5366"/>
    <w:rsid w:val="00CD5375"/>
    <w:rsid w:val="00CD5433"/>
    <w:rsid w:val="00CD5A8F"/>
    <w:rsid w:val="00CD5AAB"/>
    <w:rsid w:val="00CD60E6"/>
    <w:rsid w:val="00CD622E"/>
    <w:rsid w:val="00CD62DC"/>
    <w:rsid w:val="00CD66FA"/>
    <w:rsid w:val="00CD693F"/>
    <w:rsid w:val="00CD6B7A"/>
    <w:rsid w:val="00CD7056"/>
    <w:rsid w:val="00CD7132"/>
    <w:rsid w:val="00CD71E6"/>
    <w:rsid w:val="00CD74E2"/>
    <w:rsid w:val="00CD7A3E"/>
    <w:rsid w:val="00CD7B6A"/>
    <w:rsid w:val="00CD7C29"/>
    <w:rsid w:val="00CD7E7C"/>
    <w:rsid w:val="00CE0114"/>
    <w:rsid w:val="00CE01FE"/>
    <w:rsid w:val="00CE042D"/>
    <w:rsid w:val="00CE0463"/>
    <w:rsid w:val="00CE064F"/>
    <w:rsid w:val="00CE067C"/>
    <w:rsid w:val="00CE06F0"/>
    <w:rsid w:val="00CE0713"/>
    <w:rsid w:val="00CE0815"/>
    <w:rsid w:val="00CE0888"/>
    <w:rsid w:val="00CE0AB8"/>
    <w:rsid w:val="00CE0CDD"/>
    <w:rsid w:val="00CE0D46"/>
    <w:rsid w:val="00CE12A8"/>
    <w:rsid w:val="00CE140F"/>
    <w:rsid w:val="00CE1539"/>
    <w:rsid w:val="00CE1686"/>
    <w:rsid w:val="00CE1721"/>
    <w:rsid w:val="00CE1745"/>
    <w:rsid w:val="00CE180F"/>
    <w:rsid w:val="00CE194E"/>
    <w:rsid w:val="00CE196C"/>
    <w:rsid w:val="00CE19E5"/>
    <w:rsid w:val="00CE1A11"/>
    <w:rsid w:val="00CE1CF3"/>
    <w:rsid w:val="00CE2259"/>
    <w:rsid w:val="00CE22C8"/>
    <w:rsid w:val="00CE24C7"/>
    <w:rsid w:val="00CE2620"/>
    <w:rsid w:val="00CE265E"/>
    <w:rsid w:val="00CE2714"/>
    <w:rsid w:val="00CE28F9"/>
    <w:rsid w:val="00CE2993"/>
    <w:rsid w:val="00CE2C62"/>
    <w:rsid w:val="00CE2CEF"/>
    <w:rsid w:val="00CE2E85"/>
    <w:rsid w:val="00CE3747"/>
    <w:rsid w:val="00CE3F82"/>
    <w:rsid w:val="00CE4111"/>
    <w:rsid w:val="00CE41CF"/>
    <w:rsid w:val="00CE4210"/>
    <w:rsid w:val="00CE42C4"/>
    <w:rsid w:val="00CE4A52"/>
    <w:rsid w:val="00CE4B8A"/>
    <w:rsid w:val="00CE4B9C"/>
    <w:rsid w:val="00CE51D2"/>
    <w:rsid w:val="00CE534B"/>
    <w:rsid w:val="00CE556B"/>
    <w:rsid w:val="00CE57F5"/>
    <w:rsid w:val="00CE6118"/>
    <w:rsid w:val="00CE62FC"/>
    <w:rsid w:val="00CE6369"/>
    <w:rsid w:val="00CE6705"/>
    <w:rsid w:val="00CE69F6"/>
    <w:rsid w:val="00CE6C33"/>
    <w:rsid w:val="00CE6D75"/>
    <w:rsid w:val="00CE7180"/>
    <w:rsid w:val="00CE718F"/>
    <w:rsid w:val="00CE71F2"/>
    <w:rsid w:val="00CE7907"/>
    <w:rsid w:val="00CE7EDD"/>
    <w:rsid w:val="00CE7F56"/>
    <w:rsid w:val="00CF034D"/>
    <w:rsid w:val="00CF0C06"/>
    <w:rsid w:val="00CF0C5C"/>
    <w:rsid w:val="00CF1203"/>
    <w:rsid w:val="00CF125F"/>
    <w:rsid w:val="00CF133C"/>
    <w:rsid w:val="00CF13C3"/>
    <w:rsid w:val="00CF156D"/>
    <w:rsid w:val="00CF17B5"/>
    <w:rsid w:val="00CF19FA"/>
    <w:rsid w:val="00CF1B03"/>
    <w:rsid w:val="00CF1B4F"/>
    <w:rsid w:val="00CF2162"/>
    <w:rsid w:val="00CF236B"/>
    <w:rsid w:val="00CF24FD"/>
    <w:rsid w:val="00CF2577"/>
    <w:rsid w:val="00CF2ABE"/>
    <w:rsid w:val="00CF2B09"/>
    <w:rsid w:val="00CF2C0D"/>
    <w:rsid w:val="00CF2D17"/>
    <w:rsid w:val="00CF2D52"/>
    <w:rsid w:val="00CF2DCD"/>
    <w:rsid w:val="00CF31E3"/>
    <w:rsid w:val="00CF329D"/>
    <w:rsid w:val="00CF3656"/>
    <w:rsid w:val="00CF3885"/>
    <w:rsid w:val="00CF3891"/>
    <w:rsid w:val="00CF3AE1"/>
    <w:rsid w:val="00CF3D7D"/>
    <w:rsid w:val="00CF4058"/>
    <w:rsid w:val="00CF407E"/>
    <w:rsid w:val="00CF410E"/>
    <w:rsid w:val="00CF4169"/>
    <w:rsid w:val="00CF424D"/>
    <w:rsid w:val="00CF46EA"/>
    <w:rsid w:val="00CF47D1"/>
    <w:rsid w:val="00CF488A"/>
    <w:rsid w:val="00CF4A77"/>
    <w:rsid w:val="00CF4AC0"/>
    <w:rsid w:val="00CF4B9F"/>
    <w:rsid w:val="00CF4D8A"/>
    <w:rsid w:val="00CF4F8F"/>
    <w:rsid w:val="00CF5390"/>
    <w:rsid w:val="00CF5573"/>
    <w:rsid w:val="00CF5642"/>
    <w:rsid w:val="00CF568B"/>
    <w:rsid w:val="00CF56CE"/>
    <w:rsid w:val="00CF574E"/>
    <w:rsid w:val="00CF577A"/>
    <w:rsid w:val="00CF5A91"/>
    <w:rsid w:val="00CF5BAC"/>
    <w:rsid w:val="00CF5C67"/>
    <w:rsid w:val="00CF5E73"/>
    <w:rsid w:val="00CF606E"/>
    <w:rsid w:val="00CF6449"/>
    <w:rsid w:val="00CF668B"/>
    <w:rsid w:val="00CF6881"/>
    <w:rsid w:val="00CF68FF"/>
    <w:rsid w:val="00CF6C9D"/>
    <w:rsid w:val="00CF6CC4"/>
    <w:rsid w:val="00CF6EF1"/>
    <w:rsid w:val="00CF6FD6"/>
    <w:rsid w:val="00CF7012"/>
    <w:rsid w:val="00CF7031"/>
    <w:rsid w:val="00CF72A8"/>
    <w:rsid w:val="00CF734C"/>
    <w:rsid w:val="00CF739E"/>
    <w:rsid w:val="00CF7865"/>
    <w:rsid w:val="00CF7DA5"/>
    <w:rsid w:val="00D00287"/>
    <w:rsid w:val="00D0082A"/>
    <w:rsid w:val="00D00C34"/>
    <w:rsid w:val="00D00D2D"/>
    <w:rsid w:val="00D00E04"/>
    <w:rsid w:val="00D01001"/>
    <w:rsid w:val="00D012F3"/>
    <w:rsid w:val="00D01458"/>
    <w:rsid w:val="00D0151C"/>
    <w:rsid w:val="00D0163A"/>
    <w:rsid w:val="00D0173E"/>
    <w:rsid w:val="00D017FB"/>
    <w:rsid w:val="00D01B77"/>
    <w:rsid w:val="00D020D8"/>
    <w:rsid w:val="00D02110"/>
    <w:rsid w:val="00D0213E"/>
    <w:rsid w:val="00D02193"/>
    <w:rsid w:val="00D026BE"/>
    <w:rsid w:val="00D029CD"/>
    <w:rsid w:val="00D02AE6"/>
    <w:rsid w:val="00D02C2A"/>
    <w:rsid w:val="00D02DC2"/>
    <w:rsid w:val="00D02DC6"/>
    <w:rsid w:val="00D03139"/>
    <w:rsid w:val="00D031C8"/>
    <w:rsid w:val="00D032CD"/>
    <w:rsid w:val="00D0337F"/>
    <w:rsid w:val="00D03771"/>
    <w:rsid w:val="00D03843"/>
    <w:rsid w:val="00D03A4E"/>
    <w:rsid w:val="00D03BF9"/>
    <w:rsid w:val="00D03C20"/>
    <w:rsid w:val="00D04136"/>
    <w:rsid w:val="00D04375"/>
    <w:rsid w:val="00D044BD"/>
    <w:rsid w:val="00D045BA"/>
    <w:rsid w:val="00D0499E"/>
    <w:rsid w:val="00D04A13"/>
    <w:rsid w:val="00D04B44"/>
    <w:rsid w:val="00D04F33"/>
    <w:rsid w:val="00D04FD1"/>
    <w:rsid w:val="00D05008"/>
    <w:rsid w:val="00D0508C"/>
    <w:rsid w:val="00D0522B"/>
    <w:rsid w:val="00D05329"/>
    <w:rsid w:val="00D054DC"/>
    <w:rsid w:val="00D05831"/>
    <w:rsid w:val="00D05CA8"/>
    <w:rsid w:val="00D06235"/>
    <w:rsid w:val="00D062FD"/>
    <w:rsid w:val="00D06336"/>
    <w:rsid w:val="00D0691F"/>
    <w:rsid w:val="00D06FAD"/>
    <w:rsid w:val="00D0718D"/>
    <w:rsid w:val="00D0743E"/>
    <w:rsid w:val="00D07458"/>
    <w:rsid w:val="00D07592"/>
    <w:rsid w:val="00D075CD"/>
    <w:rsid w:val="00D0766D"/>
    <w:rsid w:val="00D07676"/>
    <w:rsid w:val="00D07694"/>
    <w:rsid w:val="00D07A33"/>
    <w:rsid w:val="00D07AB2"/>
    <w:rsid w:val="00D07CB1"/>
    <w:rsid w:val="00D07E97"/>
    <w:rsid w:val="00D102C9"/>
    <w:rsid w:val="00D1042C"/>
    <w:rsid w:val="00D1079A"/>
    <w:rsid w:val="00D1090B"/>
    <w:rsid w:val="00D10ABB"/>
    <w:rsid w:val="00D10D23"/>
    <w:rsid w:val="00D10E9E"/>
    <w:rsid w:val="00D110A1"/>
    <w:rsid w:val="00D112A5"/>
    <w:rsid w:val="00D1142A"/>
    <w:rsid w:val="00D117FE"/>
    <w:rsid w:val="00D118C3"/>
    <w:rsid w:val="00D119CA"/>
    <w:rsid w:val="00D11A8E"/>
    <w:rsid w:val="00D11CB8"/>
    <w:rsid w:val="00D12515"/>
    <w:rsid w:val="00D125D6"/>
    <w:rsid w:val="00D1272D"/>
    <w:rsid w:val="00D12A36"/>
    <w:rsid w:val="00D12A49"/>
    <w:rsid w:val="00D12ACD"/>
    <w:rsid w:val="00D12B24"/>
    <w:rsid w:val="00D12FDB"/>
    <w:rsid w:val="00D130DA"/>
    <w:rsid w:val="00D13628"/>
    <w:rsid w:val="00D13D6D"/>
    <w:rsid w:val="00D13ECE"/>
    <w:rsid w:val="00D1412F"/>
    <w:rsid w:val="00D14711"/>
    <w:rsid w:val="00D1486A"/>
    <w:rsid w:val="00D14A85"/>
    <w:rsid w:val="00D14A9A"/>
    <w:rsid w:val="00D14C41"/>
    <w:rsid w:val="00D14CB4"/>
    <w:rsid w:val="00D14FE6"/>
    <w:rsid w:val="00D150A6"/>
    <w:rsid w:val="00D153A4"/>
    <w:rsid w:val="00D1588C"/>
    <w:rsid w:val="00D15B0A"/>
    <w:rsid w:val="00D15CBD"/>
    <w:rsid w:val="00D1609D"/>
    <w:rsid w:val="00D163AE"/>
    <w:rsid w:val="00D163F3"/>
    <w:rsid w:val="00D163F7"/>
    <w:rsid w:val="00D165FD"/>
    <w:rsid w:val="00D16685"/>
    <w:rsid w:val="00D16743"/>
    <w:rsid w:val="00D167A4"/>
    <w:rsid w:val="00D16BCB"/>
    <w:rsid w:val="00D16C3F"/>
    <w:rsid w:val="00D17238"/>
    <w:rsid w:val="00D17381"/>
    <w:rsid w:val="00D173E1"/>
    <w:rsid w:val="00D1757E"/>
    <w:rsid w:val="00D176B9"/>
    <w:rsid w:val="00D176CF"/>
    <w:rsid w:val="00D17764"/>
    <w:rsid w:val="00D17D00"/>
    <w:rsid w:val="00D2001F"/>
    <w:rsid w:val="00D2024F"/>
    <w:rsid w:val="00D2039F"/>
    <w:rsid w:val="00D20565"/>
    <w:rsid w:val="00D20589"/>
    <w:rsid w:val="00D2061D"/>
    <w:rsid w:val="00D20CFA"/>
    <w:rsid w:val="00D20D3B"/>
    <w:rsid w:val="00D20FA5"/>
    <w:rsid w:val="00D211BD"/>
    <w:rsid w:val="00D213F3"/>
    <w:rsid w:val="00D2150B"/>
    <w:rsid w:val="00D21BC8"/>
    <w:rsid w:val="00D21D09"/>
    <w:rsid w:val="00D221DB"/>
    <w:rsid w:val="00D224E9"/>
    <w:rsid w:val="00D22628"/>
    <w:rsid w:val="00D22668"/>
    <w:rsid w:val="00D2282C"/>
    <w:rsid w:val="00D22953"/>
    <w:rsid w:val="00D22C13"/>
    <w:rsid w:val="00D233B8"/>
    <w:rsid w:val="00D233C1"/>
    <w:rsid w:val="00D23748"/>
    <w:rsid w:val="00D23931"/>
    <w:rsid w:val="00D23993"/>
    <w:rsid w:val="00D239D7"/>
    <w:rsid w:val="00D23CF4"/>
    <w:rsid w:val="00D240AC"/>
    <w:rsid w:val="00D24212"/>
    <w:rsid w:val="00D24372"/>
    <w:rsid w:val="00D24717"/>
    <w:rsid w:val="00D248B3"/>
    <w:rsid w:val="00D248E2"/>
    <w:rsid w:val="00D24911"/>
    <w:rsid w:val="00D249EA"/>
    <w:rsid w:val="00D24EF2"/>
    <w:rsid w:val="00D24F4D"/>
    <w:rsid w:val="00D250E0"/>
    <w:rsid w:val="00D25287"/>
    <w:rsid w:val="00D253FE"/>
    <w:rsid w:val="00D25526"/>
    <w:rsid w:val="00D2575D"/>
    <w:rsid w:val="00D25C56"/>
    <w:rsid w:val="00D25DF8"/>
    <w:rsid w:val="00D25E3D"/>
    <w:rsid w:val="00D25FD5"/>
    <w:rsid w:val="00D26462"/>
    <w:rsid w:val="00D26AAB"/>
    <w:rsid w:val="00D26B84"/>
    <w:rsid w:val="00D26E10"/>
    <w:rsid w:val="00D27082"/>
    <w:rsid w:val="00D271A0"/>
    <w:rsid w:val="00D272E5"/>
    <w:rsid w:val="00D272E6"/>
    <w:rsid w:val="00D2739F"/>
    <w:rsid w:val="00D2788E"/>
    <w:rsid w:val="00D27F17"/>
    <w:rsid w:val="00D27F3F"/>
    <w:rsid w:val="00D30055"/>
    <w:rsid w:val="00D301B3"/>
    <w:rsid w:val="00D301CB"/>
    <w:rsid w:val="00D3052E"/>
    <w:rsid w:val="00D3060D"/>
    <w:rsid w:val="00D306A3"/>
    <w:rsid w:val="00D307A2"/>
    <w:rsid w:val="00D308EA"/>
    <w:rsid w:val="00D30CBE"/>
    <w:rsid w:val="00D30D5F"/>
    <w:rsid w:val="00D31028"/>
    <w:rsid w:val="00D3118E"/>
    <w:rsid w:val="00D31247"/>
    <w:rsid w:val="00D31507"/>
    <w:rsid w:val="00D319D8"/>
    <w:rsid w:val="00D31B48"/>
    <w:rsid w:val="00D31D90"/>
    <w:rsid w:val="00D31EBA"/>
    <w:rsid w:val="00D32205"/>
    <w:rsid w:val="00D3232C"/>
    <w:rsid w:val="00D32488"/>
    <w:rsid w:val="00D3257D"/>
    <w:rsid w:val="00D327C7"/>
    <w:rsid w:val="00D3283E"/>
    <w:rsid w:val="00D32C34"/>
    <w:rsid w:val="00D32D84"/>
    <w:rsid w:val="00D32DB4"/>
    <w:rsid w:val="00D32DDD"/>
    <w:rsid w:val="00D32EC3"/>
    <w:rsid w:val="00D33144"/>
    <w:rsid w:val="00D332BE"/>
    <w:rsid w:val="00D3356C"/>
    <w:rsid w:val="00D338C2"/>
    <w:rsid w:val="00D338E4"/>
    <w:rsid w:val="00D33C4D"/>
    <w:rsid w:val="00D33D90"/>
    <w:rsid w:val="00D34042"/>
    <w:rsid w:val="00D34318"/>
    <w:rsid w:val="00D34396"/>
    <w:rsid w:val="00D343A2"/>
    <w:rsid w:val="00D34EC7"/>
    <w:rsid w:val="00D34EEA"/>
    <w:rsid w:val="00D35201"/>
    <w:rsid w:val="00D3525C"/>
    <w:rsid w:val="00D3547F"/>
    <w:rsid w:val="00D3569E"/>
    <w:rsid w:val="00D359A1"/>
    <w:rsid w:val="00D359F9"/>
    <w:rsid w:val="00D35AB9"/>
    <w:rsid w:val="00D35D51"/>
    <w:rsid w:val="00D35E95"/>
    <w:rsid w:val="00D35F6B"/>
    <w:rsid w:val="00D35FBE"/>
    <w:rsid w:val="00D36230"/>
    <w:rsid w:val="00D3625D"/>
    <w:rsid w:val="00D3625E"/>
    <w:rsid w:val="00D364BC"/>
    <w:rsid w:val="00D36558"/>
    <w:rsid w:val="00D36636"/>
    <w:rsid w:val="00D3663F"/>
    <w:rsid w:val="00D3721A"/>
    <w:rsid w:val="00D37334"/>
    <w:rsid w:val="00D37818"/>
    <w:rsid w:val="00D3788B"/>
    <w:rsid w:val="00D37E4D"/>
    <w:rsid w:val="00D37F04"/>
    <w:rsid w:val="00D4024A"/>
    <w:rsid w:val="00D407FD"/>
    <w:rsid w:val="00D40AFE"/>
    <w:rsid w:val="00D40D9A"/>
    <w:rsid w:val="00D40EE1"/>
    <w:rsid w:val="00D40FB7"/>
    <w:rsid w:val="00D413F2"/>
    <w:rsid w:val="00D4147F"/>
    <w:rsid w:val="00D414C4"/>
    <w:rsid w:val="00D41686"/>
    <w:rsid w:val="00D41695"/>
    <w:rsid w:val="00D41758"/>
    <w:rsid w:val="00D41B03"/>
    <w:rsid w:val="00D41E87"/>
    <w:rsid w:val="00D41EBC"/>
    <w:rsid w:val="00D4208A"/>
    <w:rsid w:val="00D42144"/>
    <w:rsid w:val="00D423FB"/>
    <w:rsid w:val="00D4262E"/>
    <w:rsid w:val="00D42853"/>
    <w:rsid w:val="00D42890"/>
    <w:rsid w:val="00D42909"/>
    <w:rsid w:val="00D42A4C"/>
    <w:rsid w:val="00D42AAB"/>
    <w:rsid w:val="00D42C77"/>
    <w:rsid w:val="00D43018"/>
    <w:rsid w:val="00D4321E"/>
    <w:rsid w:val="00D4345F"/>
    <w:rsid w:val="00D434FB"/>
    <w:rsid w:val="00D43895"/>
    <w:rsid w:val="00D43E08"/>
    <w:rsid w:val="00D43F41"/>
    <w:rsid w:val="00D44350"/>
    <w:rsid w:val="00D4439F"/>
    <w:rsid w:val="00D443F4"/>
    <w:rsid w:val="00D447B6"/>
    <w:rsid w:val="00D447B8"/>
    <w:rsid w:val="00D449AF"/>
    <w:rsid w:val="00D44A48"/>
    <w:rsid w:val="00D44AA5"/>
    <w:rsid w:val="00D44EC3"/>
    <w:rsid w:val="00D44EFD"/>
    <w:rsid w:val="00D44FE8"/>
    <w:rsid w:val="00D457B9"/>
    <w:rsid w:val="00D45809"/>
    <w:rsid w:val="00D458B2"/>
    <w:rsid w:val="00D45BD9"/>
    <w:rsid w:val="00D45FD1"/>
    <w:rsid w:val="00D460F0"/>
    <w:rsid w:val="00D461B7"/>
    <w:rsid w:val="00D462DE"/>
    <w:rsid w:val="00D46324"/>
    <w:rsid w:val="00D46368"/>
    <w:rsid w:val="00D463E6"/>
    <w:rsid w:val="00D46436"/>
    <w:rsid w:val="00D46685"/>
    <w:rsid w:val="00D46984"/>
    <w:rsid w:val="00D469DA"/>
    <w:rsid w:val="00D469F9"/>
    <w:rsid w:val="00D46E55"/>
    <w:rsid w:val="00D46FD0"/>
    <w:rsid w:val="00D47654"/>
    <w:rsid w:val="00D47BD9"/>
    <w:rsid w:val="00D47C23"/>
    <w:rsid w:val="00D47D9C"/>
    <w:rsid w:val="00D47E79"/>
    <w:rsid w:val="00D50186"/>
    <w:rsid w:val="00D501AA"/>
    <w:rsid w:val="00D50364"/>
    <w:rsid w:val="00D506E1"/>
    <w:rsid w:val="00D50777"/>
    <w:rsid w:val="00D50967"/>
    <w:rsid w:val="00D50F3D"/>
    <w:rsid w:val="00D51507"/>
    <w:rsid w:val="00D516C0"/>
    <w:rsid w:val="00D51F1D"/>
    <w:rsid w:val="00D5200F"/>
    <w:rsid w:val="00D5221E"/>
    <w:rsid w:val="00D529B2"/>
    <w:rsid w:val="00D529DC"/>
    <w:rsid w:val="00D52AA3"/>
    <w:rsid w:val="00D52D7F"/>
    <w:rsid w:val="00D52E9F"/>
    <w:rsid w:val="00D53119"/>
    <w:rsid w:val="00D53390"/>
    <w:rsid w:val="00D533C8"/>
    <w:rsid w:val="00D53404"/>
    <w:rsid w:val="00D53C4F"/>
    <w:rsid w:val="00D53C9A"/>
    <w:rsid w:val="00D53DA0"/>
    <w:rsid w:val="00D54187"/>
    <w:rsid w:val="00D542FB"/>
    <w:rsid w:val="00D54594"/>
    <w:rsid w:val="00D5461A"/>
    <w:rsid w:val="00D54B4D"/>
    <w:rsid w:val="00D54B8B"/>
    <w:rsid w:val="00D54FF3"/>
    <w:rsid w:val="00D5518B"/>
    <w:rsid w:val="00D55B3E"/>
    <w:rsid w:val="00D55CA3"/>
    <w:rsid w:val="00D55D4E"/>
    <w:rsid w:val="00D56168"/>
    <w:rsid w:val="00D565C2"/>
    <w:rsid w:val="00D56885"/>
    <w:rsid w:val="00D56981"/>
    <w:rsid w:val="00D572A2"/>
    <w:rsid w:val="00D57446"/>
    <w:rsid w:val="00D57798"/>
    <w:rsid w:val="00D577DB"/>
    <w:rsid w:val="00D578EC"/>
    <w:rsid w:val="00D57B70"/>
    <w:rsid w:val="00D57D44"/>
    <w:rsid w:val="00D57D58"/>
    <w:rsid w:val="00D60275"/>
    <w:rsid w:val="00D603AE"/>
    <w:rsid w:val="00D603CD"/>
    <w:rsid w:val="00D60443"/>
    <w:rsid w:val="00D606A1"/>
    <w:rsid w:val="00D60A71"/>
    <w:rsid w:val="00D60BD0"/>
    <w:rsid w:val="00D60D53"/>
    <w:rsid w:val="00D60DB3"/>
    <w:rsid w:val="00D610CC"/>
    <w:rsid w:val="00D61129"/>
    <w:rsid w:val="00D6127D"/>
    <w:rsid w:val="00D6133F"/>
    <w:rsid w:val="00D614F4"/>
    <w:rsid w:val="00D616DF"/>
    <w:rsid w:val="00D61872"/>
    <w:rsid w:val="00D61D2A"/>
    <w:rsid w:val="00D621C0"/>
    <w:rsid w:val="00D6242E"/>
    <w:rsid w:val="00D62588"/>
    <w:rsid w:val="00D6264C"/>
    <w:rsid w:val="00D62BC0"/>
    <w:rsid w:val="00D62D5D"/>
    <w:rsid w:val="00D62E8B"/>
    <w:rsid w:val="00D62EB9"/>
    <w:rsid w:val="00D6325D"/>
    <w:rsid w:val="00D6365D"/>
    <w:rsid w:val="00D6367D"/>
    <w:rsid w:val="00D637AD"/>
    <w:rsid w:val="00D63B37"/>
    <w:rsid w:val="00D63CD1"/>
    <w:rsid w:val="00D63D0E"/>
    <w:rsid w:val="00D63D48"/>
    <w:rsid w:val="00D63DA6"/>
    <w:rsid w:val="00D64287"/>
    <w:rsid w:val="00D642B6"/>
    <w:rsid w:val="00D64564"/>
    <w:rsid w:val="00D648AF"/>
    <w:rsid w:val="00D64925"/>
    <w:rsid w:val="00D64B52"/>
    <w:rsid w:val="00D64BE3"/>
    <w:rsid w:val="00D64F7E"/>
    <w:rsid w:val="00D651F4"/>
    <w:rsid w:val="00D655F0"/>
    <w:rsid w:val="00D656DD"/>
    <w:rsid w:val="00D6596B"/>
    <w:rsid w:val="00D659D0"/>
    <w:rsid w:val="00D65F7C"/>
    <w:rsid w:val="00D662E4"/>
    <w:rsid w:val="00D66653"/>
    <w:rsid w:val="00D6674E"/>
    <w:rsid w:val="00D668D1"/>
    <w:rsid w:val="00D66AAE"/>
    <w:rsid w:val="00D66B53"/>
    <w:rsid w:val="00D66D27"/>
    <w:rsid w:val="00D67424"/>
    <w:rsid w:val="00D67817"/>
    <w:rsid w:val="00D67865"/>
    <w:rsid w:val="00D67C5F"/>
    <w:rsid w:val="00D67E2A"/>
    <w:rsid w:val="00D6DB8B"/>
    <w:rsid w:val="00D7008E"/>
    <w:rsid w:val="00D700B1"/>
    <w:rsid w:val="00D701E1"/>
    <w:rsid w:val="00D702FB"/>
    <w:rsid w:val="00D70714"/>
    <w:rsid w:val="00D70823"/>
    <w:rsid w:val="00D70A2D"/>
    <w:rsid w:val="00D70B4C"/>
    <w:rsid w:val="00D70B71"/>
    <w:rsid w:val="00D70D07"/>
    <w:rsid w:val="00D71184"/>
    <w:rsid w:val="00D71233"/>
    <w:rsid w:val="00D71700"/>
    <w:rsid w:val="00D717B3"/>
    <w:rsid w:val="00D71B0B"/>
    <w:rsid w:val="00D72265"/>
    <w:rsid w:val="00D72530"/>
    <w:rsid w:val="00D72994"/>
    <w:rsid w:val="00D72DC3"/>
    <w:rsid w:val="00D731B3"/>
    <w:rsid w:val="00D73334"/>
    <w:rsid w:val="00D733CF"/>
    <w:rsid w:val="00D739FF"/>
    <w:rsid w:val="00D73A1D"/>
    <w:rsid w:val="00D73BBF"/>
    <w:rsid w:val="00D73DCD"/>
    <w:rsid w:val="00D74946"/>
    <w:rsid w:val="00D74A9D"/>
    <w:rsid w:val="00D74AA2"/>
    <w:rsid w:val="00D74BDD"/>
    <w:rsid w:val="00D74D4E"/>
    <w:rsid w:val="00D75190"/>
    <w:rsid w:val="00D75196"/>
    <w:rsid w:val="00D75264"/>
    <w:rsid w:val="00D75457"/>
    <w:rsid w:val="00D7566A"/>
    <w:rsid w:val="00D75695"/>
    <w:rsid w:val="00D7585D"/>
    <w:rsid w:val="00D758B2"/>
    <w:rsid w:val="00D75931"/>
    <w:rsid w:val="00D75E87"/>
    <w:rsid w:val="00D75EF0"/>
    <w:rsid w:val="00D7607E"/>
    <w:rsid w:val="00D760F1"/>
    <w:rsid w:val="00D7630A"/>
    <w:rsid w:val="00D76366"/>
    <w:rsid w:val="00D764EB"/>
    <w:rsid w:val="00D76641"/>
    <w:rsid w:val="00D769AE"/>
    <w:rsid w:val="00D76A00"/>
    <w:rsid w:val="00D76AD8"/>
    <w:rsid w:val="00D76D9F"/>
    <w:rsid w:val="00D76E68"/>
    <w:rsid w:val="00D76F7D"/>
    <w:rsid w:val="00D771C6"/>
    <w:rsid w:val="00D771D4"/>
    <w:rsid w:val="00D7739C"/>
    <w:rsid w:val="00D7744C"/>
    <w:rsid w:val="00D77580"/>
    <w:rsid w:val="00D776DF"/>
    <w:rsid w:val="00D77954"/>
    <w:rsid w:val="00D77DC5"/>
    <w:rsid w:val="00D77DFC"/>
    <w:rsid w:val="00D80113"/>
    <w:rsid w:val="00D8028D"/>
    <w:rsid w:val="00D8035C"/>
    <w:rsid w:val="00D804B3"/>
    <w:rsid w:val="00D80698"/>
    <w:rsid w:val="00D8073B"/>
    <w:rsid w:val="00D808F4"/>
    <w:rsid w:val="00D80D73"/>
    <w:rsid w:val="00D810C1"/>
    <w:rsid w:val="00D81209"/>
    <w:rsid w:val="00D8148F"/>
    <w:rsid w:val="00D8163E"/>
    <w:rsid w:val="00D81B97"/>
    <w:rsid w:val="00D81BC0"/>
    <w:rsid w:val="00D81F30"/>
    <w:rsid w:val="00D81F5B"/>
    <w:rsid w:val="00D82085"/>
    <w:rsid w:val="00D82568"/>
    <w:rsid w:val="00D82731"/>
    <w:rsid w:val="00D82850"/>
    <w:rsid w:val="00D829A8"/>
    <w:rsid w:val="00D82AD5"/>
    <w:rsid w:val="00D8323E"/>
    <w:rsid w:val="00D83347"/>
    <w:rsid w:val="00D83763"/>
    <w:rsid w:val="00D83817"/>
    <w:rsid w:val="00D83AB2"/>
    <w:rsid w:val="00D83B1D"/>
    <w:rsid w:val="00D83E8A"/>
    <w:rsid w:val="00D84110"/>
    <w:rsid w:val="00D84275"/>
    <w:rsid w:val="00D84399"/>
    <w:rsid w:val="00D84558"/>
    <w:rsid w:val="00D8479B"/>
    <w:rsid w:val="00D84AD9"/>
    <w:rsid w:val="00D84B11"/>
    <w:rsid w:val="00D84F97"/>
    <w:rsid w:val="00D8503D"/>
    <w:rsid w:val="00D85274"/>
    <w:rsid w:val="00D853C8"/>
    <w:rsid w:val="00D85712"/>
    <w:rsid w:val="00D85FA3"/>
    <w:rsid w:val="00D86618"/>
    <w:rsid w:val="00D866E1"/>
    <w:rsid w:val="00D8672C"/>
    <w:rsid w:val="00D86E94"/>
    <w:rsid w:val="00D86F5C"/>
    <w:rsid w:val="00D870E2"/>
    <w:rsid w:val="00D87855"/>
    <w:rsid w:val="00D8789E"/>
    <w:rsid w:val="00D878B1"/>
    <w:rsid w:val="00D878E8"/>
    <w:rsid w:val="00D87E0C"/>
    <w:rsid w:val="00D87E6C"/>
    <w:rsid w:val="00D87ED2"/>
    <w:rsid w:val="00D87F12"/>
    <w:rsid w:val="00D90255"/>
    <w:rsid w:val="00D903CA"/>
    <w:rsid w:val="00D90488"/>
    <w:rsid w:val="00D90498"/>
    <w:rsid w:val="00D904D3"/>
    <w:rsid w:val="00D904FC"/>
    <w:rsid w:val="00D90B87"/>
    <w:rsid w:val="00D90F21"/>
    <w:rsid w:val="00D91491"/>
    <w:rsid w:val="00D91710"/>
    <w:rsid w:val="00D917A9"/>
    <w:rsid w:val="00D91B29"/>
    <w:rsid w:val="00D91DB9"/>
    <w:rsid w:val="00D91DC7"/>
    <w:rsid w:val="00D91E3B"/>
    <w:rsid w:val="00D9202D"/>
    <w:rsid w:val="00D9207F"/>
    <w:rsid w:val="00D92288"/>
    <w:rsid w:val="00D92639"/>
    <w:rsid w:val="00D929F8"/>
    <w:rsid w:val="00D92A21"/>
    <w:rsid w:val="00D92D7F"/>
    <w:rsid w:val="00D92F40"/>
    <w:rsid w:val="00D92F89"/>
    <w:rsid w:val="00D93253"/>
    <w:rsid w:val="00D9326B"/>
    <w:rsid w:val="00D934F5"/>
    <w:rsid w:val="00D93D06"/>
    <w:rsid w:val="00D93D67"/>
    <w:rsid w:val="00D94122"/>
    <w:rsid w:val="00D9458D"/>
    <w:rsid w:val="00D94768"/>
    <w:rsid w:val="00D94936"/>
    <w:rsid w:val="00D94B51"/>
    <w:rsid w:val="00D94BDE"/>
    <w:rsid w:val="00D94E63"/>
    <w:rsid w:val="00D95037"/>
    <w:rsid w:val="00D9563C"/>
    <w:rsid w:val="00D9593C"/>
    <w:rsid w:val="00D959D8"/>
    <w:rsid w:val="00D959FD"/>
    <w:rsid w:val="00D95BC6"/>
    <w:rsid w:val="00D960C7"/>
    <w:rsid w:val="00D9633A"/>
    <w:rsid w:val="00D964F6"/>
    <w:rsid w:val="00D9652C"/>
    <w:rsid w:val="00D9664F"/>
    <w:rsid w:val="00D96770"/>
    <w:rsid w:val="00D96C8D"/>
    <w:rsid w:val="00D9722D"/>
    <w:rsid w:val="00D97451"/>
    <w:rsid w:val="00D9790D"/>
    <w:rsid w:val="00D97AE4"/>
    <w:rsid w:val="00D97E2C"/>
    <w:rsid w:val="00D97F04"/>
    <w:rsid w:val="00DA0602"/>
    <w:rsid w:val="00DA09CF"/>
    <w:rsid w:val="00DA0A6A"/>
    <w:rsid w:val="00DA0ADE"/>
    <w:rsid w:val="00DA0CC5"/>
    <w:rsid w:val="00DA0D23"/>
    <w:rsid w:val="00DA1025"/>
    <w:rsid w:val="00DA10C3"/>
    <w:rsid w:val="00DA1496"/>
    <w:rsid w:val="00DA16D3"/>
    <w:rsid w:val="00DA1795"/>
    <w:rsid w:val="00DA1C74"/>
    <w:rsid w:val="00DA1D0D"/>
    <w:rsid w:val="00DA24F6"/>
    <w:rsid w:val="00DA302B"/>
    <w:rsid w:val="00DA309F"/>
    <w:rsid w:val="00DA30C0"/>
    <w:rsid w:val="00DA314B"/>
    <w:rsid w:val="00DA339F"/>
    <w:rsid w:val="00DA347D"/>
    <w:rsid w:val="00DA35A8"/>
    <w:rsid w:val="00DA37EC"/>
    <w:rsid w:val="00DA3870"/>
    <w:rsid w:val="00DA3BD1"/>
    <w:rsid w:val="00DA3CAE"/>
    <w:rsid w:val="00DA408E"/>
    <w:rsid w:val="00DA471D"/>
    <w:rsid w:val="00DA48A3"/>
    <w:rsid w:val="00DA48BF"/>
    <w:rsid w:val="00DA4AF3"/>
    <w:rsid w:val="00DA4BE9"/>
    <w:rsid w:val="00DA4E00"/>
    <w:rsid w:val="00DA4FA3"/>
    <w:rsid w:val="00DA5514"/>
    <w:rsid w:val="00DA554B"/>
    <w:rsid w:val="00DA56CB"/>
    <w:rsid w:val="00DA576A"/>
    <w:rsid w:val="00DA5837"/>
    <w:rsid w:val="00DA5CBB"/>
    <w:rsid w:val="00DA5E5F"/>
    <w:rsid w:val="00DA6233"/>
    <w:rsid w:val="00DA68A7"/>
    <w:rsid w:val="00DA68E3"/>
    <w:rsid w:val="00DA6A93"/>
    <w:rsid w:val="00DA6AB2"/>
    <w:rsid w:val="00DA6D53"/>
    <w:rsid w:val="00DA7137"/>
    <w:rsid w:val="00DA726D"/>
    <w:rsid w:val="00DA756C"/>
    <w:rsid w:val="00DA7855"/>
    <w:rsid w:val="00DA786C"/>
    <w:rsid w:val="00DA7B05"/>
    <w:rsid w:val="00DA7C21"/>
    <w:rsid w:val="00DB008B"/>
    <w:rsid w:val="00DB028C"/>
    <w:rsid w:val="00DB04D1"/>
    <w:rsid w:val="00DB07EE"/>
    <w:rsid w:val="00DB0A5E"/>
    <w:rsid w:val="00DB0C39"/>
    <w:rsid w:val="00DB1898"/>
    <w:rsid w:val="00DB19D5"/>
    <w:rsid w:val="00DB1A14"/>
    <w:rsid w:val="00DB1BDA"/>
    <w:rsid w:val="00DB1E66"/>
    <w:rsid w:val="00DB1F82"/>
    <w:rsid w:val="00DB20D4"/>
    <w:rsid w:val="00DB210D"/>
    <w:rsid w:val="00DB2395"/>
    <w:rsid w:val="00DB23D3"/>
    <w:rsid w:val="00DB2DFB"/>
    <w:rsid w:val="00DB2FC6"/>
    <w:rsid w:val="00DB3000"/>
    <w:rsid w:val="00DB3096"/>
    <w:rsid w:val="00DB34D3"/>
    <w:rsid w:val="00DB35A8"/>
    <w:rsid w:val="00DB3C19"/>
    <w:rsid w:val="00DB3CE2"/>
    <w:rsid w:val="00DB41BD"/>
    <w:rsid w:val="00DB4783"/>
    <w:rsid w:val="00DB4BB7"/>
    <w:rsid w:val="00DB4C85"/>
    <w:rsid w:val="00DB530D"/>
    <w:rsid w:val="00DB5338"/>
    <w:rsid w:val="00DB547A"/>
    <w:rsid w:val="00DB5975"/>
    <w:rsid w:val="00DB6574"/>
    <w:rsid w:val="00DB68B8"/>
    <w:rsid w:val="00DB6BEF"/>
    <w:rsid w:val="00DB723B"/>
    <w:rsid w:val="00DB7317"/>
    <w:rsid w:val="00DB778C"/>
    <w:rsid w:val="00DB7C38"/>
    <w:rsid w:val="00DB7E18"/>
    <w:rsid w:val="00DB7E99"/>
    <w:rsid w:val="00DC0336"/>
    <w:rsid w:val="00DC036A"/>
    <w:rsid w:val="00DC04AA"/>
    <w:rsid w:val="00DC058D"/>
    <w:rsid w:val="00DC0725"/>
    <w:rsid w:val="00DC09A4"/>
    <w:rsid w:val="00DC0D48"/>
    <w:rsid w:val="00DC0EF8"/>
    <w:rsid w:val="00DC12B3"/>
    <w:rsid w:val="00DC1429"/>
    <w:rsid w:val="00DC15DA"/>
    <w:rsid w:val="00DC1639"/>
    <w:rsid w:val="00DC1673"/>
    <w:rsid w:val="00DC1CBF"/>
    <w:rsid w:val="00DC1D6E"/>
    <w:rsid w:val="00DC1DB4"/>
    <w:rsid w:val="00DC2015"/>
    <w:rsid w:val="00DC23DC"/>
    <w:rsid w:val="00DC26A8"/>
    <w:rsid w:val="00DC2701"/>
    <w:rsid w:val="00DC289B"/>
    <w:rsid w:val="00DC290B"/>
    <w:rsid w:val="00DC290D"/>
    <w:rsid w:val="00DC2AF5"/>
    <w:rsid w:val="00DC2BB8"/>
    <w:rsid w:val="00DC30F2"/>
    <w:rsid w:val="00DC3116"/>
    <w:rsid w:val="00DC334C"/>
    <w:rsid w:val="00DC351A"/>
    <w:rsid w:val="00DC3558"/>
    <w:rsid w:val="00DC35BD"/>
    <w:rsid w:val="00DC35F8"/>
    <w:rsid w:val="00DC39AB"/>
    <w:rsid w:val="00DC3D9A"/>
    <w:rsid w:val="00DC3DEB"/>
    <w:rsid w:val="00DC43EA"/>
    <w:rsid w:val="00DC4404"/>
    <w:rsid w:val="00DC4491"/>
    <w:rsid w:val="00DC4633"/>
    <w:rsid w:val="00DC4887"/>
    <w:rsid w:val="00DC492D"/>
    <w:rsid w:val="00DC4959"/>
    <w:rsid w:val="00DC4ABC"/>
    <w:rsid w:val="00DC4E6E"/>
    <w:rsid w:val="00DC4FC7"/>
    <w:rsid w:val="00DC5406"/>
    <w:rsid w:val="00DC54FE"/>
    <w:rsid w:val="00DC5554"/>
    <w:rsid w:val="00DC5C67"/>
    <w:rsid w:val="00DC5EF4"/>
    <w:rsid w:val="00DC6049"/>
    <w:rsid w:val="00DC608F"/>
    <w:rsid w:val="00DC616E"/>
    <w:rsid w:val="00DC6215"/>
    <w:rsid w:val="00DC62AA"/>
    <w:rsid w:val="00DC63F1"/>
    <w:rsid w:val="00DC6529"/>
    <w:rsid w:val="00DC668C"/>
    <w:rsid w:val="00DC66D3"/>
    <w:rsid w:val="00DC6987"/>
    <w:rsid w:val="00DC6ADA"/>
    <w:rsid w:val="00DC6BEC"/>
    <w:rsid w:val="00DC6C1B"/>
    <w:rsid w:val="00DC74EC"/>
    <w:rsid w:val="00DC75E1"/>
    <w:rsid w:val="00DC7A7D"/>
    <w:rsid w:val="00DC7B11"/>
    <w:rsid w:val="00DC7BB7"/>
    <w:rsid w:val="00DD002F"/>
    <w:rsid w:val="00DD0134"/>
    <w:rsid w:val="00DD06FF"/>
    <w:rsid w:val="00DD0855"/>
    <w:rsid w:val="00DD0B19"/>
    <w:rsid w:val="00DD0CBD"/>
    <w:rsid w:val="00DD0CD1"/>
    <w:rsid w:val="00DD110E"/>
    <w:rsid w:val="00DD113D"/>
    <w:rsid w:val="00DD1313"/>
    <w:rsid w:val="00DD14EB"/>
    <w:rsid w:val="00DD15EB"/>
    <w:rsid w:val="00DD1679"/>
    <w:rsid w:val="00DD17CD"/>
    <w:rsid w:val="00DD17EE"/>
    <w:rsid w:val="00DD182B"/>
    <w:rsid w:val="00DD18EA"/>
    <w:rsid w:val="00DD19CD"/>
    <w:rsid w:val="00DD1B72"/>
    <w:rsid w:val="00DD1D2C"/>
    <w:rsid w:val="00DD1E73"/>
    <w:rsid w:val="00DD1E74"/>
    <w:rsid w:val="00DD220B"/>
    <w:rsid w:val="00DD23CC"/>
    <w:rsid w:val="00DD2593"/>
    <w:rsid w:val="00DD26A0"/>
    <w:rsid w:val="00DD2920"/>
    <w:rsid w:val="00DD2B70"/>
    <w:rsid w:val="00DD2E03"/>
    <w:rsid w:val="00DD3203"/>
    <w:rsid w:val="00DD379C"/>
    <w:rsid w:val="00DD3817"/>
    <w:rsid w:val="00DD3942"/>
    <w:rsid w:val="00DD3A13"/>
    <w:rsid w:val="00DD3AB9"/>
    <w:rsid w:val="00DD3E1A"/>
    <w:rsid w:val="00DD451F"/>
    <w:rsid w:val="00DD4802"/>
    <w:rsid w:val="00DD4C80"/>
    <w:rsid w:val="00DD4CB9"/>
    <w:rsid w:val="00DD4DD4"/>
    <w:rsid w:val="00DD52B6"/>
    <w:rsid w:val="00DD54F9"/>
    <w:rsid w:val="00DD5561"/>
    <w:rsid w:val="00DD55CC"/>
    <w:rsid w:val="00DD5D46"/>
    <w:rsid w:val="00DD613A"/>
    <w:rsid w:val="00DD64E2"/>
    <w:rsid w:val="00DD66B2"/>
    <w:rsid w:val="00DD69AD"/>
    <w:rsid w:val="00DD6A25"/>
    <w:rsid w:val="00DD6B6D"/>
    <w:rsid w:val="00DD6CBF"/>
    <w:rsid w:val="00DD6E27"/>
    <w:rsid w:val="00DD6F7A"/>
    <w:rsid w:val="00DD7417"/>
    <w:rsid w:val="00DD754C"/>
    <w:rsid w:val="00DD763C"/>
    <w:rsid w:val="00DD7915"/>
    <w:rsid w:val="00DD7989"/>
    <w:rsid w:val="00DD7AC4"/>
    <w:rsid w:val="00DD7ADB"/>
    <w:rsid w:val="00DD7BD4"/>
    <w:rsid w:val="00DD7D9E"/>
    <w:rsid w:val="00DE02EC"/>
    <w:rsid w:val="00DE0653"/>
    <w:rsid w:val="00DE0707"/>
    <w:rsid w:val="00DE07AD"/>
    <w:rsid w:val="00DE0815"/>
    <w:rsid w:val="00DE09DB"/>
    <w:rsid w:val="00DE0AFB"/>
    <w:rsid w:val="00DE0C34"/>
    <w:rsid w:val="00DE0CE4"/>
    <w:rsid w:val="00DE176F"/>
    <w:rsid w:val="00DE1794"/>
    <w:rsid w:val="00DE1854"/>
    <w:rsid w:val="00DE1C01"/>
    <w:rsid w:val="00DE1CCD"/>
    <w:rsid w:val="00DE21E3"/>
    <w:rsid w:val="00DE241F"/>
    <w:rsid w:val="00DE2494"/>
    <w:rsid w:val="00DE24ED"/>
    <w:rsid w:val="00DE2A6D"/>
    <w:rsid w:val="00DE2CFD"/>
    <w:rsid w:val="00DE2EF2"/>
    <w:rsid w:val="00DE2FF0"/>
    <w:rsid w:val="00DE30D5"/>
    <w:rsid w:val="00DE316D"/>
    <w:rsid w:val="00DE33E2"/>
    <w:rsid w:val="00DE346E"/>
    <w:rsid w:val="00DE371D"/>
    <w:rsid w:val="00DE3B77"/>
    <w:rsid w:val="00DE3BFF"/>
    <w:rsid w:val="00DE3D95"/>
    <w:rsid w:val="00DE3F5C"/>
    <w:rsid w:val="00DE3F90"/>
    <w:rsid w:val="00DE4595"/>
    <w:rsid w:val="00DE4623"/>
    <w:rsid w:val="00DE46A6"/>
    <w:rsid w:val="00DE4811"/>
    <w:rsid w:val="00DE496A"/>
    <w:rsid w:val="00DE4A31"/>
    <w:rsid w:val="00DE4BEA"/>
    <w:rsid w:val="00DE4F28"/>
    <w:rsid w:val="00DE51B8"/>
    <w:rsid w:val="00DE52FC"/>
    <w:rsid w:val="00DE55B0"/>
    <w:rsid w:val="00DE5600"/>
    <w:rsid w:val="00DE57D8"/>
    <w:rsid w:val="00DE5CF3"/>
    <w:rsid w:val="00DE5DED"/>
    <w:rsid w:val="00DE5ED9"/>
    <w:rsid w:val="00DE6260"/>
    <w:rsid w:val="00DE6366"/>
    <w:rsid w:val="00DE6450"/>
    <w:rsid w:val="00DE6708"/>
    <w:rsid w:val="00DE6B65"/>
    <w:rsid w:val="00DE6F5C"/>
    <w:rsid w:val="00DE7065"/>
    <w:rsid w:val="00DE70ED"/>
    <w:rsid w:val="00DE724D"/>
    <w:rsid w:val="00DE74E2"/>
    <w:rsid w:val="00DE74F4"/>
    <w:rsid w:val="00DE75B5"/>
    <w:rsid w:val="00DE760C"/>
    <w:rsid w:val="00DE7775"/>
    <w:rsid w:val="00DE7A02"/>
    <w:rsid w:val="00DE7B77"/>
    <w:rsid w:val="00DE7D12"/>
    <w:rsid w:val="00DE7F8C"/>
    <w:rsid w:val="00DF011B"/>
    <w:rsid w:val="00DF0197"/>
    <w:rsid w:val="00DF0228"/>
    <w:rsid w:val="00DF0244"/>
    <w:rsid w:val="00DF0442"/>
    <w:rsid w:val="00DF04B1"/>
    <w:rsid w:val="00DF069E"/>
    <w:rsid w:val="00DF06E4"/>
    <w:rsid w:val="00DF0A5A"/>
    <w:rsid w:val="00DF0CD8"/>
    <w:rsid w:val="00DF0D40"/>
    <w:rsid w:val="00DF0DF1"/>
    <w:rsid w:val="00DF1199"/>
    <w:rsid w:val="00DF137A"/>
    <w:rsid w:val="00DF13A1"/>
    <w:rsid w:val="00DF1604"/>
    <w:rsid w:val="00DF1678"/>
    <w:rsid w:val="00DF1916"/>
    <w:rsid w:val="00DF1B2A"/>
    <w:rsid w:val="00DF1B99"/>
    <w:rsid w:val="00DF2014"/>
    <w:rsid w:val="00DF22AB"/>
    <w:rsid w:val="00DF2356"/>
    <w:rsid w:val="00DF2547"/>
    <w:rsid w:val="00DF25D4"/>
    <w:rsid w:val="00DF262B"/>
    <w:rsid w:val="00DF269D"/>
    <w:rsid w:val="00DF276D"/>
    <w:rsid w:val="00DF295A"/>
    <w:rsid w:val="00DF2B65"/>
    <w:rsid w:val="00DF2BB7"/>
    <w:rsid w:val="00DF2DB4"/>
    <w:rsid w:val="00DF2E3D"/>
    <w:rsid w:val="00DF2E42"/>
    <w:rsid w:val="00DF2E54"/>
    <w:rsid w:val="00DF2E58"/>
    <w:rsid w:val="00DF2E6C"/>
    <w:rsid w:val="00DF31B4"/>
    <w:rsid w:val="00DF357E"/>
    <w:rsid w:val="00DF3598"/>
    <w:rsid w:val="00DF35C5"/>
    <w:rsid w:val="00DF37B7"/>
    <w:rsid w:val="00DF38BB"/>
    <w:rsid w:val="00DF3929"/>
    <w:rsid w:val="00DF398A"/>
    <w:rsid w:val="00DF3C47"/>
    <w:rsid w:val="00DF3DFD"/>
    <w:rsid w:val="00DF3F8E"/>
    <w:rsid w:val="00DF3FC3"/>
    <w:rsid w:val="00DF420C"/>
    <w:rsid w:val="00DF476B"/>
    <w:rsid w:val="00DF48C2"/>
    <w:rsid w:val="00DF4ADE"/>
    <w:rsid w:val="00DF4CBC"/>
    <w:rsid w:val="00DF4EBA"/>
    <w:rsid w:val="00DF5144"/>
    <w:rsid w:val="00DF545D"/>
    <w:rsid w:val="00DF554B"/>
    <w:rsid w:val="00DF581E"/>
    <w:rsid w:val="00DF5933"/>
    <w:rsid w:val="00DF5B49"/>
    <w:rsid w:val="00DF5D22"/>
    <w:rsid w:val="00DF6143"/>
    <w:rsid w:val="00DF6613"/>
    <w:rsid w:val="00DF66D6"/>
    <w:rsid w:val="00DF6B7A"/>
    <w:rsid w:val="00DF6E1D"/>
    <w:rsid w:val="00DF6E64"/>
    <w:rsid w:val="00DF754E"/>
    <w:rsid w:val="00DF7682"/>
    <w:rsid w:val="00DF77A1"/>
    <w:rsid w:val="00DF7845"/>
    <w:rsid w:val="00DF7CFA"/>
    <w:rsid w:val="00DF7E2B"/>
    <w:rsid w:val="00DF7F94"/>
    <w:rsid w:val="00E0001A"/>
    <w:rsid w:val="00E000E1"/>
    <w:rsid w:val="00E00361"/>
    <w:rsid w:val="00E00673"/>
    <w:rsid w:val="00E00BDA"/>
    <w:rsid w:val="00E00D04"/>
    <w:rsid w:val="00E00FD9"/>
    <w:rsid w:val="00E01462"/>
    <w:rsid w:val="00E014F0"/>
    <w:rsid w:val="00E016CA"/>
    <w:rsid w:val="00E01798"/>
    <w:rsid w:val="00E01A49"/>
    <w:rsid w:val="00E01C24"/>
    <w:rsid w:val="00E01FCD"/>
    <w:rsid w:val="00E021FE"/>
    <w:rsid w:val="00E024D3"/>
    <w:rsid w:val="00E0273F"/>
    <w:rsid w:val="00E02761"/>
    <w:rsid w:val="00E02A6C"/>
    <w:rsid w:val="00E02C7C"/>
    <w:rsid w:val="00E02D41"/>
    <w:rsid w:val="00E02E28"/>
    <w:rsid w:val="00E02E8F"/>
    <w:rsid w:val="00E02F14"/>
    <w:rsid w:val="00E03084"/>
    <w:rsid w:val="00E03320"/>
    <w:rsid w:val="00E03431"/>
    <w:rsid w:val="00E03664"/>
    <w:rsid w:val="00E03677"/>
    <w:rsid w:val="00E0376A"/>
    <w:rsid w:val="00E038F9"/>
    <w:rsid w:val="00E03B76"/>
    <w:rsid w:val="00E03BCF"/>
    <w:rsid w:val="00E03D50"/>
    <w:rsid w:val="00E03D9F"/>
    <w:rsid w:val="00E03DC8"/>
    <w:rsid w:val="00E043C8"/>
    <w:rsid w:val="00E045C0"/>
    <w:rsid w:val="00E04860"/>
    <w:rsid w:val="00E04980"/>
    <w:rsid w:val="00E04A1B"/>
    <w:rsid w:val="00E04B0D"/>
    <w:rsid w:val="00E04C63"/>
    <w:rsid w:val="00E05236"/>
    <w:rsid w:val="00E053BC"/>
    <w:rsid w:val="00E05BFD"/>
    <w:rsid w:val="00E05DBE"/>
    <w:rsid w:val="00E05F6C"/>
    <w:rsid w:val="00E06413"/>
    <w:rsid w:val="00E066A4"/>
    <w:rsid w:val="00E06F11"/>
    <w:rsid w:val="00E0708D"/>
    <w:rsid w:val="00E07615"/>
    <w:rsid w:val="00E07D8C"/>
    <w:rsid w:val="00E07D93"/>
    <w:rsid w:val="00E1006D"/>
    <w:rsid w:val="00E1017B"/>
    <w:rsid w:val="00E10632"/>
    <w:rsid w:val="00E10724"/>
    <w:rsid w:val="00E1081A"/>
    <w:rsid w:val="00E108C8"/>
    <w:rsid w:val="00E111CA"/>
    <w:rsid w:val="00E11599"/>
    <w:rsid w:val="00E11965"/>
    <w:rsid w:val="00E11A9F"/>
    <w:rsid w:val="00E11DCF"/>
    <w:rsid w:val="00E11F3F"/>
    <w:rsid w:val="00E11F68"/>
    <w:rsid w:val="00E12144"/>
    <w:rsid w:val="00E12245"/>
    <w:rsid w:val="00E12286"/>
    <w:rsid w:val="00E1273F"/>
    <w:rsid w:val="00E12833"/>
    <w:rsid w:val="00E1298F"/>
    <w:rsid w:val="00E12A41"/>
    <w:rsid w:val="00E12D13"/>
    <w:rsid w:val="00E12F7C"/>
    <w:rsid w:val="00E13352"/>
    <w:rsid w:val="00E13807"/>
    <w:rsid w:val="00E1380C"/>
    <w:rsid w:val="00E13972"/>
    <w:rsid w:val="00E139BE"/>
    <w:rsid w:val="00E13BE1"/>
    <w:rsid w:val="00E14475"/>
    <w:rsid w:val="00E14975"/>
    <w:rsid w:val="00E1497E"/>
    <w:rsid w:val="00E14A63"/>
    <w:rsid w:val="00E14A6B"/>
    <w:rsid w:val="00E14A8E"/>
    <w:rsid w:val="00E14C67"/>
    <w:rsid w:val="00E14D2F"/>
    <w:rsid w:val="00E14EEE"/>
    <w:rsid w:val="00E14F55"/>
    <w:rsid w:val="00E15882"/>
    <w:rsid w:val="00E15BEB"/>
    <w:rsid w:val="00E15DBD"/>
    <w:rsid w:val="00E15EE4"/>
    <w:rsid w:val="00E1623F"/>
    <w:rsid w:val="00E1630E"/>
    <w:rsid w:val="00E1664B"/>
    <w:rsid w:val="00E16816"/>
    <w:rsid w:val="00E1681F"/>
    <w:rsid w:val="00E1683A"/>
    <w:rsid w:val="00E16935"/>
    <w:rsid w:val="00E16B37"/>
    <w:rsid w:val="00E16B90"/>
    <w:rsid w:val="00E16C1D"/>
    <w:rsid w:val="00E16E79"/>
    <w:rsid w:val="00E172D0"/>
    <w:rsid w:val="00E173CE"/>
    <w:rsid w:val="00E175F1"/>
    <w:rsid w:val="00E176EB"/>
    <w:rsid w:val="00E17E2F"/>
    <w:rsid w:val="00E203A2"/>
    <w:rsid w:val="00E20718"/>
    <w:rsid w:val="00E208A0"/>
    <w:rsid w:val="00E2091F"/>
    <w:rsid w:val="00E20B0B"/>
    <w:rsid w:val="00E21422"/>
    <w:rsid w:val="00E2143E"/>
    <w:rsid w:val="00E2161D"/>
    <w:rsid w:val="00E217B0"/>
    <w:rsid w:val="00E21941"/>
    <w:rsid w:val="00E2197A"/>
    <w:rsid w:val="00E219BB"/>
    <w:rsid w:val="00E219CA"/>
    <w:rsid w:val="00E21DAD"/>
    <w:rsid w:val="00E220F8"/>
    <w:rsid w:val="00E22180"/>
    <w:rsid w:val="00E223F8"/>
    <w:rsid w:val="00E22476"/>
    <w:rsid w:val="00E225A7"/>
    <w:rsid w:val="00E225C8"/>
    <w:rsid w:val="00E226FF"/>
    <w:rsid w:val="00E22851"/>
    <w:rsid w:val="00E22944"/>
    <w:rsid w:val="00E22CF1"/>
    <w:rsid w:val="00E22D0A"/>
    <w:rsid w:val="00E22DBD"/>
    <w:rsid w:val="00E22EDA"/>
    <w:rsid w:val="00E23041"/>
    <w:rsid w:val="00E23056"/>
    <w:rsid w:val="00E2307B"/>
    <w:rsid w:val="00E2312C"/>
    <w:rsid w:val="00E23314"/>
    <w:rsid w:val="00E2345F"/>
    <w:rsid w:val="00E234A8"/>
    <w:rsid w:val="00E2378D"/>
    <w:rsid w:val="00E238A8"/>
    <w:rsid w:val="00E23BD4"/>
    <w:rsid w:val="00E23D9C"/>
    <w:rsid w:val="00E23E28"/>
    <w:rsid w:val="00E242E0"/>
    <w:rsid w:val="00E243E9"/>
    <w:rsid w:val="00E2469A"/>
    <w:rsid w:val="00E24808"/>
    <w:rsid w:val="00E24B56"/>
    <w:rsid w:val="00E24BBE"/>
    <w:rsid w:val="00E25096"/>
    <w:rsid w:val="00E2539E"/>
    <w:rsid w:val="00E2571F"/>
    <w:rsid w:val="00E25AAD"/>
    <w:rsid w:val="00E25B40"/>
    <w:rsid w:val="00E25CB8"/>
    <w:rsid w:val="00E25E31"/>
    <w:rsid w:val="00E25E64"/>
    <w:rsid w:val="00E25E6E"/>
    <w:rsid w:val="00E2605C"/>
    <w:rsid w:val="00E263A9"/>
    <w:rsid w:val="00E26525"/>
    <w:rsid w:val="00E26693"/>
    <w:rsid w:val="00E26A2E"/>
    <w:rsid w:val="00E27488"/>
    <w:rsid w:val="00E27884"/>
    <w:rsid w:val="00E27A03"/>
    <w:rsid w:val="00E27B43"/>
    <w:rsid w:val="00E27C28"/>
    <w:rsid w:val="00E27E8D"/>
    <w:rsid w:val="00E2CEA7"/>
    <w:rsid w:val="00E3004F"/>
    <w:rsid w:val="00E3009E"/>
    <w:rsid w:val="00E3056F"/>
    <w:rsid w:val="00E30819"/>
    <w:rsid w:val="00E30B1C"/>
    <w:rsid w:val="00E30CF2"/>
    <w:rsid w:val="00E30F0D"/>
    <w:rsid w:val="00E31480"/>
    <w:rsid w:val="00E3168F"/>
    <w:rsid w:val="00E3173F"/>
    <w:rsid w:val="00E31817"/>
    <w:rsid w:val="00E31A45"/>
    <w:rsid w:val="00E31FFB"/>
    <w:rsid w:val="00E320FE"/>
    <w:rsid w:val="00E3237E"/>
    <w:rsid w:val="00E32717"/>
    <w:rsid w:val="00E32785"/>
    <w:rsid w:val="00E327EC"/>
    <w:rsid w:val="00E32B3B"/>
    <w:rsid w:val="00E32D00"/>
    <w:rsid w:val="00E32E8D"/>
    <w:rsid w:val="00E330D5"/>
    <w:rsid w:val="00E33189"/>
    <w:rsid w:val="00E33243"/>
    <w:rsid w:val="00E33665"/>
    <w:rsid w:val="00E338E2"/>
    <w:rsid w:val="00E33AB4"/>
    <w:rsid w:val="00E33E26"/>
    <w:rsid w:val="00E3402A"/>
    <w:rsid w:val="00E340A4"/>
    <w:rsid w:val="00E34416"/>
    <w:rsid w:val="00E3443E"/>
    <w:rsid w:val="00E345A3"/>
    <w:rsid w:val="00E345C8"/>
    <w:rsid w:val="00E34839"/>
    <w:rsid w:val="00E34849"/>
    <w:rsid w:val="00E34CA5"/>
    <w:rsid w:val="00E34DA2"/>
    <w:rsid w:val="00E34F76"/>
    <w:rsid w:val="00E35318"/>
    <w:rsid w:val="00E35456"/>
    <w:rsid w:val="00E35595"/>
    <w:rsid w:val="00E356FB"/>
    <w:rsid w:val="00E35904"/>
    <w:rsid w:val="00E35D1B"/>
    <w:rsid w:val="00E35DC8"/>
    <w:rsid w:val="00E35ED0"/>
    <w:rsid w:val="00E36204"/>
    <w:rsid w:val="00E365BE"/>
    <w:rsid w:val="00E367E8"/>
    <w:rsid w:val="00E36A1A"/>
    <w:rsid w:val="00E36C94"/>
    <w:rsid w:val="00E36F8B"/>
    <w:rsid w:val="00E37291"/>
    <w:rsid w:val="00E3793F"/>
    <w:rsid w:val="00E379C0"/>
    <w:rsid w:val="00E379F0"/>
    <w:rsid w:val="00E37EAA"/>
    <w:rsid w:val="00E40126"/>
    <w:rsid w:val="00E402CA"/>
    <w:rsid w:val="00E4049F"/>
    <w:rsid w:val="00E404ED"/>
    <w:rsid w:val="00E40620"/>
    <w:rsid w:val="00E4087C"/>
    <w:rsid w:val="00E40B79"/>
    <w:rsid w:val="00E40B87"/>
    <w:rsid w:val="00E40CC2"/>
    <w:rsid w:val="00E40EE4"/>
    <w:rsid w:val="00E4138D"/>
    <w:rsid w:val="00E41423"/>
    <w:rsid w:val="00E415F5"/>
    <w:rsid w:val="00E41C1C"/>
    <w:rsid w:val="00E41D91"/>
    <w:rsid w:val="00E42048"/>
    <w:rsid w:val="00E42370"/>
    <w:rsid w:val="00E425D6"/>
    <w:rsid w:val="00E425DB"/>
    <w:rsid w:val="00E4271E"/>
    <w:rsid w:val="00E42AB7"/>
    <w:rsid w:val="00E42B94"/>
    <w:rsid w:val="00E42FDE"/>
    <w:rsid w:val="00E42FFF"/>
    <w:rsid w:val="00E43594"/>
    <w:rsid w:val="00E43675"/>
    <w:rsid w:val="00E43842"/>
    <w:rsid w:val="00E43B70"/>
    <w:rsid w:val="00E43DCB"/>
    <w:rsid w:val="00E43E6C"/>
    <w:rsid w:val="00E440BA"/>
    <w:rsid w:val="00E440C5"/>
    <w:rsid w:val="00E4415E"/>
    <w:rsid w:val="00E4426A"/>
    <w:rsid w:val="00E44687"/>
    <w:rsid w:val="00E44758"/>
    <w:rsid w:val="00E44870"/>
    <w:rsid w:val="00E44A54"/>
    <w:rsid w:val="00E44DC4"/>
    <w:rsid w:val="00E44F72"/>
    <w:rsid w:val="00E45845"/>
    <w:rsid w:val="00E45AF0"/>
    <w:rsid w:val="00E45B16"/>
    <w:rsid w:val="00E4617F"/>
    <w:rsid w:val="00E46192"/>
    <w:rsid w:val="00E46286"/>
    <w:rsid w:val="00E46965"/>
    <w:rsid w:val="00E46968"/>
    <w:rsid w:val="00E46E82"/>
    <w:rsid w:val="00E46F5B"/>
    <w:rsid w:val="00E4711D"/>
    <w:rsid w:val="00E471B6"/>
    <w:rsid w:val="00E47291"/>
    <w:rsid w:val="00E4787B"/>
    <w:rsid w:val="00E47CE1"/>
    <w:rsid w:val="00E47D79"/>
    <w:rsid w:val="00E500AF"/>
    <w:rsid w:val="00E5016D"/>
    <w:rsid w:val="00E502E4"/>
    <w:rsid w:val="00E503AB"/>
    <w:rsid w:val="00E50630"/>
    <w:rsid w:val="00E506AB"/>
    <w:rsid w:val="00E50756"/>
    <w:rsid w:val="00E508B6"/>
    <w:rsid w:val="00E50914"/>
    <w:rsid w:val="00E50A3C"/>
    <w:rsid w:val="00E50BA8"/>
    <w:rsid w:val="00E50EB1"/>
    <w:rsid w:val="00E51022"/>
    <w:rsid w:val="00E512B0"/>
    <w:rsid w:val="00E512E0"/>
    <w:rsid w:val="00E51301"/>
    <w:rsid w:val="00E513FE"/>
    <w:rsid w:val="00E5162B"/>
    <w:rsid w:val="00E5178E"/>
    <w:rsid w:val="00E5182D"/>
    <w:rsid w:val="00E51DD1"/>
    <w:rsid w:val="00E52089"/>
    <w:rsid w:val="00E5238C"/>
    <w:rsid w:val="00E52661"/>
    <w:rsid w:val="00E52705"/>
    <w:rsid w:val="00E52A14"/>
    <w:rsid w:val="00E52C35"/>
    <w:rsid w:val="00E52E1A"/>
    <w:rsid w:val="00E52E6E"/>
    <w:rsid w:val="00E52FE1"/>
    <w:rsid w:val="00E53061"/>
    <w:rsid w:val="00E5317C"/>
    <w:rsid w:val="00E5326C"/>
    <w:rsid w:val="00E533BD"/>
    <w:rsid w:val="00E535E0"/>
    <w:rsid w:val="00E5392F"/>
    <w:rsid w:val="00E53BB5"/>
    <w:rsid w:val="00E53C3F"/>
    <w:rsid w:val="00E53F50"/>
    <w:rsid w:val="00E54069"/>
    <w:rsid w:val="00E5406B"/>
    <w:rsid w:val="00E540C4"/>
    <w:rsid w:val="00E54353"/>
    <w:rsid w:val="00E54416"/>
    <w:rsid w:val="00E545BB"/>
    <w:rsid w:val="00E548E2"/>
    <w:rsid w:val="00E54DDA"/>
    <w:rsid w:val="00E550F9"/>
    <w:rsid w:val="00E55121"/>
    <w:rsid w:val="00E55166"/>
    <w:rsid w:val="00E551E0"/>
    <w:rsid w:val="00E557A2"/>
    <w:rsid w:val="00E55972"/>
    <w:rsid w:val="00E55A7F"/>
    <w:rsid w:val="00E55A85"/>
    <w:rsid w:val="00E55BA5"/>
    <w:rsid w:val="00E55C90"/>
    <w:rsid w:val="00E55DBF"/>
    <w:rsid w:val="00E55F09"/>
    <w:rsid w:val="00E55F29"/>
    <w:rsid w:val="00E56887"/>
    <w:rsid w:val="00E56894"/>
    <w:rsid w:val="00E569ED"/>
    <w:rsid w:val="00E56C45"/>
    <w:rsid w:val="00E56FDB"/>
    <w:rsid w:val="00E576B0"/>
    <w:rsid w:val="00E5776B"/>
    <w:rsid w:val="00E579C3"/>
    <w:rsid w:val="00E57D47"/>
    <w:rsid w:val="00E57EB6"/>
    <w:rsid w:val="00E57FFD"/>
    <w:rsid w:val="00E60093"/>
    <w:rsid w:val="00E602F2"/>
    <w:rsid w:val="00E605BE"/>
    <w:rsid w:val="00E60C0D"/>
    <w:rsid w:val="00E61730"/>
    <w:rsid w:val="00E61740"/>
    <w:rsid w:val="00E61A3D"/>
    <w:rsid w:val="00E61B73"/>
    <w:rsid w:val="00E61BD3"/>
    <w:rsid w:val="00E61E84"/>
    <w:rsid w:val="00E61FD2"/>
    <w:rsid w:val="00E62025"/>
    <w:rsid w:val="00E6208C"/>
    <w:rsid w:val="00E62275"/>
    <w:rsid w:val="00E62627"/>
    <w:rsid w:val="00E6271B"/>
    <w:rsid w:val="00E6271C"/>
    <w:rsid w:val="00E62C9A"/>
    <w:rsid w:val="00E630BC"/>
    <w:rsid w:val="00E63206"/>
    <w:rsid w:val="00E63233"/>
    <w:rsid w:val="00E63562"/>
    <w:rsid w:val="00E6374D"/>
    <w:rsid w:val="00E639E9"/>
    <w:rsid w:val="00E63C45"/>
    <w:rsid w:val="00E63F3E"/>
    <w:rsid w:val="00E64891"/>
    <w:rsid w:val="00E64BD9"/>
    <w:rsid w:val="00E64EFA"/>
    <w:rsid w:val="00E652B1"/>
    <w:rsid w:val="00E65342"/>
    <w:rsid w:val="00E65862"/>
    <w:rsid w:val="00E65A6F"/>
    <w:rsid w:val="00E65A7D"/>
    <w:rsid w:val="00E65BB3"/>
    <w:rsid w:val="00E65C54"/>
    <w:rsid w:val="00E65DEF"/>
    <w:rsid w:val="00E65FCC"/>
    <w:rsid w:val="00E66277"/>
    <w:rsid w:val="00E6636A"/>
    <w:rsid w:val="00E6649F"/>
    <w:rsid w:val="00E66698"/>
    <w:rsid w:val="00E66AC3"/>
    <w:rsid w:val="00E66AFE"/>
    <w:rsid w:val="00E66B6C"/>
    <w:rsid w:val="00E66EA4"/>
    <w:rsid w:val="00E6741C"/>
    <w:rsid w:val="00E677A2"/>
    <w:rsid w:val="00E67BDE"/>
    <w:rsid w:val="00E67E6E"/>
    <w:rsid w:val="00E70235"/>
    <w:rsid w:val="00E7031C"/>
    <w:rsid w:val="00E7045E"/>
    <w:rsid w:val="00E70499"/>
    <w:rsid w:val="00E706AE"/>
    <w:rsid w:val="00E7073B"/>
    <w:rsid w:val="00E707DF"/>
    <w:rsid w:val="00E71117"/>
    <w:rsid w:val="00E711CF"/>
    <w:rsid w:val="00E71258"/>
    <w:rsid w:val="00E71452"/>
    <w:rsid w:val="00E716B1"/>
    <w:rsid w:val="00E716E2"/>
    <w:rsid w:val="00E7192C"/>
    <w:rsid w:val="00E71D8F"/>
    <w:rsid w:val="00E71ECB"/>
    <w:rsid w:val="00E71F09"/>
    <w:rsid w:val="00E723EB"/>
    <w:rsid w:val="00E72427"/>
    <w:rsid w:val="00E72920"/>
    <w:rsid w:val="00E72944"/>
    <w:rsid w:val="00E72964"/>
    <w:rsid w:val="00E72CE8"/>
    <w:rsid w:val="00E72FE1"/>
    <w:rsid w:val="00E7300A"/>
    <w:rsid w:val="00E731D7"/>
    <w:rsid w:val="00E73209"/>
    <w:rsid w:val="00E73383"/>
    <w:rsid w:val="00E7385B"/>
    <w:rsid w:val="00E73A34"/>
    <w:rsid w:val="00E740D4"/>
    <w:rsid w:val="00E74115"/>
    <w:rsid w:val="00E74336"/>
    <w:rsid w:val="00E74929"/>
    <w:rsid w:val="00E74ABD"/>
    <w:rsid w:val="00E74B9E"/>
    <w:rsid w:val="00E75011"/>
    <w:rsid w:val="00E7505E"/>
    <w:rsid w:val="00E753AE"/>
    <w:rsid w:val="00E75497"/>
    <w:rsid w:val="00E75660"/>
    <w:rsid w:val="00E756B3"/>
    <w:rsid w:val="00E7589D"/>
    <w:rsid w:val="00E759A6"/>
    <w:rsid w:val="00E75A55"/>
    <w:rsid w:val="00E75B71"/>
    <w:rsid w:val="00E75D6B"/>
    <w:rsid w:val="00E75F0D"/>
    <w:rsid w:val="00E75FBA"/>
    <w:rsid w:val="00E7605C"/>
    <w:rsid w:val="00E76217"/>
    <w:rsid w:val="00E764BC"/>
    <w:rsid w:val="00E7658B"/>
    <w:rsid w:val="00E7679B"/>
    <w:rsid w:val="00E77412"/>
    <w:rsid w:val="00E77508"/>
    <w:rsid w:val="00E77545"/>
    <w:rsid w:val="00E775D6"/>
    <w:rsid w:val="00E77D03"/>
    <w:rsid w:val="00E77EF4"/>
    <w:rsid w:val="00E8006D"/>
    <w:rsid w:val="00E80083"/>
    <w:rsid w:val="00E80110"/>
    <w:rsid w:val="00E8017F"/>
    <w:rsid w:val="00E802F9"/>
    <w:rsid w:val="00E80693"/>
    <w:rsid w:val="00E806C0"/>
    <w:rsid w:val="00E807B2"/>
    <w:rsid w:val="00E80878"/>
    <w:rsid w:val="00E80AA2"/>
    <w:rsid w:val="00E80DC5"/>
    <w:rsid w:val="00E80FC7"/>
    <w:rsid w:val="00E81272"/>
    <w:rsid w:val="00E813B7"/>
    <w:rsid w:val="00E81433"/>
    <w:rsid w:val="00E814E2"/>
    <w:rsid w:val="00E8165A"/>
    <w:rsid w:val="00E81696"/>
    <w:rsid w:val="00E81C5E"/>
    <w:rsid w:val="00E81FFB"/>
    <w:rsid w:val="00E81FFF"/>
    <w:rsid w:val="00E82064"/>
    <w:rsid w:val="00E82299"/>
    <w:rsid w:val="00E82348"/>
    <w:rsid w:val="00E82659"/>
    <w:rsid w:val="00E8292F"/>
    <w:rsid w:val="00E82EEC"/>
    <w:rsid w:val="00E82F4E"/>
    <w:rsid w:val="00E83005"/>
    <w:rsid w:val="00E83085"/>
    <w:rsid w:val="00E83363"/>
    <w:rsid w:val="00E8337B"/>
    <w:rsid w:val="00E83736"/>
    <w:rsid w:val="00E8376D"/>
    <w:rsid w:val="00E837D4"/>
    <w:rsid w:val="00E839EA"/>
    <w:rsid w:val="00E83AB7"/>
    <w:rsid w:val="00E83CD8"/>
    <w:rsid w:val="00E83D2E"/>
    <w:rsid w:val="00E83E6C"/>
    <w:rsid w:val="00E83F6D"/>
    <w:rsid w:val="00E84089"/>
    <w:rsid w:val="00E842A7"/>
    <w:rsid w:val="00E84465"/>
    <w:rsid w:val="00E84D96"/>
    <w:rsid w:val="00E84DBC"/>
    <w:rsid w:val="00E85275"/>
    <w:rsid w:val="00E855BF"/>
    <w:rsid w:val="00E855FD"/>
    <w:rsid w:val="00E85968"/>
    <w:rsid w:val="00E859C1"/>
    <w:rsid w:val="00E85CD9"/>
    <w:rsid w:val="00E861A6"/>
    <w:rsid w:val="00E86244"/>
    <w:rsid w:val="00E862D0"/>
    <w:rsid w:val="00E86423"/>
    <w:rsid w:val="00E865FC"/>
    <w:rsid w:val="00E866B3"/>
    <w:rsid w:val="00E8674A"/>
    <w:rsid w:val="00E867C5"/>
    <w:rsid w:val="00E8694B"/>
    <w:rsid w:val="00E86ACB"/>
    <w:rsid w:val="00E86BC8"/>
    <w:rsid w:val="00E86DA3"/>
    <w:rsid w:val="00E8716F"/>
    <w:rsid w:val="00E87377"/>
    <w:rsid w:val="00E877A3"/>
    <w:rsid w:val="00E9033C"/>
    <w:rsid w:val="00E905D9"/>
    <w:rsid w:val="00E90D2D"/>
    <w:rsid w:val="00E90EDB"/>
    <w:rsid w:val="00E90F93"/>
    <w:rsid w:val="00E90FD5"/>
    <w:rsid w:val="00E913E8"/>
    <w:rsid w:val="00E914B5"/>
    <w:rsid w:val="00E914EF"/>
    <w:rsid w:val="00E9186C"/>
    <w:rsid w:val="00E918B4"/>
    <w:rsid w:val="00E91B7E"/>
    <w:rsid w:val="00E91DCF"/>
    <w:rsid w:val="00E91E1E"/>
    <w:rsid w:val="00E91E87"/>
    <w:rsid w:val="00E91F6A"/>
    <w:rsid w:val="00E9203A"/>
    <w:rsid w:val="00E925D1"/>
    <w:rsid w:val="00E92670"/>
    <w:rsid w:val="00E92A19"/>
    <w:rsid w:val="00E92AB3"/>
    <w:rsid w:val="00E92B88"/>
    <w:rsid w:val="00E92DD2"/>
    <w:rsid w:val="00E92E92"/>
    <w:rsid w:val="00E92EDE"/>
    <w:rsid w:val="00E92EED"/>
    <w:rsid w:val="00E93000"/>
    <w:rsid w:val="00E9315A"/>
    <w:rsid w:val="00E939C5"/>
    <w:rsid w:val="00E93BCF"/>
    <w:rsid w:val="00E93F95"/>
    <w:rsid w:val="00E94A6D"/>
    <w:rsid w:val="00E94AE5"/>
    <w:rsid w:val="00E94C32"/>
    <w:rsid w:val="00E95358"/>
    <w:rsid w:val="00E953ED"/>
    <w:rsid w:val="00E95409"/>
    <w:rsid w:val="00E9544F"/>
    <w:rsid w:val="00E95D4F"/>
    <w:rsid w:val="00E95E1B"/>
    <w:rsid w:val="00E96073"/>
    <w:rsid w:val="00E961EA"/>
    <w:rsid w:val="00E9631D"/>
    <w:rsid w:val="00E96AB6"/>
    <w:rsid w:val="00E96C6E"/>
    <w:rsid w:val="00E96DB9"/>
    <w:rsid w:val="00E96F48"/>
    <w:rsid w:val="00E9715E"/>
    <w:rsid w:val="00E97368"/>
    <w:rsid w:val="00E97567"/>
    <w:rsid w:val="00E9760D"/>
    <w:rsid w:val="00E977DF"/>
    <w:rsid w:val="00E97A4E"/>
    <w:rsid w:val="00E97B94"/>
    <w:rsid w:val="00E97CAF"/>
    <w:rsid w:val="00E97EE4"/>
    <w:rsid w:val="00E97F74"/>
    <w:rsid w:val="00E97FA9"/>
    <w:rsid w:val="00E97FEA"/>
    <w:rsid w:val="00EA008C"/>
    <w:rsid w:val="00EA01DB"/>
    <w:rsid w:val="00EA020F"/>
    <w:rsid w:val="00EA0737"/>
    <w:rsid w:val="00EA0830"/>
    <w:rsid w:val="00EA0918"/>
    <w:rsid w:val="00EA0D10"/>
    <w:rsid w:val="00EA0F0F"/>
    <w:rsid w:val="00EA1122"/>
    <w:rsid w:val="00EA1549"/>
    <w:rsid w:val="00EA15FF"/>
    <w:rsid w:val="00EA17BA"/>
    <w:rsid w:val="00EA187F"/>
    <w:rsid w:val="00EA1C9F"/>
    <w:rsid w:val="00EA1CB5"/>
    <w:rsid w:val="00EA1E9D"/>
    <w:rsid w:val="00EA1F81"/>
    <w:rsid w:val="00EA2099"/>
    <w:rsid w:val="00EA223F"/>
    <w:rsid w:val="00EA262C"/>
    <w:rsid w:val="00EA2A28"/>
    <w:rsid w:val="00EA2BC6"/>
    <w:rsid w:val="00EA2C86"/>
    <w:rsid w:val="00EA3028"/>
    <w:rsid w:val="00EA31C1"/>
    <w:rsid w:val="00EA36F0"/>
    <w:rsid w:val="00EA3738"/>
    <w:rsid w:val="00EA3937"/>
    <w:rsid w:val="00EA3C0A"/>
    <w:rsid w:val="00EA3D7B"/>
    <w:rsid w:val="00EA3F21"/>
    <w:rsid w:val="00EA416D"/>
    <w:rsid w:val="00EA45DF"/>
    <w:rsid w:val="00EA46EE"/>
    <w:rsid w:val="00EA4993"/>
    <w:rsid w:val="00EA4BD0"/>
    <w:rsid w:val="00EA4E17"/>
    <w:rsid w:val="00EA4F20"/>
    <w:rsid w:val="00EA530D"/>
    <w:rsid w:val="00EA5620"/>
    <w:rsid w:val="00EA580C"/>
    <w:rsid w:val="00EA5877"/>
    <w:rsid w:val="00EA58D5"/>
    <w:rsid w:val="00EA5B51"/>
    <w:rsid w:val="00EA5D30"/>
    <w:rsid w:val="00EA5E2E"/>
    <w:rsid w:val="00EA609B"/>
    <w:rsid w:val="00EA6203"/>
    <w:rsid w:val="00EA6223"/>
    <w:rsid w:val="00EA64E0"/>
    <w:rsid w:val="00EA6872"/>
    <w:rsid w:val="00EA68CD"/>
    <w:rsid w:val="00EA6A5E"/>
    <w:rsid w:val="00EA6AB7"/>
    <w:rsid w:val="00EA6BFC"/>
    <w:rsid w:val="00EA6C83"/>
    <w:rsid w:val="00EA7038"/>
    <w:rsid w:val="00EA712D"/>
    <w:rsid w:val="00EA76C4"/>
    <w:rsid w:val="00EA778E"/>
    <w:rsid w:val="00EA79D9"/>
    <w:rsid w:val="00EA7AA7"/>
    <w:rsid w:val="00EA7B6F"/>
    <w:rsid w:val="00EA7E23"/>
    <w:rsid w:val="00EA7FE5"/>
    <w:rsid w:val="00EB02C4"/>
    <w:rsid w:val="00EB0804"/>
    <w:rsid w:val="00EB09CA"/>
    <w:rsid w:val="00EB0CB0"/>
    <w:rsid w:val="00EB0DC3"/>
    <w:rsid w:val="00EB0DD2"/>
    <w:rsid w:val="00EB0E3D"/>
    <w:rsid w:val="00EB0E7A"/>
    <w:rsid w:val="00EB0F1E"/>
    <w:rsid w:val="00EB11DC"/>
    <w:rsid w:val="00EB138D"/>
    <w:rsid w:val="00EB1832"/>
    <w:rsid w:val="00EB1AD6"/>
    <w:rsid w:val="00EB1CCB"/>
    <w:rsid w:val="00EB1F7C"/>
    <w:rsid w:val="00EB20F0"/>
    <w:rsid w:val="00EB2334"/>
    <w:rsid w:val="00EB25D0"/>
    <w:rsid w:val="00EB296C"/>
    <w:rsid w:val="00EB2C7B"/>
    <w:rsid w:val="00EB2EC1"/>
    <w:rsid w:val="00EB2EFE"/>
    <w:rsid w:val="00EB33E8"/>
    <w:rsid w:val="00EB34E6"/>
    <w:rsid w:val="00EB39EC"/>
    <w:rsid w:val="00EB3AED"/>
    <w:rsid w:val="00EB3B90"/>
    <w:rsid w:val="00EB3D45"/>
    <w:rsid w:val="00EB3EAC"/>
    <w:rsid w:val="00EB414B"/>
    <w:rsid w:val="00EB42EA"/>
    <w:rsid w:val="00EB4C22"/>
    <w:rsid w:val="00EB4CE2"/>
    <w:rsid w:val="00EB4E2C"/>
    <w:rsid w:val="00EB51BD"/>
    <w:rsid w:val="00EB5264"/>
    <w:rsid w:val="00EB56A0"/>
    <w:rsid w:val="00EB59FB"/>
    <w:rsid w:val="00EB5BE6"/>
    <w:rsid w:val="00EB5E57"/>
    <w:rsid w:val="00EB5F7A"/>
    <w:rsid w:val="00EB605F"/>
    <w:rsid w:val="00EB6323"/>
    <w:rsid w:val="00EB67E7"/>
    <w:rsid w:val="00EB68A5"/>
    <w:rsid w:val="00EB6986"/>
    <w:rsid w:val="00EB6EB5"/>
    <w:rsid w:val="00EB75AD"/>
    <w:rsid w:val="00EB77A3"/>
    <w:rsid w:val="00EB79E9"/>
    <w:rsid w:val="00EB7A2F"/>
    <w:rsid w:val="00EB7A76"/>
    <w:rsid w:val="00EB7C32"/>
    <w:rsid w:val="00EB7F4C"/>
    <w:rsid w:val="00EB7F97"/>
    <w:rsid w:val="00EB7FCE"/>
    <w:rsid w:val="00EC023B"/>
    <w:rsid w:val="00EC051E"/>
    <w:rsid w:val="00EC0621"/>
    <w:rsid w:val="00EC08FD"/>
    <w:rsid w:val="00EC0A78"/>
    <w:rsid w:val="00EC0C76"/>
    <w:rsid w:val="00EC0CCF"/>
    <w:rsid w:val="00EC109B"/>
    <w:rsid w:val="00EC1108"/>
    <w:rsid w:val="00EC1581"/>
    <w:rsid w:val="00EC17C2"/>
    <w:rsid w:val="00EC1834"/>
    <w:rsid w:val="00EC1987"/>
    <w:rsid w:val="00EC19FB"/>
    <w:rsid w:val="00EC1EB1"/>
    <w:rsid w:val="00EC25AD"/>
    <w:rsid w:val="00EC263A"/>
    <w:rsid w:val="00EC2658"/>
    <w:rsid w:val="00EC2A68"/>
    <w:rsid w:val="00EC2C7E"/>
    <w:rsid w:val="00EC2CB0"/>
    <w:rsid w:val="00EC2D1C"/>
    <w:rsid w:val="00EC2FDA"/>
    <w:rsid w:val="00EC30E5"/>
    <w:rsid w:val="00EC332B"/>
    <w:rsid w:val="00EC3330"/>
    <w:rsid w:val="00EC33CF"/>
    <w:rsid w:val="00EC36BE"/>
    <w:rsid w:val="00EC3AF7"/>
    <w:rsid w:val="00EC3D59"/>
    <w:rsid w:val="00EC410E"/>
    <w:rsid w:val="00EC4E90"/>
    <w:rsid w:val="00EC4F43"/>
    <w:rsid w:val="00EC4F5C"/>
    <w:rsid w:val="00EC4F88"/>
    <w:rsid w:val="00EC4FB1"/>
    <w:rsid w:val="00EC5467"/>
    <w:rsid w:val="00EC54ED"/>
    <w:rsid w:val="00EC581D"/>
    <w:rsid w:val="00EC5980"/>
    <w:rsid w:val="00EC5A11"/>
    <w:rsid w:val="00EC5E8C"/>
    <w:rsid w:val="00EC62F1"/>
    <w:rsid w:val="00EC64FB"/>
    <w:rsid w:val="00EC6685"/>
    <w:rsid w:val="00EC6AE5"/>
    <w:rsid w:val="00EC6EF3"/>
    <w:rsid w:val="00EC7063"/>
    <w:rsid w:val="00EC7717"/>
    <w:rsid w:val="00EC7878"/>
    <w:rsid w:val="00EC78FE"/>
    <w:rsid w:val="00EC7B5C"/>
    <w:rsid w:val="00EC7BCD"/>
    <w:rsid w:val="00ED0040"/>
    <w:rsid w:val="00ED0199"/>
    <w:rsid w:val="00ED0326"/>
    <w:rsid w:val="00ED0476"/>
    <w:rsid w:val="00ED058B"/>
    <w:rsid w:val="00ED084F"/>
    <w:rsid w:val="00ED0A54"/>
    <w:rsid w:val="00ED0C6E"/>
    <w:rsid w:val="00ED0EB1"/>
    <w:rsid w:val="00ED105F"/>
    <w:rsid w:val="00ED11DD"/>
    <w:rsid w:val="00ED13A8"/>
    <w:rsid w:val="00ED1B9B"/>
    <w:rsid w:val="00ED1D6A"/>
    <w:rsid w:val="00ED1EA8"/>
    <w:rsid w:val="00ED1ECA"/>
    <w:rsid w:val="00ED2119"/>
    <w:rsid w:val="00ED2219"/>
    <w:rsid w:val="00ED2556"/>
    <w:rsid w:val="00ED2BC9"/>
    <w:rsid w:val="00ED2C19"/>
    <w:rsid w:val="00ED2F77"/>
    <w:rsid w:val="00ED3203"/>
    <w:rsid w:val="00ED3222"/>
    <w:rsid w:val="00ED35EF"/>
    <w:rsid w:val="00ED3AE8"/>
    <w:rsid w:val="00ED3F43"/>
    <w:rsid w:val="00ED3FE2"/>
    <w:rsid w:val="00ED4430"/>
    <w:rsid w:val="00ED44AC"/>
    <w:rsid w:val="00ED4598"/>
    <w:rsid w:val="00ED45C1"/>
    <w:rsid w:val="00ED4C2B"/>
    <w:rsid w:val="00ED4F1B"/>
    <w:rsid w:val="00ED528E"/>
    <w:rsid w:val="00ED5802"/>
    <w:rsid w:val="00ED58D0"/>
    <w:rsid w:val="00ED59A6"/>
    <w:rsid w:val="00ED59D8"/>
    <w:rsid w:val="00ED5B7F"/>
    <w:rsid w:val="00ED5CE4"/>
    <w:rsid w:val="00ED5DFD"/>
    <w:rsid w:val="00ED5E49"/>
    <w:rsid w:val="00ED617B"/>
    <w:rsid w:val="00ED61BF"/>
    <w:rsid w:val="00ED61CB"/>
    <w:rsid w:val="00ED61CF"/>
    <w:rsid w:val="00ED6205"/>
    <w:rsid w:val="00ED630A"/>
    <w:rsid w:val="00ED643E"/>
    <w:rsid w:val="00ED66EB"/>
    <w:rsid w:val="00ED67F6"/>
    <w:rsid w:val="00ED69E4"/>
    <w:rsid w:val="00ED6BB2"/>
    <w:rsid w:val="00ED6C57"/>
    <w:rsid w:val="00ED6E3E"/>
    <w:rsid w:val="00ED6EE9"/>
    <w:rsid w:val="00ED7182"/>
    <w:rsid w:val="00ED73D9"/>
    <w:rsid w:val="00ED78F5"/>
    <w:rsid w:val="00ED7900"/>
    <w:rsid w:val="00ED7946"/>
    <w:rsid w:val="00ED7EE9"/>
    <w:rsid w:val="00EE02BE"/>
    <w:rsid w:val="00EE030E"/>
    <w:rsid w:val="00EE046A"/>
    <w:rsid w:val="00EE08EC"/>
    <w:rsid w:val="00EE09CF"/>
    <w:rsid w:val="00EE0D3B"/>
    <w:rsid w:val="00EE0E07"/>
    <w:rsid w:val="00EE0F3F"/>
    <w:rsid w:val="00EE10AA"/>
    <w:rsid w:val="00EE1184"/>
    <w:rsid w:val="00EE15A8"/>
    <w:rsid w:val="00EE1606"/>
    <w:rsid w:val="00EE1A6B"/>
    <w:rsid w:val="00EE22F3"/>
    <w:rsid w:val="00EE2598"/>
    <w:rsid w:val="00EE25E9"/>
    <w:rsid w:val="00EE2889"/>
    <w:rsid w:val="00EE2AD5"/>
    <w:rsid w:val="00EE2C45"/>
    <w:rsid w:val="00EE2E16"/>
    <w:rsid w:val="00EE2F81"/>
    <w:rsid w:val="00EE2FA9"/>
    <w:rsid w:val="00EE2FF7"/>
    <w:rsid w:val="00EE32CE"/>
    <w:rsid w:val="00EE3348"/>
    <w:rsid w:val="00EE3468"/>
    <w:rsid w:val="00EE34B6"/>
    <w:rsid w:val="00EE3574"/>
    <w:rsid w:val="00EE3586"/>
    <w:rsid w:val="00EE3F74"/>
    <w:rsid w:val="00EE40D1"/>
    <w:rsid w:val="00EE4319"/>
    <w:rsid w:val="00EE44D1"/>
    <w:rsid w:val="00EE4580"/>
    <w:rsid w:val="00EE4593"/>
    <w:rsid w:val="00EE49FB"/>
    <w:rsid w:val="00EE4A92"/>
    <w:rsid w:val="00EE54B2"/>
    <w:rsid w:val="00EE5646"/>
    <w:rsid w:val="00EE57AE"/>
    <w:rsid w:val="00EE5DF7"/>
    <w:rsid w:val="00EE60B3"/>
    <w:rsid w:val="00EE6119"/>
    <w:rsid w:val="00EE6194"/>
    <w:rsid w:val="00EE6221"/>
    <w:rsid w:val="00EE62EB"/>
    <w:rsid w:val="00EE6327"/>
    <w:rsid w:val="00EE63A9"/>
    <w:rsid w:val="00EE651D"/>
    <w:rsid w:val="00EE69A8"/>
    <w:rsid w:val="00EE6B00"/>
    <w:rsid w:val="00EE6C1A"/>
    <w:rsid w:val="00EE6C43"/>
    <w:rsid w:val="00EE701F"/>
    <w:rsid w:val="00EE718C"/>
    <w:rsid w:val="00EE7515"/>
    <w:rsid w:val="00EE753F"/>
    <w:rsid w:val="00EE76A9"/>
    <w:rsid w:val="00EE7DBE"/>
    <w:rsid w:val="00EE7F48"/>
    <w:rsid w:val="00EF0298"/>
    <w:rsid w:val="00EF02EE"/>
    <w:rsid w:val="00EF05CB"/>
    <w:rsid w:val="00EF06FC"/>
    <w:rsid w:val="00EF0A7D"/>
    <w:rsid w:val="00EF1776"/>
    <w:rsid w:val="00EF1832"/>
    <w:rsid w:val="00EF19A7"/>
    <w:rsid w:val="00EF1CD6"/>
    <w:rsid w:val="00EF2307"/>
    <w:rsid w:val="00EF233A"/>
    <w:rsid w:val="00EF264A"/>
    <w:rsid w:val="00EF2689"/>
    <w:rsid w:val="00EF26CD"/>
    <w:rsid w:val="00EF271A"/>
    <w:rsid w:val="00EF279D"/>
    <w:rsid w:val="00EF299E"/>
    <w:rsid w:val="00EF29F8"/>
    <w:rsid w:val="00EF2A34"/>
    <w:rsid w:val="00EF2D67"/>
    <w:rsid w:val="00EF2F12"/>
    <w:rsid w:val="00EF35C9"/>
    <w:rsid w:val="00EF3692"/>
    <w:rsid w:val="00EF3C49"/>
    <w:rsid w:val="00EF3CE2"/>
    <w:rsid w:val="00EF3E21"/>
    <w:rsid w:val="00EF4062"/>
    <w:rsid w:val="00EF4156"/>
    <w:rsid w:val="00EF4395"/>
    <w:rsid w:val="00EF4904"/>
    <w:rsid w:val="00EF4AA7"/>
    <w:rsid w:val="00EF4CB4"/>
    <w:rsid w:val="00EF510A"/>
    <w:rsid w:val="00EF5388"/>
    <w:rsid w:val="00EF5EBD"/>
    <w:rsid w:val="00EF6778"/>
    <w:rsid w:val="00EF6CC4"/>
    <w:rsid w:val="00EF73A7"/>
    <w:rsid w:val="00EF78D4"/>
    <w:rsid w:val="00EF7A53"/>
    <w:rsid w:val="00EF7BE8"/>
    <w:rsid w:val="00EF7BF3"/>
    <w:rsid w:val="00EF7E6D"/>
    <w:rsid w:val="00EF8DE4"/>
    <w:rsid w:val="00F00050"/>
    <w:rsid w:val="00F00123"/>
    <w:rsid w:val="00F00428"/>
    <w:rsid w:val="00F0060D"/>
    <w:rsid w:val="00F00940"/>
    <w:rsid w:val="00F00C49"/>
    <w:rsid w:val="00F00E1B"/>
    <w:rsid w:val="00F01093"/>
    <w:rsid w:val="00F010F5"/>
    <w:rsid w:val="00F01467"/>
    <w:rsid w:val="00F01769"/>
    <w:rsid w:val="00F01BE2"/>
    <w:rsid w:val="00F01C5F"/>
    <w:rsid w:val="00F02365"/>
    <w:rsid w:val="00F02CE9"/>
    <w:rsid w:val="00F02EAE"/>
    <w:rsid w:val="00F0313C"/>
    <w:rsid w:val="00F033CB"/>
    <w:rsid w:val="00F03445"/>
    <w:rsid w:val="00F038E2"/>
    <w:rsid w:val="00F03A72"/>
    <w:rsid w:val="00F03C19"/>
    <w:rsid w:val="00F042EF"/>
    <w:rsid w:val="00F0435F"/>
    <w:rsid w:val="00F04A19"/>
    <w:rsid w:val="00F04A4F"/>
    <w:rsid w:val="00F04CAB"/>
    <w:rsid w:val="00F0502F"/>
    <w:rsid w:val="00F05070"/>
    <w:rsid w:val="00F050A4"/>
    <w:rsid w:val="00F0559A"/>
    <w:rsid w:val="00F0560C"/>
    <w:rsid w:val="00F05856"/>
    <w:rsid w:val="00F058B2"/>
    <w:rsid w:val="00F05966"/>
    <w:rsid w:val="00F059A5"/>
    <w:rsid w:val="00F05BD4"/>
    <w:rsid w:val="00F06182"/>
    <w:rsid w:val="00F0653A"/>
    <w:rsid w:val="00F065BC"/>
    <w:rsid w:val="00F06646"/>
    <w:rsid w:val="00F0676F"/>
    <w:rsid w:val="00F06976"/>
    <w:rsid w:val="00F06B4A"/>
    <w:rsid w:val="00F06C64"/>
    <w:rsid w:val="00F06C70"/>
    <w:rsid w:val="00F06CF0"/>
    <w:rsid w:val="00F06DD4"/>
    <w:rsid w:val="00F06EE8"/>
    <w:rsid w:val="00F06F99"/>
    <w:rsid w:val="00F070A2"/>
    <w:rsid w:val="00F07268"/>
    <w:rsid w:val="00F0771F"/>
    <w:rsid w:val="00F0776D"/>
    <w:rsid w:val="00F07A83"/>
    <w:rsid w:val="00F07D6B"/>
    <w:rsid w:val="00F07E65"/>
    <w:rsid w:val="00F10648"/>
    <w:rsid w:val="00F10667"/>
    <w:rsid w:val="00F10673"/>
    <w:rsid w:val="00F108FF"/>
    <w:rsid w:val="00F10A6E"/>
    <w:rsid w:val="00F10B9A"/>
    <w:rsid w:val="00F10F07"/>
    <w:rsid w:val="00F10F2B"/>
    <w:rsid w:val="00F10FC3"/>
    <w:rsid w:val="00F11084"/>
    <w:rsid w:val="00F1122A"/>
    <w:rsid w:val="00F1129D"/>
    <w:rsid w:val="00F1143C"/>
    <w:rsid w:val="00F114D0"/>
    <w:rsid w:val="00F1155F"/>
    <w:rsid w:val="00F11892"/>
    <w:rsid w:val="00F11A76"/>
    <w:rsid w:val="00F11CEB"/>
    <w:rsid w:val="00F12071"/>
    <w:rsid w:val="00F122FC"/>
    <w:rsid w:val="00F125BC"/>
    <w:rsid w:val="00F12A68"/>
    <w:rsid w:val="00F12F62"/>
    <w:rsid w:val="00F13192"/>
    <w:rsid w:val="00F13AA5"/>
    <w:rsid w:val="00F13C48"/>
    <w:rsid w:val="00F13E1C"/>
    <w:rsid w:val="00F14182"/>
    <w:rsid w:val="00F1425F"/>
    <w:rsid w:val="00F14269"/>
    <w:rsid w:val="00F142B8"/>
    <w:rsid w:val="00F143A2"/>
    <w:rsid w:val="00F14AA5"/>
    <w:rsid w:val="00F14BB7"/>
    <w:rsid w:val="00F14D3D"/>
    <w:rsid w:val="00F14E14"/>
    <w:rsid w:val="00F1502F"/>
    <w:rsid w:val="00F1510B"/>
    <w:rsid w:val="00F151A4"/>
    <w:rsid w:val="00F154AD"/>
    <w:rsid w:val="00F1578C"/>
    <w:rsid w:val="00F157E5"/>
    <w:rsid w:val="00F15915"/>
    <w:rsid w:val="00F15C2A"/>
    <w:rsid w:val="00F15E81"/>
    <w:rsid w:val="00F15F09"/>
    <w:rsid w:val="00F160CE"/>
    <w:rsid w:val="00F160DF"/>
    <w:rsid w:val="00F16151"/>
    <w:rsid w:val="00F166D6"/>
    <w:rsid w:val="00F16726"/>
    <w:rsid w:val="00F1685C"/>
    <w:rsid w:val="00F16D18"/>
    <w:rsid w:val="00F16F51"/>
    <w:rsid w:val="00F1702C"/>
    <w:rsid w:val="00F1710C"/>
    <w:rsid w:val="00F17216"/>
    <w:rsid w:val="00F17414"/>
    <w:rsid w:val="00F17A3D"/>
    <w:rsid w:val="00F17A63"/>
    <w:rsid w:val="00F17C7E"/>
    <w:rsid w:val="00F17D77"/>
    <w:rsid w:val="00F17E28"/>
    <w:rsid w:val="00F17FE3"/>
    <w:rsid w:val="00F20088"/>
    <w:rsid w:val="00F20198"/>
    <w:rsid w:val="00F203A5"/>
    <w:rsid w:val="00F20429"/>
    <w:rsid w:val="00F204E3"/>
    <w:rsid w:val="00F20519"/>
    <w:rsid w:val="00F2075F"/>
    <w:rsid w:val="00F20A47"/>
    <w:rsid w:val="00F21089"/>
    <w:rsid w:val="00F21365"/>
    <w:rsid w:val="00F21888"/>
    <w:rsid w:val="00F219EA"/>
    <w:rsid w:val="00F21CA7"/>
    <w:rsid w:val="00F21E5E"/>
    <w:rsid w:val="00F21E75"/>
    <w:rsid w:val="00F22110"/>
    <w:rsid w:val="00F22413"/>
    <w:rsid w:val="00F2254B"/>
    <w:rsid w:val="00F2264C"/>
    <w:rsid w:val="00F227ED"/>
    <w:rsid w:val="00F2286C"/>
    <w:rsid w:val="00F2289A"/>
    <w:rsid w:val="00F22954"/>
    <w:rsid w:val="00F22A71"/>
    <w:rsid w:val="00F233CD"/>
    <w:rsid w:val="00F2342E"/>
    <w:rsid w:val="00F23622"/>
    <w:rsid w:val="00F237A7"/>
    <w:rsid w:val="00F2383C"/>
    <w:rsid w:val="00F23A80"/>
    <w:rsid w:val="00F23CAA"/>
    <w:rsid w:val="00F23CDD"/>
    <w:rsid w:val="00F23DA8"/>
    <w:rsid w:val="00F2406F"/>
    <w:rsid w:val="00F2419D"/>
    <w:rsid w:val="00F243B6"/>
    <w:rsid w:val="00F243F7"/>
    <w:rsid w:val="00F2444C"/>
    <w:rsid w:val="00F244AE"/>
    <w:rsid w:val="00F24652"/>
    <w:rsid w:val="00F246EE"/>
    <w:rsid w:val="00F24830"/>
    <w:rsid w:val="00F248E2"/>
    <w:rsid w:val="00F249CD"/>
    <w:rsid w:val="00F24C47"/>
    <w:rsid w:val="00F24DE5"/>
    <w:rsid w:val="00F24F95"/>
    <w:rsid w:val="00F250A4"/>
    <w:rsid w:val="00F254BB"/>
    <w:rsid w:val="00F256A8"/>
    <w:rsid w:val="00F25781"/>
    <w:rsid w:val="00F25913"/>
    <w:rsid w:val="00F25B9C"/>
    <w:rsid w:val="00F25EC6"/>
    <w:rsid w:val="00F26565"/>
    <w:rsid w:val="00F266BD"/>
    <w:rsid w:val="00F26791"/>
    <w:rsid w:val="00F269B5"/>
    <w:rsid w:val="00F269F8"/>
    <w:rsid w:val="00F26A6B"/>
    <w:rsid w:val="00F26B51"/>
    <w:rsid w:val="00F26DA9"/>
    <w:rsid w:val="00F2701C"/>
    <w:rsid w:val="00F272FF"/>
    <w:rsid w:val="00F27340"/>
    <w:rsid w:val="00F27443"/>
    <w:rsid w:val="00F277F1"/>
    <w:rsid w:val="00F2784E"/>
    <w:rsid w:val="00F27BA6"/>
    <w:rsid w:val="00F27C77"/>
    <w:rsid w:val="00F27D2D"/>
    <w:rsid w:val="00F27D48"/>
    <w:rsid w:val="00F27E31"/>
    <w:rsid w:val="00F27FB5"/>
    <w:rsid w:val="00F30053"/>
    <w:rsid w:val="00F30161"/>
    <w:rsid w:val="00F308EC"/>
    <w:rsid w:val="00F3099B"/>
    <w:rsid w:val="00F30C7E"/>
    <w:rsid w:val="00F30DEB"/>
    <w:rsid w:val="00F30E0C"/>
    <w:rsid w:val="00F310CC"/>
    <w:rsid w:val="00F312F0"/>
    <w:rsid w:val="00F31415"/>
    <w:rsid w:val="00F315AD"/>
    <w:rsid w:val="00F315E6"/>
    <w:rsid w:val="00F31826"/>
    <w:rsid w:val="00F318ED"/>
    <w:rsid w:val="00F31BA6"/>
    <w:rsid w:val="00F31CCF"/>
    <w:rsid w:val="00F3203B"/>
    <w:rsid w:val="00F3209C"/>
    <w:rsid w:val="00F320F5"/>
    <w:rsid w:val="00F324FC"/>
    <w:rsid w:val="00F325C5"/>
    <w:rsid w:val="00F326E9"/>
    <w:rsid w:val="00F32C41"/>
    <w:rsid w:val="00F330E8"/>
    <w:rsid w:val="00F33295"/>
    <w:rsid w:val="00F33296"/>
    <w:rsid w:val="00F33693"/>
    <w:rsid w:val="00F3369A"/>
    <w:rsid w:val="00F336A5"/>
    <w:rsid w:val="00F33727"/>
    <w:rsid w:val="00F3374F"/>
    <w:rsid w:val="00F33839"/>
    <w:rsid w:val="00F33953"/>
    <w:rsid w:val="00F33D7A"/>
    <w:rsid w:val="00F33F48"/>
    <w:rsid w:val="00F33F76"/>
    <w:rsid w:val="00F3457D"/>
    <w:rsid w:val="00F34EE8"/>
    <w:rsid w:val="00F35160"/>
    <w:rsid w:val="00F351F5"/>
    <w:rsid w:val="00F35221"/>
    <w:rsid w:val="00F356B1"/>
    <w:rsid w:val="00F35ACA"/>
    <w:rsid w:val="00F35AF6"/>
    <w:rsid w:val="00F35F4F"/>
    <w:rsid w:val="00F35F6D"/>
    <w:rsid w:val="00F36465"/>
    <w:rsid w:val="00F3649A"/>
    <w:rsid w:val="00F3667C"/>
    <w:rsid w:val="00F36ACD"/>
    <w:rsid w:val="00F36C1A"/>
    <w:rsid w:val="00F36E6E"/>
    <w:rsid w:val="00F36E82"/>
    <w:rsid w:val="00F370FF"/>
    <w:rsid w:val="00F3711E"/>
    <w:rsid w:val="00F3762C"/>
    <w:rsid w:val="00F377A0"/>
    <w:rsid w:val="00F37CE1"/>
    <w:rsid w:val="00F37DB8"/>
    <w:rsid w:val="00F4022B"/>
    <w:rsid w:val="00F40366"/>
    <w:rsid w:val="00F406C5"/>
    <w:rsid w:val="00F40A5A"/>
    <w:rsid w:val="00F40A5D"/>
    <w:rsid w:val="00F40A6A"/>
    <w:rsid w:val="00F40FAA"/>
    <w:rsid w:val="00F40FCC"/>
    <w:rsid w:val="00F4118B"/>
    <w:rsid w:val="00F4170F"/>
    <w:rsid w:val="00F417A0"/>
    <w:rsid w:val="00F417F6"/>
    <w:rsid w:val="00F41BCA"/>
    <w:rsid w:val="00F41C39"/>
    <w:rsid w:val="00F41D42"/>
    <w:rsid w:val="00F4205A"/>
    <w:rsid w:val="00F42145"/>
    <w:rsid w:val="00F422FB"/>
    <w:rsid w:val="00F42393"/>
    <w:rsid w:val="00F423F6"/>
    <w:rsid w:val="00F4267B"/>
    <w:rsid w:val="00F42735"/>
    <w:rsid w:val="00F429EF"/>
    <w:rsid w:val="00F42A9D"/>
    <w:rsid w:val="00F42B21"/>
    <w:rsid w:val="00F42C99"/>
    <w:rsid w:val="00F42E38"/>
    <w:rsid w:val="00F43009"/>
    <w:rsid w:val="00F4305B"/>
    <w:rsid w:val="00F431A4"/>
    <w:rsid w:val="00F431BB"/>
    <w:rsid w:val="00F432FD"/>
    <w:rsid w:val="00F4337F"/>
    <w:rsid w:val="00F4347F"/>
    <w:rsid w:val="00F43483"/>
    <w:rsid w:val="00F434B1"/>
    <w:rsid w:val="00F4354D"/>
    <w:rsid w:val="00F435DE"/>
    <w:rsid w:val="00F4371D"/>
    <w:rsid w:val="00F437B4"/>
    <w:rsid w:val="00F43845"/>
    <w:rsid w:val="00F439FB"/>
    <w:rsid w:val="00F43CF1"/>
    <w:rsid w:val="00F44387"/>
    <w:rsid w:val="00F445E7"/>
    <w:rsid w:val="00F446A5"/>
    <w:rsid w:val="00F447DD"/>
    <w:rsid w:val="00F44A0A"/>
    <w:rsid w:val="00F44C26"/>
    <w:rsid w:val="00F450BA"/>
    <w:rsid w:val="00F45472"/>
    <w:rsid w:val="00F4553E"/>
    <w:rsid w:val="00F455CB"/>
    <w:rsid w:val="00F455DB"/>
    <w:rsid w:val="00F458FD"/>
    <w:rsid w:val="00F45937"/>
    <w:rsid w:val="00F45A8D"/>
    <w:rsid w:val="00F4688D"/>
    <w:rsid w:val="00F46B1B"/>
    <w:rsid w:val="00F4702D"/>
    <w:rsid w:val="00F4714D"/>
    <w:rsid w:val="00F4748F"/>
    <w:rsid w:val="00F47A49"/>
    <w:rsid w:val="00F501AA"/>
    <w:rsid w:val="00F5022C"/>
    <w:rsid w:val="00F5037A"/>
    <w:rsid w:val="00F506C4"/>
    <w:rsid w:val="00F50E01"/>
    <w:rsid w:val="00F50F25"/>
    <w:rsid w:val="00F510DB"/>
    <w:rsid w:val="00F511C7"/>
    <w:rsid w:val="00F51277"/>
    <w:rsid w:val="00F512CF"/>
    <w:rsid w:val="00F515CF"/>
    <w:rsid w:val="00F51AC2"/>
    <w:rsid w:val="00F522E0"/>
    <w:rsid w:val="00F52424"/>
    <w:rsid w:val="00F526AE"/>
    <w:rsid w:val="00F52E08"/>
    <w:rsid w:val="00F5319A"/>
    <w:rsid w:val="00F531DE"/>
    <w:rsid w:val="00F534E9"/>
    <w:rsid w:val="00F53962"/>
    <w:rsid w:val="00F53C43"/>
    <w:rsid w:val="00F53FBB"/>
    <w:rsid w:val="00F5416E"/>
    <w:rsid w:val="00F541E8"/>
    <w:rsid w:val="00F543D7"/>
    <w:rsid w:val="00F544B1"/>
    <w:rsid w:val="00F544BA"/>
    <w:rsid w:val="00F54766"/>
    <w:rsid w:val="00F54844"/>
    <w:rsid w:val="00F549FA"/>
    <w:rsid w:val="00F54A73"/>
    <w:rsid w:val="00F54A8A"/>
    <w:rsid w:val="00F54BD5"/>
    <w:rsid w:val="00F54D6E"/>
    <w:rsid w:val="00F54F70"/>
    <w:rsid w:val="00F54FE6"/>
    <w:rsid w:val="00F5507A"/>
    <w:rsid w:val="00F55790"/>
    <w:rsid w:val="00F55C1D"/>
    <w:rsid w:val="00F56203"/>
    <w:rsid w:val="00F562AF"/>
    <w:rsid w:val="00F562B2"/>
    <w:rsid w:val="00F56602"/>
    <w:rsid w:val="00F567DB"/>
    <w:rsid w:val="00F56C2F"/>
    <w:rsid w:val="00F56DBD"/>
    <w:rsid w:val="00F56E79"/>
    <w:rsid w:val="00F56EE1"/>
    <w:rsid w:val="00F5717F"/>
    <w:rsid w:val="00F571D4"/>
    <w:rsid w:val="00F57361"/>
    <w:rsid w:val="00F574F6"/>
    <w:rsid w:val="00F57580"/>
    <w:rsid w:val="00F57676"/>
    <w:rsid w:val="00F57ADB"/>
    <w:rsid w:val="00F57C85"/>
    <w:rsid w:val="00F57CDD"/>
    <w:rsid w:val="00F57EB0"/>
    <w:rsid w:val="00F57F26"/>
    <w:rsid w:val="00F60465"/>
    <w:rsid w:val="00F60D82"/>
    <w:rsid w:val="00F60EAC"/>
    <w:rsid w:val="00F60ED0"/>
    <w:rsid w:val="00F61007"/>
    <w:rsid w:val="00F61E9C"/>
    <w:rsid w:val="00F61F9D"/>
    <w:rsid w:val="00F62087"/>
    <w:rsid w:val="00F6217E"/>
    <w:rsid w:val="00F6218D"/>
    <w:rsid w:val="00F62252"/>
    <w:rsid w:val="00F62407"/>
    <w:rsid w:val="00F62448"/>
    <w:rsid w:val="00F624F5"/>
    <w:rsid w:val="00F629EB"/>
    <w:rsid w:val="00F62AA5"/>
    <w:rsid w:val="00F62C0F"/>
    <w:rsid w:val="00F62C35"/>
    <w:rsid w:val="00F62C55"/>
    <w:rsid w:val="00F62D86"/>
    <w:rsid w:val="00F63340"/>
    <w:rsid w:val="00F633BD"/>
    <w:rsid w:val="00F6345F"/>
    <w:rsid w:val="00F635D8"/>
    <w:rsid w:val="00F63CBB"/>
    <w:rsid w:val="00F63CC6"/>
    <w:rsid w:val="00F64248"/>
    <w:rsid w:val="00F6429E"/>
    <w:rsid w:val="00F642A3"/>
    <w:rsid w:val="00F643D9"/>
    <w:rsid w:val="00F6446B"/>
    <w:rsid w:val="00F64525"/>
    <w:rsid w:val="00F646BF"/>
    <w:rsid w:val="00F64ADC"/>
    <w:rsid w:val="00F65089"/>
    <w:rsid w:val="00F6526D"/>
    <w:rsid w:val="00F6577A"/>
    <w:rsid w:val="00F65939"/>
    <w:rsid w:val="00F65A17"/>
    <w:rsid w:val="00F65BEE"/>
    <w:rsid w:val="00F664CC"/>
    <w:rsid w:val="00F66564"/>
    <w:rsid w:val="00F6661A"/>
    <w:rsid w:val="00F66ACB"/>
    <w:rsid w:val="00F66D05"/>
    <w:rsid w:val="00F66F6A"/>
    <w:rsid w:val="00F670E4"/>
    <w:rsid w:val="00F67573"/>
    <w:rsid w:val="00F675C7"/>
    <w:rsid w:val="00F67BDB"/>
    <w:rsid w:val="00F67C42"/>
    <w:rsid w:val="00F67D78"/>
    <w:rsid w:val="00F67D80"/>
    <w:rsid w:val="00F701A3"/>
    <w:rsid w:val="00F7065C"/>
    <w:rsid w:val="00F70C61"/>
    <w:rsid w:val="00F70CAD"/>
    <w:rsid w:val="00F70CB5"/>
    <w:rsid w:val="00F70F12"/>
    <w:rsid w:val="00F714CF"/>
    <w:rsid w:val="00F71747"/>
    <w:rsid w:val="00F718B3"/>
    <w:rsid w:val="00F718C1"/>
    <w:rsid w:val="00F718FC"/>
    <w:rsid w:val="00F71B92"/>
    <w:rsid w:val="00F71D64"/>
    <w:rsid w:val="00F71FEB"/>
    <w:rsid w:val="00F72115"/>
    <w:rsid w:val="00F72248"/>
    <w:rsid w:val="00F723D6"/>
    <w:rsid w:val="00F72459"/>
    <w:rsid w:val="00F726A8"/>
    <w:rsid w:val="00F72712"/>
    <w:rsid w:val="00F72858"/>
    <w:rsid w:val="00F72865"/>
    <w:rsid w:val="00F729F2"/>
    <w:rsid w:val="00F72F4B"/>
    <w:rsid w:val="00F72FBC"/>
    <w:rsid w:val="00F73253"/>
    <w:rsid w:val="00F7374F"/>
    <w:rsid w:val="00F7376D"/>
    <w:rsid w:val="00F73872"/>
    <w:rsid w:val="00F738A0"/>
    <w:rsid w:val="00F73A78"/>
    <w:rsid w:val="00F73AD5"/>
    <w:rsid w:val="00F73BE3"/>
    <w:rsid w:val="00F73EC8"/>
    <w:rsid w:val="00F73FB7"/>
    <w:rsid w:val="00F73FE7"/>
    <w:rsid w:val="00F74014"/>
    <w:rsid w:val="00F744E1"/>
    <w:rsid w:val="00F74CAC"/>
    <w:rsid w:val="00F74F9F"/>
    <w:rsid w:val="00F750B3"/>
    <w:rsid w:val="00F75331"/>
    <w:rsid w:val="00F7592A"/>
    <w:rsid w:val="00F75AFE"/>
    <w:rsid w:val="00F75F6E"/>
    <w:rsid w:val="00F762B9"/>
    <w:rsid w:val="00F763A2"/>
    <w:rsid w:val="00F766FC"/>
    <w:rsid w:val="00F767DB"/>
    <w:rsid w:val="00F767EF"/>
    <w:rsid w:val="00F76803"/>
    <w:rsid w:val="00F76B8C"/>
    <w:rsid w:val="00F76C21"/>
    <w:rsid w:val="00F770FE"/>
    <w:rsid w:val="00F77305"/>
    <w:rsid w:val="00F77482"/>
    <w:rsid w:val="00F779F5"/>
    <w:rsid w:val="00F77A6C"/>
    <w:rsid w:val="00F77B19"/>
    <w:rsid w:val="00F77BE0"/>
    <w:rsid w:val="00F77D58"/>
    <w:rsid w:val="00F77D75"/>
    <w:rsid w:val="00F77E7E"/>
    <w:rsid w:val="00F77F83"/>
    <w:rsid w:val="00F80146"/>
    <w:rsid w:val="00F80267"/>
    <w:rsid w:val="00F802D3"/>
    <w:rsid w:val="00F80391"/>
    <w:rsid w:val="00F805BD"/>
    <w:rsid w:val="00F809D7"/>
    <w:rsid w:val="00F80A4D"/>
    <w:rsid w:val="00F80C53"/>
    <w:rsid w:val="00F80C54"/>
    <w:rsid w:val="00F80E87"/>
    <w:rsid w:val="00F80EC6"/>
    <w:rsid w:val="00F80F2A"/>
    <w:rsid w:val="00F80FEE"/>
    <w:rsid w:val="00F81171"/>
    <w:rsid w:val="00F81269"/>
    <w:rsid w:val="00F81EA6"/>
    <w:rsid w:val="00F81F56"/>
    <w:rsid w:val="00F820C5"/>
    <w:rsid w:val="00F82102"/>
    <w:rsid w:val="00F822D8"/>
    <w:rsid w:val="00F82419"/>
    <w:rsid w:val="00F8251C"/>
    <w:rsid w:val="00F827E2"/>
    <w:rsid w:val="00F827FC"/>
    <w:rsid w:val="00F82930"/>
    <w:rsid w:val="00F82B08"/>
    <w:rsid w:val="00F82D0B"/>
    <w:rsid w:val="00F830E9"/>
    <w:rsid w:val="00F833D4"/>
    <w:rsid w:val="00F836BA"/>
    <w:rsid w:val="00F83820"/>
    <w:rsid w:val="00F83B4E"/>
    <w:rsid w:val="00F84179"/>
    <w:rsid w:val="00F8452B"/>
    <w:rsid w:val="00F846C0"/>
    <w:rsid w:val="00F84735"/>
    <w:rsid w:val="00F84E8D"/>
    <w:rsid w:val="00F85131"/>
    <w:rsid w:val="00F8539D"/>
    <w:rsid w:val="00F85723"/>
    <w:rsid w:val="00F859FB"/>
    <w:rsid w:val="00F85AF2"/>
    <w:rsid w:val="00F85BAB"/>
    <w:rsid w:val="00F85CD5"/>
    <w:rsid w:val="00F864CF"/>
    <w:rsid w:val="00F86753"/>
    <w:rsid w:val="00F8686F"/>
    <w:rsid w:val="00F86967"/>
    <w:rsid w:val="00F86DBB"/>
    <w:rsid w:val="00F86F7F"/>
    <w:rsid w:val="00F87062"/>
    <w:rsid w:val="00F870A7"/>
    <w:rsid w:val="00F8743D"/>
    <w:rsid w:val="00F874C1"/>
    <w:rsid w:val="00F8757B"/>
    <w:rsid w:val="00F877AA"/>
    <w:rsid w:val="00F87919"/>
    <w:rsid w:val="00F879B7"/>
    <w:rsid w:val="00F87B1D"/>
    <w:rsid w:val="00F87DD6"/>
    <w:rsid w:val="00F90093"/>
    <w:rsid w:val="00F901DA"/>
    <w:rsid w:val="00F906B6"/>
    <w:rsid w:val="00F906DD"/>
    <w:rsid w:val="00F90887"/>
    <w:rsid w:val="00F90A48"/>
    <w:rsid w:val="00F90B40"/>
    <w:rsid w:val="00F90B57"/>
    <w:rsid w:val="00F90C1C"/>
    <w:rsid w:val="00F90C4E"/>
    <w:rsid w:val="00F90C54"/>
    <w:rsid w:val="00F90E3F"/>
    <w:rsid w:val="00F90F0B"/>
    <w:rsid w:val="00F90F4E"/>
    <w:rsid w:val="00F91102"/>
    <w:rsid w:val="00F913BF"/>
    <w:rsid w:val="00F914B7"/>
    <w:rsid w:val="00F916B5"/>
    <w:rsid w:val="00F91918"/>
    <w:rsid w:val="00F919C4"/>
    <w:rsid w:val="00F91C9F"/>
    <w:rsid w:val="00F91E6B"/>
    <w:rsid w:val="00F91F6B"/>
    <w:rsid w:val="00F920CB"/>
    <w:rsid w:val="00F923B5"/>
    <w:rsid w:val="00F9250D"/>
    <w:rsid w:val="00F92575"/>
    <w:rsid w:val="00F92A7F"/>
    <w:rsid w:val="00F92AE7"/>
    <w:rsid w:val="00F93053"/>
    <w:rsid w:val="00F9357B"/>
    <w:rsid w:val="00F93620"/>
    <w:rsid w:val="00F937CB"/>
    <w:rsid w:val="00F93B14"/>
    <w:rsid w:val="00F93CA0"/>
    <w:rsid w:val="00F93FFE"/>
    <w:rsid w:val="00F9407D"/>
    <w:rsid w:val="00F941DA"/>
    <w:rsid w:val="00F942AC"/>
    <w:rsid w:val="00F94500"/>
    <w:rsid w:val="00F945C5"/>
    <w:rsid w:val="00F945C8"/>
    <w:rsid w:val="00F94690"/>
    <w:rsid w:val="00F946BA"/>
    <w:rsid w:val="00F957DD"/>
    <w:rsid w:val="00F95B03"/>
    <w:rsid w:val="00F95D52"/>
    <w:rsid w:val="00F960C9"/>
    <w:rsid w:val="00F963C3"/>
    <w:rsid w:val="00F96411"/>
    <w:rsid w:val="00F9691B"/>
    <w:rsid w:val="00F96ACA"/>
    <w:rsid w:val="00F96B40"/>
    <w:rsid w:val="00F96D51"/>
    <w:rsid w:val="00F96DD3"/>
    <w:rsid w:val="00F96EF1"/>
    <w:rsid w:val="00F96FA1"/>
    <w:rsid w:val="00F9721F"/>
    <w:rsid w:val="00F972F6"/>
    <w:rsid w:val="00F97363"/>
    <w:rsid w:val="00F9788E"/>
    <w:rsid w:val="00F97AAB"/>
    <w:rsid w:val="00F97B4E"/>
    <w:rsid w:val="00F97FF6"/>
    <w:rsid w:val="00FA02B2"/>
    <w:rsid w:val="00FA0306"/>
    <w:rsid w:val="00FA0346"/>
    <w:rsid w:val="00FA0CEB"/>
    <w:rsid w:val="00FA0ECC"/>
    <w:rsid w:val="00FA10CF"/>
    <w:rsid w:val="00FA1479"/>
    <w:rsid w:val="00FA14A3"/>
    <w:rsid w:val="00FA1BF5"/>
    <w:rsid w:val="00FA1E7A"/>
    <w:rsid w:val="00FA2219"/>
    <w:rsid w:val="00FA222F"/>
    <w:rsid w:val="00FA2370"/>
    <w:rsid w:val="00FA243C"/>
    <w:rsid w:val="00FA2460"/>
    <w:rsid w:val="00FA25CD"/>
    <w:rsid w:val="00FA2705"/>
    <w:rsid w:val="00FA2737"/>
    <w:rsid w:val="00FA2A2A"/>
    <w:rsid w:val="00FA2D97"/>
    <w:rsid w:val="00FA31D1"/>
    <w:rsid w:val="00FA3627"/>
    <w:rsid w:val="00FA374B"/>
    <w:rsid w:val="00FA3A54"/>
    <w:rsid w:val="00FA3D05"/>
    <w:rsid w:val="00FA3E3C"/>
    <w:rsid w:val="00FA3EED"/>
    <w:rsid w:val="00FA4486"/>
    <w:rsid w:val="00FA4553"/>
    <w:rsid w:val="00FA46AA"/>
    <w:rsid w:val="00FA49CB"/>
    <w:rsid w:val="00FA4A49"/>
    <w:rsid w:val="00FA4A87"/>
    <w:rsid w:val="00FA4D8F"/>
    <w:rsid w:val="00FA566E"/>
    <w:rsid w:val="00FA56CC"/>
    <w:rsid w:val="00FA578A"/>
    <w:rsid w:val="00FA58DE"/>
    <w:rsid w:val="00FA5E18"/>
    <w:rsid w:val="00FA5E41"/>
    <w:rsid w:val="00FA6032"/>
    <w:rsid w:val="00FA621C"/>
    <w:rsid w:val="00FA643C"/>
    <w:rsid w:val="00FA64DC"/>
    <w:rsid w:val="00FA652D"/>
    <w:rsid w:val="00FA6893"/>
    <w:rsid w:val="00FA69BE"/>
    <w:rsid w:val="00FA6DA3"/>
    <w:rsid w:val="00FA6DCC"/>
    <w:rsid w:val="00FA6E4B"/>
    <w:rsid w:val="00FA7059"/>
    <w:rsid w:val="00FA738B"/>
    <w:rsid w:val="00FA7416"/>
    <w:rsid w:val="00FA7535"/>
    <w:rsid w:val="00FA7719"/>
    <w:rsid w:val="00FA7DD2"/>
    <w:rsid w:val="00FA7ED3"/>
    <w:rsid w:val="00FA7EE9"/>
    <w:rsid w:val="00FB0004"/>
    <w:rsid w:val="00FB04D9"/>
    <w:rsid w:val="00FB0685"/>
    <w:rsid w:val="00FB0A0C"/>
    <w:rsid w:val="00FB100B"/>
    <w:rsid w:val="00FB128A"/>
    <w:rsid w:val="00FB13C4"/>
    <w:rsid w:val="00FB1402"/>
    <w:rsid w:val="00FB1410"/>
    <w:rsid w:val="00FB1883"/>
    <w:rsid w:val="00FB1916"/>
    <w:rsid w:val="00FB194A"/>
    <w:rsid w:val="00FB1CEC"/>
    <w:rsid w:val="00FB1F01"/>
    <w:rsid w:val="00FB239D"/>
    <w:rsid w:val="00FB23EB"/>
    <w:rsid w:val="00FB24A0"/>
    <w:rsid w:val="00FB26C8"/>
    <w:rsid w:val="00FB2775"/>
    <w:rsid w:val="00FB2899"/>
    <w:rsid w:val="00FB2915"/>
    <w:rsid w:val="00FB2E5B"/>
    <w:rsid w:val="00FB2EC2"/>
    <w:rsid w:val="00FB2ECC"/>
    <w:rsid w:val="00FB315A"/>
    <w:rsid w:val="00FB3272"/>
    <w:rsid w:val="00FB372B"/>
    <w:rsid w:val="00FB3B45"/>
    <w:rsid w:val="00FB3ED3"/>
    <w:rsid w:val="00FB3F54"/>
    <w:rsid w:val="00FB42AF"/>
    <w:rsid w:val="00FB42B0"/>
    <w:rsid w:val="00FB42EE"/>
    <w:rsid w:val="00FB4395"/>
    <w:rsid w:val="00FB445D"/>
    <w:rsid w:val="00FB49B7"/>
    <w:rsid w:val="00FB510D"/>
    <w:rsid w:val="00FB51B0"/>
    <w:rsid w:val="00FB55B7"/>
    <w:rsid w:val="00FB5698"/>
    <w:rsid w:val="00FB5A93"/>
    <w:rsid w:val="00FB5B3E"/>
    <w:rsid w:val="00FB5BB2"/>
    <w:rsid w:val="00FB5C81"/>
    <w:rsid w:val="00FB620D"/>
    <w:rsid w:val="00FB674E"/>
    <w:rsid w:val="00FB695D"/>
    <w:rsid w:val="00FB6B7C"/>
    <w:rsid w:val="00FB6F84"/>
    <w:rsid w:val="00FB7A1E"/>
    <w:rsid w:val="00FB7AD9"/>
    <w:rsid w:val="00FB7B4E"/>
    <w:rsid w:val="00FB7C40"/>
    <w:rsid w:val="00FC0198"/>
    <w:rsid w:val="00FC0281"/>
    <w:rsid w:val="00FC02ED"/>
    <w:rsid w:val="00FC05EA"/>
    <w:rsid w:val="00FC0873"/>
    <w:rsid w:val="00FC0925"/>
    <w:rsid w:val="00FC0F96"/>
    <w:rsid w:val="00FC13E0"/>
    <w:rsid w:val="00FC1400"/>
    <w:rsid w:val="00FC1789"/>
    <w:rsid w:val="00FC17BF"/>
    <w:rsid w:val="00FC1E0A"/>
    <w:rsid w:val="00FC1F8D"/>
    <w:rsid w:val="00FC21FA"/>
    <w:rsid w:val="00FC23F5"/>
    <w:rsid w:val="00FC2484"/>
    <w:rsid w:val="00FC2645"/>
    <w:rsid w:val="00FC27A2"/>
    <w:rsid w:val="00FC2AD5"/>
    <w:rsid w:val="00FC2AF5"/>
    <w:rsid w:val="00FC2D97"/>
    <w:rsid w:val="00FC2F62"/>
    <w:rsid w:val="00FC30D4"/>
    <w:rsid w:val="00FC3132"/>
    <w:rsid w:val="00FC3206"/>
    <w:rsid w:val="00FC33D0"/>
    <w:rsid w:val="00FC346E"/>
    <w:rsid w:val="00FC3676"/>
    <w:rsid w:val="00FC3F6A"/>
    <w:rsid w:val="00FC4044"/>
    <w:rsid w:val="00FC423B"/>
    <w:rsid w:val="00FC4317"/>
    <w:rsid w:val="00FC47EE"/>
    <w:rsid w:val="00FC49B8"/>
    <w:rsid w:val="00FC4C36"/>
    <w:rsid w:val="00FC4DFC"/>
    <w:rsid w:val="00FC5022"/>
    <w:rsid w:val="00FC5489"/>
    <w:rsid w:val="00FC5790"/>
    <w:rsid w:val="00FC5803"/>
    <w:rsid w:val="00FC5995"/>
    <w:rsid w:val="00FC5DE8"/>
    <w:rsid w:val="00FC60D3"/>
    <w:rsid w:val="00FC6281"/>
    <w:rsid w:val="00FC6331"/>
    <w:rsid w:val="00FC64D5"/>
    <w:rsid w:val="00FC6745"/>
    <w:rsid w:val="00FC6847"/>
    <w:rsid w:val="00FC6BFE"/>
    <w:rsid w:val="00FC726D"/>
    <w:rsid w:val="00FC7340"/>
    <w:rsid w:val="00FC74CA"/>
    <w:rsid w:val="00FC78FC"/>
    <w:rsid w:val="00FC7C32"/>
    <w:rsid w:val="00FC7DF8"/>
    <w:rsid w:val="00FC7E85"/>
    <w:rsid w:val="00FC7F16"/>
    <w:rsid w:val="00FD00F0"/>
    <w:rsid w:val="00FD0865"/>
    <w:rsid w:val="00FD0ABB"/>
    <w:rsid w:val="00FD0B21"/>
    <w:rsid w:val="00FD0FF8"/>
    <w:rsid w:val="00FD10F8"/>
    <w:rsid w:val="00FD114C"/>
    <w:rsid w:val="00FD1732"/>
    <w:rsid w:val="00FD17A8"/>
    <w:rsid w:val="00FD198B"/>
    <w:rsid w:val="00FD20AA"/>
    <w:rsid w:val="00FD2295"/>
    <w:rsid w:val="00FD2423"/>
    <w:rsid w:val="00FD2468"/>
    <w:rsid w:val="00FD2B30"/>
    <w:rsid w:val="00FD2D7E"/>
    <w:rsid w:val="00FD2E74"/>
    <w:rsid w:val="00FD31CB"/>
    <w:rsid w:val="00FD33F0"/>
    <w:rsid w:val="00FD34A6"/>
    <w:rsid w:val="00FD36DB"/>
    <w:rsid w:val="00FD3807"/>
    <w:rsid w:val="00FD38D3"/>
    <w:rsid w:val="00FD3B9B"/>
    <w:rsid w:val="00FD3CF3"/>
    <w:rsid w:val="00FD3E25"/>
    <w:rsid w:val="00FD3F32"/>
    <w:rsid w:val="00FD4162"/>
    <w:rsid w:val="00FD42C4"/>
    <w:rsid w:val="00FD4726"/>
    <w:rsid w:val="00FD476C"/>
    <w:rsid w:val="00FD48AA"/>
    <w:rsid w:val="00FD4C86"/>
    <w:rsid w:val="00FD4DAA"/>
    <w:rsid w:val="00FD4E9D"/>
    <w:rsid w:val="00FD522B"/>
    <w:rsid w:val="00FD5415"/>
    <w:rsid w:val="00FD559B"/>
    <w:rsid w:val="00FD55ED"/>
    <w:rsid w:val="00FD57AD"/>
    <w:rsid w:val="00FD59D4"/>
    <w:rsid w:val="00FD5BC5"/>
    <w:rsid w:val="00FD5E07"/>
    <w:rsid w:val="00FD661F"/>
    <w:rsid w:val="00FD689E"/>
    <w:rsid w:val="00FD69CB"/>
    <w:rsid w:val="00FD6C39"/>
    <w:rsid w:val="00FD6EAF"/>
    <w:rsid w:val="00FD6ECF"/>
    <w:rsid w:val="00FD713B"/>
    <w:rsid w:val="00FD759C"/>
    <w:rsid w:val="00FD7DBB"/>
    <w:rsid w:val="00FD7E2F"/>
    <w:rsid w:val="00FD7F1D"/>
    <w:rsid w:val="00FD7FC4"/>
    <w:rsid w:val="00FE049D"/>
    <w:rsid w:val="00FE06D9"/>
    <w:rsid w:val="00FE07D5"/>
    <w:rsid w:val="00FE07FE"/>
    <w:rsid w:val="00FE0A4E"/>
    <w:rsid w:val="00FE0AD0"/>
    <w:rsid w:val="00FE0B5D"/>
    <w:rsid w:val="00FE1111"/>
    <w:rsid w:val="00FE1200"/>
    <w:rsid w:val="00FE12C1"/>
    <w:rsid w:val="00FE131C"/>
    <w:rsid w:val="00FE1550"/>
    <w:rsid w:val="00FE15D5"/>
    <w:rsid w:val="00FE1AC4"/>
    <w:rsid w:val="00FE1BD3"/>
    <w:rsid w:val="00FE24F9"/>
    <w:rsid w:val="00FE2782"/>
    <w:rsid w:val="00FE27B7"/>
    <w:rsid w:val="00FE2906"/>
    <w:rsid w:val="00FE2912"/>
    <w:rsid w:val="00FE2BAB"/>
    <w:rsid w:val="00FE2C92"/>
    <w:rsid w:val="00FE2DF6"/>
    <w:rsid w:val="00FE2EE5"/>
    <w:rsid w:val="00FE30BA"/>
    <w:rsid w:val="00FE33A2"/>
    <w:rsid w:val="00FE341A"/>
    <w:rsid w:val="00FE35B9"/>
    <w:rsid w:val="00FE39BC"/>
    <w:rsid w:val="00FE3A06"/>
    <w:rsid w:val="00FE3B41"/>
    <w:rsid w:val="00FE3BEF"/>
    <w:rsid w:val="00FE3E2F"/>
    <w:rsid w:val="00FE3F07"/>
    <w:rsid w:val="00FE409E"/>
    <w:rsid w:val="00FE440C"/>
    <w:rsid w:val="00FE443B"/>
    <w:rsid w:val="00FE44A5"/>
    <w:rsid w:val="00FE45A4"/>
    <w:rsid w:val="00FE45D3"/>
    <w:rsid w:val="00FE49D0"/>
    <w:rsid w:val="00FE5227"/>
    <w:rsid w:val="00FE54B7"/>
    <w:rsid w:val="00FE5670"/>
    <w:rsid w:val="00FE58BE"/>
    <w:rsid w:val="00FE58E2"/>
    <w:rsid w:val="00FE5A15"/>
    <w:rsid w:val="00FE5CDF"/>
    <w:rsid w:val="00FE6010"/>
    <w:rsid w:val="00FE626D"/>
    <w:rsid w:val="00FE647D"/>
    <w:rsid w:val="00FE659E"/>
    <w:rsid w:val="00FE65A4"/>
    <w:rsid w:val="00FE67E0"/>
    <w:rsid w:val="00FE67EB"/>
    <w:rsid w:val="00FE6A92"/>
    <w:rsid w:val="00FE6AF6"/>
    <w:rsid w:val="00FE6CEE"/>
    <w:rsid w:val="00FE6F4A"/>
    <w:rsid w:val="00FE708E"/>
    <w:rsid w:val="00FE71B1"/>
    <w:rsid w:val="00FE7264"/>
    <w:rsid w:val="00FE7B6D"/>
    <w:rsid w:val="00FE7E77"/>
    <w:rsid w:val="00FF00BE"/>
    <w:rsid w:val="00FF02A9"/>
    <w:rsid w:val="00FF035C"/>
    <w:rsid w:val="00FF0C53"/>
    <w:rsid w:val="00FF1E84"/>
    <w:rsid w:val="00FF2164"/>
    <w:rsid w:val="00FF225F"/>
    <w:rsid w:val="00FF27E2"/>
    <w:rsid w:val="00FF2924"/>
    <w:rsid w:val="00FF2D23"/>
    <w:rsid w:val="00FF2E81"/>
    <w:rsid w:val="00FF30F5"/>
    <w:rsid w:val="00FF315A"/>
    <w:rsid w:val="00FF3192"/>
    <w:rsid w:val="00FF3418"/>
    <w:rsid w:val="00FF3AEB"/>
    <w:rsid w:val="00FF3DBD"/>
    <w:rsid w:val="00FF4293"/>
    <w:rsid w:val="00FF42D4"/>
    <w:rsid w:val="00FF4526"/>
    <w:rsid w:val="00FF45DA"/>
    <w:rsid w:val="00FF466B"/>
    <w:rsid w:val="00FF4679"/>
    <w:rsid w:val="00FF49FF"/>
    <w:rsid w:val="00FF4B36"/>
    <w:rsid w:val="00FF4D0C"/>
    <w:rsid w:val="00FF5110"/>
    <w:rsid w:val="00FF518D"/>
    <w:rsid w:val="00FF5437"/>
    <w:rsid w:val="00FF5714"/>
    <w:rsid w:val="00FF5A7D"/>
    <w:rsid w:val="00FF5A7E"/>
    <w:rsid w:val="00FF5C78"/>
    <w:rsid w:val="00FF5CCE"/>
    <w:rsid w:val="00FF5D48"/>
    <w:rsid w:val="00FF5DCA"/>
    <w:rsid w:val="00FF5F1F"/>
    <w:rsid w:val="00FF609D"/>
    <w:rsid w:val="00FF6C48"/>
    <w:rsid w:val="00FF6CE9"/>
    <w:rsid w:val="00FF6D4A"/>
    <w:rsid w:val="00FF6F66"/>
    <w:rsid w:val="00FF6FF6"/>
    <w:rsid w:val="00FF7878"/>
    <w:rsid w:val="00FF78B3"/>
    <w:rsid w:val="00FF7BD4"/>
    <w:rsid w:val="00FF7C7C"/>
    <w:rsid w:val="010BFEEF"/>
    <w:rsid w:val="010D5A36"/>
    <w:rsid w:val="010DF6AD"/>
    <w:rsid w:val="01121BA0"/>
    <w:rsid w:val="0112AFAD"/>
    <w:rsid w:val="013028EF"/>
    <w:rsid w:val="0130D99E"/>
    <w:rsid w:val="01319360"/>
    <w:rsid w:val="01354803"/>
    <w:rsid w:val="01371B68"/>
    <w:rsid w:val="014360B5"/>
    <w:rsid w:val="01439C06"/>
    <w:rsid w:val="014E647E"/>
    <w:rsid w:val="0159B94D"/>
    <w:rsid w:val="016A3353"/>
    <w:rsid w:val="01938715"/>
    <w:rsid w:val="0193D5F9"/>
    <w:rsid w:val="01C9FA6F"/>
    <w:rsid w:val="01D6DBB2"/>
    <w:rsid w:val="01E47819"/>
    <w:rsid w:val="01ED69AF"/>
    <w:rsid w:val="01EE9C23"/>
    <w:rsid w:val="01F08BE4"/>
    <w:rsid w:val="01F34C8F"/>
    <w:rsid w:val="01FA016E"/>
    <w:rsid w:val="01FAA375"/>
    <w:rsid w:val="01FDE030"/>
    <w:rsid w:val="0200CC89"/>
    <w:rsid w:val="023CD9EB"/>
    <w:rsid w:val="024D7C40"/>
    <w:rsid w:val="02521AF3"/>
    <w:rsid w:val="026D8498"/>
    <w:rsid w:val="027AC279"/>
    <w:rsid w:val="027D9185"/>
    <w:rsid w:val="027EC0EF"/>
    <w:rsid w:val="0295A528"/>
    <w:rsid w:val="029650C5"/>
    <w:rsid w:val="02982E6A"/>
    <w:rsid w:val="029975D3"/>
    <w:rsid w:val="02A641E8"/>
    <w:rsid w:val="02A88EA3"/>
    <w:rsid w:val="02B18446"/>
    <w:rsid w:val="02C4F4C4"/>
    <w:rsid w:val="02D56432"/>
    <w:rsid w:val="02F076A0"/>
    <w:rsid w:val="02F29DCE"/>
    <w:rsid w:val="02F6640F"/>
    <w:rsid w:val="02F6F6EC"/>
    <w:rsid w:val="02FFBD3C"/>
    <w:rsid w:val="03001712"/>
    <w:rsid w:val="030E53FB"/>
    <w:rsid w:val="031056DF"/>
    <w:rsid w:val="03133ED3"/>
    <w:rsid w:val="031B9DC8"/>
    <w:rsid w:val="031E39C9"/>
    <w:rsid w:val="032190D9"/>
    <w:rsid w:val="03251E86"/>
    <w:rsid w:val="03288237"/>
    <w:rsid w:val="0338D3BB"/>
    <w:rsid w:val="033980D1"/>
    <w:rsid w:val="033B1847"/>
    <w:rsid w:val="034292B2"/>
    <w:rsid w:val="034BAC63"/>
    <w:rsid w:val="03628C3A"/>
    <w:rsid w:val="036B6E9B"/>
    <w:rsid w:val="0371FD39"/>
    <w:rsid w:val="0392515A"/>
    <w:rsid w:val="039C682C"/>
    <w:rsid w:val="03A42085"/>
    <w:rsid w:val="03AA500E"/>
    <w:rsid w:val="03CA62C8"/>
    <w:rsid w:val="03CE2212"/>
    <w:rsid w:val="03DD87B9"/>
    <w:rsid w:val="03E283B6"/>
    <w:rsid w:val="03E6C921"/>
    <w:rsid w:val="03F6BD3F"/>
    <w:rsid w:val="0407A9EF"/>
    <w:rsid w:val="040D55E6"/>
    <w:rsid w:val="04167161"/>
    <w:rsid w:val="041E749D"/>
    <w:rsid w:val="042483F0"/>
    <w:rsid w:val="04257132"/>
    <w:rsid w:val="0428F7F8"/>
    <w:rsid w:val="0433A8F6"/>
    <w:rsid w:val="04386CDD"/>
    <w:rsid w:val="043D8CCE"/>
    <w:rsid w:val="043E8CBC"/>
    <w:rsid w:val="04410CAB"/>
    <w:rsid w:val="0448D607"/>
    <w:rsid w:val="0450F8E8"/>
    <w:rsid w:val="0451A9F2"/>
    <w:rsid w:val="04520098"/>
    <w:rsid w:val="0460560B"/>
    <w:rsid w:val="046546F6"/>
    <w:rsid w:val="0470061F"/>
    <w:rsid w:val="047E25FF"/>
    <w:rsid w:val="04897EC1"/>
    <w:rsid w:val="048B46E2"/>
    <w:rsid w:val="049CB4A9"/>
    <w:rsid w:val="049E80E4"/>
    <w:rsid w:val="04A3046B"/>
    <w:rsid w:val="04A79F4C"/>
    <w:rsid w:val="04B75BD5"/>
    <w:rsid w:val="04BB57A1"/>
    <w:rsid w:val="04C48554"/>
    <w:rsid w:val="04C7209D"/>
    <w:rsid w:val="04E3F9CA"/>
    <w:rsid w:val="0501A723"/>
    <w:rsid w:val="0513087B"/>
    <w:rsid w:val="051630FE"/>
    <w:rsid w:val="0518DA99"/>
    <w:rsid w:val="051A0A57"/>
    <w:rsid w:val="051A6913"/>
    <w:rsid w:val="0529E1B7"/>
    <w:rsid w:val="052D6022"/>
    <w:rsid w:val="05314821"/>
    <w:rsid w:val="053FECCA"/>
    <w:rsid w:val="05590CF0"/>
    <w:rsid w:val="05621859"/>
    <w:rsid w:val="056F83DA"/>
    <w:rsid w:val="0579245D"/>
    <w:rsid w:val="0583F120"/>
    <w:rsid w:val="0588C18F"/>
    <w:rsid w:val="058A662C"/>
    <w:rsid w:val="058CDDC0"/>
    <w:rsid w:val="05A47A72"/>
    <w:rsid w:val="05AE13D9"/>
    <w:rsid w:val="05C82258"/>
    <w:rsid w:val="05CE3307"/>
    <w:rsid w:val="05D81841"/>
    <w:rsid w:val="05D9B944"/>
    <w:rsid w:val="05DD4234"/>
    <w:rsid w:val="05E5CA40"/>
    <w:rsid w:val="05F04845"/>
    <w:rsid w:val="05F2859B"/>
    <w:rsid w:val="0610CEB2"/>
    <w:rsid w:val="061763B2"/>
    <w:rsid w:val="062B159D"/>
    <w:rsid w:val="063753D0"/>
    <w:rsid w:val="063A82A0"/>
    <w:rsid w:val="063DF1B1"/>
    <w:rsid w:val="063E7441"/>
    <w:rsid w:val="063E8692"/>
    <w:rsid w:val="064A1078"/>
    <w:rsid w:val="064A973B"/>
    <w:rsid w:val="0663DC43"/>
    <w:rsid w:val="06649723"/>
    <w:rsid w:val="066738CD"/>
    <w:rsid w:val="067B7D97"/>
    <w:rsid w:val="0692ED4C"/>
    <w:rsid w:val="06946738"/>
    <w:rsid w:val="06993CA7"/>
    <w:rsid w:val="069FC793"/>
    <w:rsid w:val="06B49E11"/>
    <w:rsid w:val="06B7CD4C"/>
    <w:rsid w:val="06BF92C0"/>
    <w:rsid w:val="06C2F4D3"/>
    <w:rsid w:val="06D30CCF"/>
    <w:rsid w:val="06D46E90"/>
    <w:rsid w:val="06D6715A"/>
    <w:rsid w:val="06DC30BF"/>
    <w:rsid w:val="06EE26A6"/>
    <w:rsid w:val="0700C907"/>
    <w:rsid w:val="070527E5"/>
    <w:rsid w:val="0721BB3A"/>
    <w:rsid w:val="0721C8E9"/>
    <w:rsid w:val="073E2025"/>
    <w:rsid w:val="07453E94"/>
    <w:rsid w:val="0749D015"/>
    <w:rsid w:val="074BC053"/>
    <w:rsid w:val="0755D770"/>
    <w:rsid w:val="075F74EA"/>
    <w:rsid w:val="0764339E"/>
    <w:rsid w:val="07741F39"/>
    <w:rsid w:val="07743C09"/>
    <w:rsid w:val="0776D350"/>
    <w:rsid w:val="077A0541"/>
    <w:rsid w:val="077C47AB"/>
    <w:rsid w:val="077F16A5"/>
    <w:rsid w:val="0783DE97"/>
    <w:rsid w:val="079ACE5F"/>
    <w:rsid w:val="07A4624A"/>
    <w:rsid w:val="07A94688"/>
    <w:rsid w:val="07AAC585"/>
    <w:rsid w:val="07ABCB01"/>
    <w:rsid w:val="07B6C274"/>
    <w:rsid w:val="07CCF644"/>
    <w:rsid w:val="07D56DF2"/>
    <w:rsid w:val="07DB423F"/>
    <w:rsid w:val="07EFFF49"/>
    <w:rsid w:val="08007292"/>
    <w:rsid w:val="080BBB1E"/>
    <w:rsid w:val="0816ED93"/>
    <w:rsid w:val="081B039B"/>
    <w:rsid w:val="081CAC02"/>
    <w:rsid w:val="08226718"/>
    <w:rsid w:val="0830CB29"/>
    <w:rsid w:val="083B3350"/>
    <w:rsid w:val="084F507E"/>
    <w:rsid w:val="0863C98D"/>
    <w:rsid w:val="08657F1D"/>
    <w:rsid w:val="0865ACC7"/>
    <w:rsid w:val="08736062"/>
    <w:rsid w:val="0877CEA5"/>
    <w:rsid w:val="087D9A89"/>
    <w:rsid w:val="088AEA69"/>
    <w:rsid w:val="088C4854"/>
    <w:rsid w:val="0890256F"/>
    <w:rsid w:val="08A61C6F"/>
    <w:rsid w:val="08B95E5E"/>
    <w:rsid w:val="08BA7592"/>
    <w:rsid w:val="08DAC888"/>
    <w:rsid w:val="08F2CAC9"/>
    <w:rsid w:val="0902D563"/>
    <w:rsid w:val="0904A742"/>
    <w:rsid w:val="090552C0"/>
    <w:rsid w:val="09080214"/>
    <w:rsid w:val="0908AC23"/>
    <w:rsid w:val="090DC48B"/>
    <w:rsid w:val="0914D1E4"/>
    <w:rsid w:val="09190F60"/>
    <w:rsid w:val="092165BF"/>
    <w:rsid w:val="0921C894"/>
    <w:rsid w:val="0924233E"/>
    <w:rsid w:val="0926B98C"/>
    <w:rsid w:val="092FAE54"/>
    <w:rsid w:val="0933EBE8"/>
    <w:rsid w:val="094A50AC"/>
    <w:rsid w:val="094A9CD5"/>
    <w:rsid w:val="094C600F"/>
    <w:rsid w:val="094E7755"/>
    <w:rsid w:val="0953EC2E"/>
    <w:rsid w:val="0960B6E2"/>
    <w:rsid w:val="09763943"/>
    <w:rsid w:val="09A10A2C"/>
    <w:rsid w:val="09A8A205"/>
    <w:rsid w:val="09AEEC25"/>
    <w:rsid w:val="09AF7905"/>
    <w:rsid w:val="09B6CBFD"/>
    <w:rsid w:val="09B9A138"/>
    <w:rsid w:val="09D09079"/>
    <w:rsid w:val="09E0F84A"/>
    <w:rsid w:val="09E24244"/>
    <w:rsid w:val="09F42A77"/>
    <w:rsid w:val="09FB0DF1"/>
    <w:rsid w:val="0A0992AC"/>
    <w:rsid w:val="0A0A593D"/>
    <w:rsid w:val="0A0BC966"/>
    <w:rsid w:val="0A0E414C"/>
    <w:rsid w:val="0A128F84"/>
    <w:rsid w:val="0A1749BB"/>
    <w:rsid w:val="0A2B01F0"/>
    <w:rsid w:val="0A2D7467"/>
    <w:rsid w:val="0A378478"/>
    <w:rsid w:val="0A3C2D96"/>
    <w:rsid w:val="0A3F2E2B"/>
    <w:rsid w:val="0A4EE31A"/>
    <w:rsid w:val="0A52094B"/>
    <w:rsid w:val="0A578673"/>
    <w:rsid w:val="0A664E64"/>
    <w:rsid w:val="0A915043"/>
    <w:rsid w:val="0A91EC2F"/>
    <w:rsid w:val="0A93BF36"/>
    <w:rsid w:val="0A950DAB"/>
    <w:rsid w:val="0ABC887F"/>
    <w:rsid w:val="0AC02CDB"/>
    <w:rsid w:val="0AC22AE0"/>
    <w:rsid w:val="0ACA48C4"/>
    <w:rsid w:val="0AD48EBD"/>
    <w:rsid w:val="0AF2D795"/>
    <w:rsid w:val="0B0A9A43"/>
    <w:rsid w:val="0B0B4102"/>
    <w:rsid w:val="0B0C8720"/>
    <w:rsid w:val="0B132ADA"/>
    <w:rsid w:val="0B1F642D"/>
    <w:rsid w:val="0B2819D9"/>
    <w:rsid w:val="0B42749A"/>
    <w:rsid w:val="0B55735C"/>
    <w:rsid w:val="0B5757A5"/>
    <w:rsid w:val="0B5F915A"/>
    <w:rsid w:val="0B65C561"/>
    <w:rsid w:val="0B695B27"/>
    <w:rsid w:val="0B7A5CF1"/>
    <w:rsid w:val="0B7F0BE2"/>
    <w:rsid w:val="0B8472DD"/>
    <w:rsid w:val="0B8D2B5F"/>
    <w:rsid w:val="0B8D963B"/>
    <w:rsid w:val="0BA4635C"/>
    <w:rsid w:val="0BB602EF"/>
    <w:rsid w:val="0BC0F95E"/>
    <w:rsid w:val="0BC7C281"/>
    <w:rsid w:val="0BC8EA23"/>
    <w:rsid w:val="0BD46D3E"/>
    <w:rsid w:val="0BD94668"/>
    <w:rsid w:val="0BEC0029"/>
    <w:rsid w:val="0BED3226"/>
    <w:rsid w:val="0C034C3F"/>
    <w:rsid w:val="0C05A93C"/>
    <w:rsid w:val="0C164539"/>
    <w:rsid w:val="0C1B82F2"/>
    <w:rsid w:val="0C1F8B08"/>
    <w:rsid w:val="0C2CA776"/>
    <w:rsid w:val="0C3162E6"/>
    <w:rsid w:val="0C4A5168"/>
    <w:rsid w:val="0C50DE36"/>
    <w:rsid w:val="0C5EED48"/>
    <w:rsid w:val="0C601FD4"/>
    <w:rsid w:val="0C65EDDB"/>
    <w:rsid w:val="0C8EB060"/>
    <w:rsid w:val="0C9CA516"/>
    <w:rsid w:val="0CA2A696"/>
    <w:rsid w:val="0CC379AC"/>
    <w:rsid w:val="0CC605BF"/>
    <w:rsid w:val="0CC7AAAE"/>
    <w:rsid w:val="0CC9EF9E"/>
    <w:rsid w:val="0CD01C79"/>
    <w:rsid w:val="0CE46B50"/>
    <w:rsid w:val="0D09B349"/>
    <w:rsid w:val="0D125018"/>
    <w:rsid w:val="0D187790"/>
    <w:rsid w:val="0D1EF732"/>
    <w:rsid w:val="0D318A5B"/>
    <w:rsid w:val="0D3AB428"/>
    <w:rsid w:val="0D407D53"/>
    <w:rsid w:val="0D411F63"/>
    <w:rsid w:val="0D4372AB"/>
    <w:rsid w:val="0D51A1CB"/>
    <w:rsid w:val="0D71DE01"/>
    <w:rsid w:val="0D74691D"/>
    <w:rsid w:val="0D77BAEE"/>
    <w:rsid w:val="0D9A5495"/>
    <w:rsid w:val="0D9CF29A"/>
    <w:rsid w:val="0DA24622"/>
    <w:rsid w:val="0DB33249"/>
    <w:rsid w:val="0DB7F216"/>
    <w:rsid w:val="0DCD7D59"/>
    <w:rsid w:val="0DCF6CB7"/>
    <w:rsid w:val="0DD1F315"/>
    <w:rsid w:val="0DD75C03"/>
    <w:rsid w:val="0DDB44F9"/>
    <w:rsid w:val="0DE6BD99"/>
    <w:rsid w:val="0DEC6E8B"/>
    <w:rsid w:val="0DEEFEFB"/>
    <w:rsid w:val="0DFDB792"/>
    <w:rsid w:val="0E0C1E01"/>
    <w:rsid w:val="0E115A5E"/>
    <w:rsid w:val="0E127764"/>
    <w:rsid w:val="0E14850F"/>
    <w:rsid w:val="0E17262D"/>
    <w:rsid w:val="0E1D8DD6"/>
    <w:rsid w:val="0E23D3E5"/>
    <w:rsid w:val="0E29CF93"/>
    <w:rsid w:val="0E39F343"/>
    <w:rsid w:val="0E43B4B5"/>
    <w:rsid w:val="0E47D218"/>
    <w:rsid w:val="0E5D312E"/>
    <w:rsid w:val="0E6E4AFD"/>
    <w:rsid w:val="0E6EB7F4"/>
    <w:rsid w:val="0E88EB68"/>
    <w:rsid w:val="0E8DD8EC"/>
    <w:rsid w:val="0E922BF8"/>
    <w:rsid w:val="0E9D9B2F"/>
    <w:rsid w:val="0EB3CE5A"/>
    <w:rsid w:val="0ED75D6C"/>
    <w:rsid w:val="0ED8A370"/>
    <w:rsid w:val="0EE547BF"/>
    <w:rsid w:val="0F02068E"/>
    <w:rsid w:val="0F1E87C5"/>
    <w:rsid w:val="0F223E69"/>
    <w:rsid w:val="0F26EA96"/>
    <w:rsid w:val="0F2A58C9"/>
    <w:rsid w:val="0F356B2D"/>
    <w:rsid w:val="0F37EBE5"/>
    <w:rsid w:val="0F389F51"/>
    <w:rsid w:val="0F3BA2DB"/>
    <w:rsid w:val="0F3CFC1E"/>
    <w:rsid w:val="0F3DB0FE"/>
    <w:rsid w:val="0F4220AB"/>
    <w:rsid w:val="0F476452"/>
    <w:rsid w:val="0F476602"/>
    <w:rsid w:val="0F4D50F7"/>
    <w:rsid w:val="0F55FCDA"/>
    <w:rsid w:val="0F676788"/>
    <w:rsid w:val="0F828799"/>
    <w:rsid w:val="0F8A01DC"/>
    <w:rsid w:val="0F95C8CA"/>
    <w:rsid w:val="0FA1C39C"/>
    <w:rsid w:val="0FA6521A"/>
    <w:rsid w:val="0FAA01EF"/>
    <w:rsid w:val="0FB31777"/>
    <w:rsid w:val="0FBA0569"/>
    <w:rsid w:val="0FBBDDB0"/>
    <w:rsid w:val="0FCA18D9"/>
    <w:rsid w:val="0FD003BF"/>
    <w:rsid w:val="0FE8A5E4"/>
    <w:rsid w:val="0FEC7D14"/>
    <w:rsid w:val="0FEE7718"/>
    <w:rsid w:val="10009624"/>
    <w:rsid w:val="1011118D"/>
    <w:rsid w:val="10173D3D"/>
    <w:rsid w:val="101EDF0A"/>
    <w:rsid w:val="1025F1D6"/>
    <w:rsid w:val="1026D9E5"/>
    <w:rsid w:val="102825A5"/>
    <w:rsid w:val="102EF174"/>
    <w:rsid w:val="1030DC79"/>
    <w:rsid w:val="103C4EBA"/>
    <w:rsid w:val="103C6898"/>
    <w:rsid w:val="10479D72"/>
    <w:rsid w:val="1057088B"/>
    <w:rsid w:val="1058DBAD"/>
    <w:rsid w:val="105CA663"/>
    <w:rsid w:val="1061E5CB"/>
    <w:rsid w:val="1070D420"/>
    <w:rsid w:val="10958B09"/>
    <w:rsid w:val="1099B720"/>
    <w:rsid w:val="10B0FD3A"/>
    <w:rsid w:val="10B26D92"/>
    <w:rsid w:val="10B84FA7"/>
    <w:rsid w:val="10C96731"/>
    <w:rsid w:val="10CFFBF8"/>
    <w:rsid w:val="10D69075"/>
    <w:rsid w:val="10DF8FD1"/>
    <w:rsid w:val="10E8939C"/>
    <w:rsid w:val="10E933B1"/>
    <w:rsid w:val="10F2C891"/>
    <w:rsid w:val="10F2F2FB"/>
    <w:rsid w:val="10F81B3C"/>
    <w:rsid w:val="10FA0967"/>
    <w:rsid w:val="10FC4731"/>
    <w:rsid w:val="10FE83AC"/>
    <w:rsid w:val="110691CD"/>
    <w:rsid w:val="110B3B7E"/>
    <w:rsid w:val="110D3C40"/>
    <w:rsid w:val="111009BD"/>
    <w:rsid w:val="111EC88D"/>
    <w:rsid w:val="112635EF"/>
    <w:rsid w:val="112B5F7A"/>
    <w:rsid w:val="112E4905"/>
    <w:rsid w:val="112F6E5F"/>
    <w:rsid w:val="114AB6E2"/>
    <w:rsid w:val="114E9CFE"/>
    <w:rsid w:val="11541B85"/>
    <w:rsid w:val="1155D5CA"/>
    <w:rsid w:val="116670F8"/>
    <w:rsid w:val="116F9FAE"/>
    <w:rsid w:val="11ABBA34"/>
    <w:rsid w:val="11ADF6AF"/>
    <w:rsid w:val="11B3E021"/>
    <w:rsid w:val="11BDFC0A"/>
    <w:rsid w:val="11C17C48"/>
    <w:rsid w:val="11D08B1E"/>
    <w:rsid w:val="11D36F5F"/>
    <w:rsid w:val="11E21944"/>
    <w:rsid w:val="11F166E9"/>
    <w:rsid w:val="11F514FB"/>
    <w:rsid w:val="120A4A07"/>
    <w:rsid w:val="1210F66C"/>
    <w:rsid w:val="1214FD77"/>
    <w:rsid w:val="1223C56B"/>
    <w:rsid w:val="122407DC"/>
    <w:rsid w:val="122FC359"/>
    <w:rsid w:val="123957F7"/>
    <w:rsid w:val="123E1709"/>
    <w:rsid w:val="124916E7"/>
    <w:rsid w:val="125042D7"/>
    <w:rsid w:val="125769DA"/>
    <w:rsid w:val="1260FF90"/>
    <w:rsid w:val="1261B9A8"/>
    <w:rsid w:val="12687966"/>
    <w:rsid w:val="126B48C6"/>
    <w:rsid w:val="1275BC5C"/>
    <w:rsid w:val="12978DF8"/>
    <w:rsid w:val="12A57911"/>
    <w:rsid w:val="12A59709"/>
    <w:rsid w:val="12A6F7CF"/>
    <w:rsid w:val="12C3DCC2"/>
    <w:rsid w:val="12CB01CA"/>
    <w:rsid w:val="12D06437"/>
    <w:rsid w:val="12D29270"/>
    <w:rsid w:val="12DE85DF"/>
    <w:rsid w:val="12EC075B"/>
    <w:rsid w:val="12EF1720"/>
    <w:rsid w:val="12F974A4"/>
    <w:rsid w:val="12F9DB29"/>
    <w:rsid w:val="13179BF7"/>
    <w:rsid w:val="13253E09"/>
    <w:rsid w:val="132823E7"/>
    <w:rsid w:val="13367F10"/>
    <w:rsid w:val="13535E95"/>
    <w:rsid w:val="135B756C"/>
    <w:rsid w:val="13640A4D"/>
    <w:rsid w:val="1365EDF3"/>
    <w:rsid w:val="1378DB91"/>
    <w:rsid w:val="138DE316"/>
    <w:rsid w:val="13914E7E"/>
    <w:rsid w:val="1393D722"/>
    <w:rsid w:val="1397F83B"/>
    <w:rsid w:val="139B375C"/>
    <w:rsid w:val="13A06E2B"/>
    <w:rsid w:val="13A72063"/>
    <w:rsid w:val="13ABADC2"/>
    <w:rsid w:val="13B5A747"/>
    <w:rsid w:val="13BAD10B"/>
    <w:rsid w:val="13BBD3A0"/>
    <w:rsid w:val="13D28CEE"/>
    <w:rsid w:val="13D7500D"/>
    <w:rsid w:val="13D83465"/>
    <w:rsid w:val="13E5CC1B"/>
    <w:rsid w:val="13F4B066"/>
    <w:rsid w:val="13FE20E2"/>
    <w:rsid w:val="1408AB2E"/>
    <w:rsid w:val="141B64EC"/>
    <w:rsid w:val="142B3FCC"/>
    <w:rsid w:val="142D6C29"/>
    <w:rsid w:val="143016C7"/>
    <w:rsid w:val="14393DC2"/>
    <w:rsid w:val="14493EEF"/>
    <w:rsid w:val="146DEFC8"/>
    <w:rsid w:val="147CDD3C"/>
    <w:rsid w:val="147DC9DA"/>
    <w:rsid w:val="14858F7D"/>
    <w:rsid w:val="14A9829B"/>
    <w:rsid w:val="14B6F930"/>
    <w:rsid w:val="14B787A5"/>
    <w:rsid w:val="14CF2198"/>
    <w:rsid w:val="14DD1645"/>
    <w:rsid w:val="14E974D8"/>
    <w:rsid w:val="14EAD5E1"/>
    <w:rsid w:val="14EB70B0"/>
    <w:rsid w:val="14EEFB11"/>
    <w:rsid w:val="14F4775B"/>
    <w:rsid w:val="15125FE1"/>
    <w:rsid w:val="1530A0F8"/>
    <w:rsid w:val="153673BE"/>
    <w:rsid w:val="1568E601"/>
    <w:rsid w:val="156D3EDA"/>
    <w:rsid w:val="1573AD9C"/>
    <w:rsid w:val="1577F542"/>
    <w:rsid w:val="1579BAE1"/>
    <w:rsid w:val="1579EDB2"/>
    <w:rsid w:val="15859A1A"/>
    <w:rsid w:val="1588C747"/>
    <w:rsid w:val="1589187D"/>
    <w:rsid w:val="158CF8A7"/>
    <w:rsid w:val="1591BC02"/>
    <w:rsid w:val="15940C7F"/>
    <w:rsid w:val="15AD42D6"/>
    <w:rsid w:val="15BB97B6"/>
    <w:rsid w:val="15C85165"/>
    <w:rsid w:val="15CAB651"/>
    <w:rsid w:val="15D49DBE"/>
    <w:rsid w:val="15D5263B"/>
    <w:rsid w:val="15D734AD"/>
    <w:rsid w:val="15F07B00"/>
    <w:rsid w:val="160A4A26"/>
    <w:rsid w:val="160BED2F"/>
    <w:rsid w:val="160F0EBA"/>
    <w:rsid w:val="1621AFFF"/>
    <w:rsid w:val="163C8F43"/>
    <w:rsid w:val="163CF214"/>
    <w:rsid w:val="163D3954"/>
    <w:rsid w:val="1642E294"/>
    <w:rsid w:val="16490BDF"/>
    <w:rsid w:val="1649E684"/>
    <w:rsid w:val="166B14B9"/>
    <w:rsid w:val="166F1277"/>
    <w:rsid w:val="167B7A12"/>
    <w:rsid w:val="1688EED9"/>
    <w:rsid w:val="16892EAE"/>
    <w:rsid w:val="169A4AE1"/>
    <w:rsid w:val="169CADD4"/>
    <w:rsid w:val="16A225A4"/>
    <w:rsid w:val="16A2E7B9"/>
    <w:rsid w:val="16A88242"/>
    <w:rsid w:val="16A95F3A"/>
    <w:rsid w:val="16D0CE1E"/>
    <w:rsid w:val="16D0F417"/>
    <w:rsid w:val="16D2F7B1"/>
    <w:rsid w:val="16EA098E"/>
    <w:rsid w:val="17005525"/>
    <w:rsid w:val="1702A794"/>
    <w:rsid w:val="1713C5C6"/>
    <w:rsid w:val="171DF070"/>
    <w:rsid w:val="1720A4FA"/>
    <w:rsid w:val="17220CA0"/>
    <w:rsid w:val="173162C6"/>
    <w:rsid w:val="17345262"/>
    <w:rsid w:val="1739B842"/>
    <w:rsid w:val="174B609E"/>
    <w:rsid w:val="175392D1"/>
    <w:rsid w:val="1760E566"/>
    <w:rsid w:val="1765B11F"/>
    <w:rsid w:val="1765BA56"/>
    <w:rsid w:val="17760FE0"/>
    <w:rsid w:val="177792B3"/>
    <w:rsid w:val="177D08BB"/>
    <w:rsid w:val="17926FEA"/>
    <w:rsid w:val="179EC0B4"/>
    <w:rsid w:val="17A69A4C"/>
    <w:rsid w:val="17B8145F"/>
    <w:rsid w:val="17C9C801"/>
    <w:rsid w:val="17CC7F47"/>
    <w:rsid w:val="17D24263"/>
    <w:rsid w:val="17D8951E"/>
    <w:rsid w:val="17D8A88A"/>
    <w:rsid w:val="17D9608F"/>
    <w:rsid w:val="180D3A9C"/>
    <w:rsid w:val="181112B1"/>
    <w:rsid w:val="1816E1D4"/>
    <w:rsid w:val="182D81AA"/>
    <w:rsid w:val="18340B83"/>
    <w:rsid w:val="1837C444"/>
    <w:rsid w:val="18387839"/>
    <w:rsid w:val="1838901A"/>
    <w:rsid w:val="1839DEE6"/>
    <w:rsid w:val="183DFB40"/>
    <w:rsid w:val="18409BB1"/>
    <w:rsid w:val="1841CCC6"/>
    <w:rsid w:val="18567C00"/>
    <w:rsid w:val="1860088B"/>
    <w:rsid w:val="18635E87"/>
    <w:rsid w:val="186BB24A"/>
    <w:rsid w:val="1870D140"/>
    <w:rsid w:val="188037F0"/>
    <w:rsid w:val="188AA187"/>
    <w:rsid w:val="18901676"/>
    <w:rsid w:val="189AFCEB"/>
    <w:rsid w:val="18A0EB80"/>
    <w:rsid w:val="18A49D7A"/>
    <w:rsid w:val="18A5C373"/>
    <w:rsid w:val="18AA1AA8"/>
    <w:rsid w:val="18B15319"/>
    <w:rsid w:val="18C795F4"/>
    <w:rsid w:val="18D01D4B"/>
    <w:rsid w:val="18D611A5"/>
    <w:rsid w:val="18E332FC"/>
    <w:rsid w:val="18E50107"/>
    <w:rsid w:val="18E540B3"/>
    <w:rsid w:val="1901088B"/>
    <w:rsid w:val="190EC22A"/>
    <w:rsid w:val="191C6747"/>
    <w:rsid w:val="19272393"/>
    <w:rsid w:val="1931DF4B"/>
    <w:rsid w:val="1936E2A1"/>
    <w:rsid w:val="1939447B"/>
    <w:rsid w:val="193B2392"/>
    <w:rsid w:val="19469951"/>
    <w:rsid w:val="1947EF46"/>
    <w:rsid w:val="19573E02"/>
    <w:rsid w:val="195D623C"/>
    <w:rsid w:val="1968B141"/>
    <w:rsid w:val="19768983"/>
    <w:rsid w:val="1979AC6C"/>
    <w:rsid w:val="197B05E9"/>
    <w:rsid w:val="197B2441"/>
    <w:rsid w:val="198044EC"/>
    <w:rsid w:val="19957B5F"/>
    <w:rsid w:val="19995B4F"/>
    <w:rsid w:val="19A9D09A"/>
    <w:rsid w:val="19B3ABBF"/>
    <w:rsid w:val="19C7806F"/>
    <w:rsid w:val="19D86154"/>
    <w:rsid w:val="19DD9D27"/>
    <w:rsid w:val="19E53FA5"/>
    <w:rsid w:val="19E5EF54"/>
    <w:rsid w:val="19ED61D7"/>
    <w:rsid w:val="19F26780"/>
    <w:rsid w:val="19FEF8AC"/>
    <w:rsid w:val="1A0A2910"/>
    <w:rsid w:val="1A1819F4"/>
    <w:rsid w:val="1A2CDFD8"/>
    <w:rsid w:val="1A2E74FC"/>
    <w:rsid w:val="1A41604C"/>
    <w:rsid w:val="1A450790"/>
    <w:rsid w:val="1A457218"/>
    <w:rsid w:val="1A4EF13B"/>
    <w:rsid w:val="1A5A5917"/>
    <w:rsid w:val="1A65F084"/>
    <w:rsid w:val="1A6CB603"/>
    <w:rsid w:val="1A6F500C"/>
    <w:rsid w:val="1A79E63C"/>
    <w:rsid w:val="1A7A9AA9"/>
    <w:rsid w:val="1A85B876"/>
    <w:rsid w:val="1A94A1B6"/>
    <w:rsid w:val="1A9F1937"/>
    <w:rsid w:val="1AA8767B"/>
    <w:rsid w:val="1AAC1099"/>
    <w:rsid w:val="1ABA2953"/>
    <w:rsid w:val="1ABE3CF0"/>
    <w:rsid w:val="1AD49D2D"/>
    <w:rsid w:val="1ADC1E23"/>
    <w:rsid w:val="1AE269B2"/>
    <w:rsid w:val="1AF3B2BD"/>
    <w:rsid w:val="1AFB7569"/>
    <w:rsid w:val="1AFC2BA2"/>
    <w:rsid w:val="1AFFDD88"/>
    <w:rsid w:val="1B28CD58"/>
    <w:rsid w:val="1B2E117F"/>
    <w:rsid w:val="1B40699D"/>
    <w:rsid w:val="1B463C7E"/>
    <w:rsid w:val="1B4FB57E"/>
    <w:rsid w:val="1B50E9FD"/>
    <w:rsid w:val="1B5312F4"/>
    <w:rsid w:val="1B53FCC4"/>
    <w:rsid w:val="1B661C7D"/>
    <w:rsid w:val="1B682402"/>
    <w:rsid w:val="1B7252E1"/>
    <w:rsid w:val="1B7A8BF5"/>
    <w:rsid w:val="1B7E53DD"/>
    <w:rsid w:val="1B819EF4"/>
    <w:rsid w:val="1B896FD8"/>
    <w:rsid w:val="1B8B79AA"/>
    <w:rsid w:val="1B9B823C"/>
    <w:rsid w:val="1B9F906D"/>
    <w:rsid w:val="1BA6BAD4"/>
    <w:rsid w:val="1BAB6DAC"/>
    <w:rsid w:val="1BB217CD"/>
    <w:rsid w:val="1BBB012A"/>
    <w:rsid w:val="1BCB414E"/>
    <w:rsid w:val="1BCEE2B1"/>
    <w:rsid w:val="1BE11B8B"/>
    <w:rsid w:val="1BE1DB8D"/>
    <w:rsid w:val="1BE50020"/>
    <w:rsid w:val="1BE5CC15"/>
    <w:rsid w:val="1BFC64BE"/>
    <w:rsid w:val="1C0CC074"/>
    <w:rsid w:val="1C0DE02F"/>
    <w:rsid w:val="1C13EDA2"/>
    <w:rsid w:val="1C1EBDF7"/>
    <w:rsid w:val="1C23F1DA"/>
    <w:rsid w:val="1C2702E5"/>
    <w:rsid w:val="1C27E303"/>
    <w:rsid w:val="1C32627B"/>
    <w:rsid w:val="1C357E1C"/>
    <w:rsid w:val="1C4431BA"/>
    <w:rsid w:val="1C486263"/>
    <w:rsid w:val="1C4F617D"/>
    <w:rsid w:val="1C60BEB7"/>
    <w:rsid w:val="1C6261A2"/>
    <w:rsid w:val="1C6FB82C"/>
    <w:rsid w:val="1C706D4C"/>
    <w:rsid w:val="1C76665A"/>
    <w:rsid w:val="1C7972DF"/>
    <w:rsid w:val="1C83672D"/>
    <w:rsid w:val="1CAF6F35"/>
    <w:rsid w:val="1CB621E0"/>
    <w:rsid w:val="1CBA4350"/>
    <w:rsid w:val="1CBAD3A5"/>
    <w:rsid w:val="1CDB7A1E"/>
    <w:rsid w:val="1CE944D2"/>
    <w:rsid w:val="1CEC54BD"/>
    <w:rsid w:val="1CECBF1C"/>
    <w:rsid w:val="1CF040AE"/>
    <w:rsid w:val="1CF2F25F"/>
    <w:rsid w:val="1CFC0DC1"/>
    <w:rsid w:val="1D0A86F1"/>
    <w:rsid w:val="1D0B3957"/>
    <w:rsid w:val="1D29D5A0"/>
    <w:rsid w:val="1D2C13B3"/>
    <w:rsid w:val="1D323FFA"/>
    <w:rsid w:val="1D347D59"/>
    <w:rsid w:val="1D3CFC54"/>
    <w:rsid w:val="1D3DABFF"/>
    <w:rsid w:val="1D5339B4"/>
    <w:rsid w:val="1D588455"/>
    <w:rsid w:val="1D588CB0"/>
    <w:rsid w:val="1D5AD679"/>
    <w:rsid w:val="1D6B61E4"/>
    <w:rsid w:val="1D6FF4BA"/>
    <w:rsid w:val="1D74EAC1"/>
    <w:rsid w:val="1D793496"/>
    <w:rsid w:val="1D880B6E"/>
    <w:rsid w:val="1D8A7B11"/>
    <w:rsid w:val="1D99841E"/>
    <w:rsid w:val="1D9B4440"/>
    <w:rsid w:val="1D9B4A8B"/>
    <w:rsid w:val="1D9DC35E"/>
    <w:rsid w:val="1DA2C2B6"/>
    <w:rsid w:val="1DA7C731"/>
    <w:rsid w:val="1DAB0D76"/>
    <w:rsid w:val="1DAF320F"/>
    <w:rsid w:val="1DAF7F3F"/>
    <w:rsid w:val="1DBFA733"/>
    <w:rsid w:val="1DC456EC"/>
    <w:rsid w:val="1DD16450"/>
    <w:rsid w:val="1DD229C0"/>
    <w:rsid w:val="1DDDD853"/>
    <w:rsid w:val="1DEE6F64"/>
    <w:rsid w:val="1DF0B03C"/>
    <w:rsid w:val="1DFC32EA"/>
    <w:rsid w:val="1E00E49C"/>
    <w:rsid w:val="1E01F384"/>
    <w:rsid w:val="1E07CB01"/>
    <w:rsid w:val="1E1E681C"/>
    <w:rsid w:val="1E2B7386"/>
    <w:rsid w:val="1E327CDB"/>
    <w:rsid w:val="1E36A1E3"/>
    <w:rsid w:val="1E36A875"/>
    <w:rsid w:val="1E3FC86D"/>
    <w:rsid w:val="1E49C551"/>
    <w:rsid w:val="1E5A6FF7"/>
    <w:rsid w:val="1E5BC5B0"/>
    <w:rsid w:val="1E62FF8D"/>
    <w:rsid w:val="1E6B8A2A"/>
    <w:rsid w:val="1E720F55"/>
    <w:rsid w:val="1E85B695"/>
    <w:rsid w:val="1E8BE162"/>
    <w:rsid w:val="1E91700D"/>
    <w:rsid w:val="1E9E83DE"/>
    <w:rsid w:val="1EA22807"/>
    <w:rsid w:val="1EA4DCE3"/>
    <w:rsid w:val="1EAF7E47"/>
    <w:rsid w:val="1EB1419E"/>
    <w:rsid w:val="1EC35187"/>
    <w:rsid w:val="1EDBE46A"/>
    <w:rsid w:val="1EE11AC2"/>
    <w:rsid w:val="1EE21D41"/>
    <w:rsid w:val="1EE7BD6A"/>
    <w:rsid w:val="1EE9ECB2"/>
    <w:rsid w:val="1EEA206E"/>
    <w:rsid w:val="1EEE208C"/>
    <w:rsid w:val="1EF4C8C3"/>
    <w:rsid w:val="1EF545A4"/>
    <w:rsid w:val="1EFA7DC1"/>
    <w:rsid w:val="1F031520"/>
    <w:rsid w:val="1F09933F"/>
    <w:rsid w:val="1F0AF018"/>
    <w:rsid w:val="1F12F26A"/>
    <w:rsid w:val="1F186706"/>
    <w:rsid w:val="1F4296A3"/>
    <w:rsid w:val="1F4C7815"/>
    <w:rsid w:val="1F54ECCF"/>
    <w:rsid w:val="1F576C9B"/>
    <w:rsid w:val="1F688BD5"/>
    <w:rsid w:val="1F70AC95"/>
    <w:rsid w:val="1F862E38"/>
    <w:rsid w:val="1F892EBD"/>
    <w:rsid w:val="1F9A310F"/>
    <w:rsid w:val="1F9E2CAE"/>
    <w:rsid w:val="1FA4F155"/>
    <w:rsid w:val="1FAC319D"/>
    <w:rsid w:val="1FB4E23A"/>
    <w:rsid w:val="1FB936EF"/>
    <w:rsid w:val="1FCC81F1"/>
    <w:rsid w:val="1FD3A081"/>
    <w:rsid w:val="1FD80A40"/>
    <w:rsid w:val="1FD92F1F"/>
    <w:rsid w:val="1FE504B8"/>
    <w:rsid w:val="1FED84EC"/>
    <w:rsid w:val="1FEF3AE6"/>
    <w:rsid w:val="1FEF4FEC"/>
    <w:rsid w:val="1FF66F3D"/>
    <w:rsid w:val="2014F792"/>
    <w:rsid w:val="2017954D"/>
    <w:rsid w:val="201BC4CF"/>
    <w:rsid w:val="201E260E"/>
    <w:rsid w:val="202FE138"/>
    <w:rsid w:val="2040C800"/>
    <w:rsid w:val="204BE639"/>
    <w:rsid w:val="204D450A"/>
    <w:rsid w:val="2050595D"/>
    <w:rsid w:val="20565C15"/>
    <w:rsid w:val="20596BE2"/>
    <w:rsid w:val="205ABD6F"/>
    <w:rsid w:val="20720CA0"/>
    <w:rsid w:val="2072658B"/>
    <w:rsid w:val="208165A3"/>
    <w:rsid w:val="20838C2F"/>
    <w:rsid w:val="2088C97C"/>
    <w:rsid w:val="20895E8E"/>
    <w:rsid w:val="208B998B"/>
    <w:rsid w:val="208C4FFE"/>
    <w:rsid w:val="2090867B"/>
    <w:rsid w:val="2092246C"/>
    <w:rsid w:val="20924302"/>
    <w:rsid w:val="2098F4BB"/>
    <w:rsid w:val="20A04DEA"/>
    <w:rsid w:val="20A6D1F8"/>
    <w:rsid w:val="20A9A8D4"/>
    <w:rsid w:val="20AF678E"/>
    <w:rsid w:val="20B6E0FD"/>
    <w:rsid w:val="20DAC0B2"/>
    <w:rsid w:val="20DB5E3B"/>
    <w:rsid w:val="20DD3B62"/>
    <w:rsid w:val="20DE3AC1"/>
    <w:rsid w:val="20DE47A9"/>
    <w:rsid w:val="20E86FB4"/>
    <w:rsid w:val="20EB5461"/>
    <w:rsid w:val="20ECDC82"/>
    <w:rsid w:val="20F13A98"/>
    <w:rsid w:val="20F7FD4B"/>
    <w:rsid w:val="2103E63A"/>
    <w:rsid w:val="21150DCD"/>
    <w:rsid w:val="21270A5F"/>
    <w:rsid w:val="2142A516"/>
    <w:rsid w:val="2144FBC3"/>
    <w:rsid w:val="2154A08E"/>
    <w:rsid w:val="21599DDA"/>
    <w:rsid w:val="216F4183"/>
    <w:rsid w:val="2171A1F0"/>
    <w:rsid w:val="219683A7"/>
    <w:rsid w:val="2196E949"/>
    <w:rsid w:val="219EA95D"/>
    <w:rsid w:val="21A133B4"/>
    <w:rsid w:val="21AABCCA"/>
    <w:rsid w:val="21B84258"/>
    <w:rsid w:val="21C02D41"/>
    <w:rsid w:val="21C7E2F4"/>
    <w:rsid w:val="21D5DE94"/>
    <w:rsid w:val="21DBE038"/>
    <w:rsid w:val="21E488EE"/>
    <w:rsid w:val="21F5152B"/>
    <w:rsid w:val="21FA6617"/>
    <w:rsid w:val="21FB6209"/>
    <w:rsid w:val="21FD94FA"/>
    <w:rsid w:val="221E3C24"/>
    <w:rsid w:val="22223CC2"/>
    <w:rsid w:val="222C8AD8"/>
    <w:rsid w:val="2241239E"/>
    <w:rsid w:val="2249791C"/>
    <w:rsid w:val="22508F90"/>
    <w:rsid w:val="2261DF16"/>
    <w:rsid w:val="2264DCA3"/>
    <w:rsid w:val="2289F22A"/>
    <w:rsid w:val="228B1C8A"/>
    <w:rsid w:val="228E52DA"/>
    <w:rsid w:val="22904995"/>
    <w:rsid w:val="22A60655"/>
    <w:rsid w:val="22A9F365"/>
    <w:rsid w:val="22BC8FB4"/>
    <w:rsid w:val="22BDEEC8"/>
    <w:rsid w:val="22BDFDED"/>
    <w:rsid w:val="22C212FE"/>
    <w:rsid w:val="22D703E5"/>
    <w:rsid w:val="22DB8032"/>
    <w:rsid w:val="22E14EB8"/>
    <w:rsid w:val="22E9DBB9"/>
    <w:rsid w:val="22F2B646"/>
    <w:rsid w:val="22F98E85"/>
    <w:rsid w:val="22FAA155"/>
    <w:rsid w:val="22FAC215"/>
    <w:rsid w:val="22FE8115"/>
    <w:rsid w:val="230717B3"/>
    <w:rsid w:val="230C1B11"/>
    <w:rsid w:val="2317C9E5"/>
    <w:rsid w:val="231D0AEA"/>
    <w:rsid w:val="231FC62A"/>
    <w:rsid w:val="2323B2F9"/>
    <w:rsid w:val="2330BCBA"/>
    <w:rsid w:val="233DF894"/>
    <w:rsid w:val="23418469"/>
    <w:rsid w:val="2343055A"/>
    <w:rsid w:val="234C3F0E"/>
    <w:rsid w:val="234F360F"/>
    <w:rsid w:val="2352E25F"/>
    <w:rsid w:val="2357770B"/>
    <w:rsid w:val="236377AA"/>
    <w:rsid w:val="2369E6D6"/>
    <w:rsid w:val="237340E0"/>
    <w:rsid w:val="23812664"/>
    <w:rsid w:val="2386FE79"/>
    <w:rsid w:val="2388E96D"/>
    <w:rsid w:val="2389A723"/>
    <w:rsid w:val="2398CB76"/>
    <w:rsid w:val="239EE7EB"/>
    <w:rsid w:val="23A570A8"/>
    <w:rsid w:val="23AE96E6"/>
    <w:rsid w:val="23B801C9"/>
    <w:rsid w:val="23C3160B"/>
    <w:rsid w:val="23C8888C"/>
    <w:rsid w:val="23CA5C0E"/>
    <w:rsid w:val="23D6DFB3"/>
    <w:rsid w:val="23D98450"/>
    <w:rsid w:val="23DE68B7"/>
    <w:rsid w:val="23DF9FC6"/>
    <w:rsid w:val="23E7AE8A"/>
    <w:rsid w:val="23F27AB3"/>
    <w:rsid w:val="23F2EAF7"/>
    <w:rsid w:val="23F8CA1A"/>
    <w:rsid w:val="23FB30AF"/>
    <w:rsid w:val="240A7112"/>
    <w:rsid w:val="240C083E"/>
    <w:rsid w:val="240C6632"/>
    <w:rsid w:val="2413CFBD"/>
    <w:rsid w:val="241FC925"/>
    <w:rsid w:val="242A7B97"/>
    <w:rsid w:val="24398201"/>
    <w:rsid w:val="243C747D"/>
    <w:rsid w:val="244DB263"/>
    <w:rsid w:val="244DB768"/>
    <w:rsid w:val="2450B56E"/>
    <w:rsid w:val="2461AE36"/>
    <w:rsid w:val="24628AEB"/>
    <w:rsid w:val="2463FF70"/>
    <w:rsid w:val="246A5518"/>
    <w:rsid w:val="24742E8E"/>
    <w:rsid w:val="2479A579"/>
    <w:rsid w:val="247C4FBB"/>
    <w:rsid w:val="2483A967"/>
    <w:rsid w:val="248793C4"/>
    <w:rsid w:val="248BBF02"/>
    <w:rsid w:val="248CD797"/>
    <w:rsid w:val="249412B9"/>
    <w:rsid w:val="2494840B"/>
    <w:rsid w:val="249A1AB1"/>
    <w:rsid w:val="249A2443"/>
    <w:rsid w:val="249D4564"/>
    <w:rsid w:val="249E626C"/>
    <w:rsid w:val="24A67AFC"/>
    <w:rsid w:val="24A7CF98"/>
    <w:rsid w:val="24A8E2DF"/>
    <w:rsid w:val="24B8530A"/>
    <w:rsid w:val="24C14C61"/>
    <w:rsid w:val="24CD1F6E"/>
    <w:rsid w:val="24CFAC18"/>
    <w:rsid w:val="24D89A05"/>
    <w:rsid w:val="24DEE347"/>
    <w:rsid w:val="24DEE861"/>
    <w:rsid w:val="24E82AC0"/>
    <w:rsid w:val="24ECD7B1"/>
    <w:rsid w:val="24F6E1CE"/>
    <w:rsid w:val="24F6FE9E"/>
    <w:rsid w:val="24FAC73A"/>
    <w:rsid w:val="24FFD25E"/>
    <w:rsid w:val="25076830"/>
    <w:rsid w:val="251D33ED"/>
    <w:rsid w:val="25261271"/>
    <w:rsid w:val="25272449"/>
    <w:rsid w:val="253E7059"/>
    <w:rsid w:val="2552C088"/>
    <w:rsid w:val="255FAB68"/>
    <w:rsid w:val="25691EC6"/>
    <w:rsid w:val="256FFE74"/>
    <w:rsid w:val="2573C753"/>
    <w:rsid w:val="2579B07A"/>
    <w:rsid w:val="257B850F"/>
    <w:rsid w:val="257C50F2"/>
    <w:rsid w:val="25833A42"/>
    <w:rsid w:val="2583B9B9"/>
    <w:rsid w:val="2589EC4F"/>
    <w:rsid w:val="259C2C0B"/>
    <w:rsid w:val="25A442A1"/>
    <w:rsid w:val="25A9960A"/>
    <w:rsid w:val="25AA3396"/>
    <w:rsid w:val="25AC242F"/>
    <w:rsid w:val="25AFF446"/>
    <w:rsid w:val="25C01A1D"/>
    <w:rsid w:val="25C236CA"/>
    <w:rsid w:val="25C40ACB"/>
    <w:rsid w:val="25CD928D"/>
    <w:rsid w:val="25D039B2"/>
    <w:rsid w:val="25D642BC"/>
    <w:rsid w:val="25E1A825"/>
    <w:rsid w:val="25E6EB72"/>
    <w:rsid w:val="25E85AF6"/>
    <w:rsid w:val="2608EB92"/>
    <w:rsid w:val="26091501"/>
    <w:rsid w:val="260A3B26"/>
    <w:rsid w:val="2625D5AA"/>
    <w:rsid w:val="26270A34"/>
    <w:rsid w:val="263082C9"/>
    <w:rsid w:val="26431E66"/>
    <w:rsid w:val="2648913C"/>
    <w:rsid w:val="265778E6"/>
    <w:rsid w:val="265AAEA7"/>
    <w:rsid w:val="26626CE6"/>
    <w:rsid w:val="2668E458"/>
    <w:rsid w:val="26716956"/>
    <w:rsid w:val="2679523A"/>
    <w:rsid w:val="26824AB6"/>
    <w:rsid w:val="268350D5"/>
    <w:rsid w:val="268ED25A"/>
    <w:rsid w:val="268F7409"/>
    <w:rsid w:val="26A36121"/>
    <w:rsid w:val="26A551DA"/>
    <w:rsid w:val="26A5C285"/>
    <w:rsid w:val="26A872C2"/>
    <w:rsid w:val="26AB49FF"/>
    <w:rsid w:val="26ADB947"/>
    <w:rsid w:val="26B88485"/>
    <w:rsid w:val="26C2AE0A"/>
    <w:rsid w:val="26C4ECDD"/>
    <w:rsid w:val="26D047D7"/>
    <w:rsid w:val="26D0FCC0"/>
    <w:rsid w:val="26D9ACEF"/>
    <w:rsid w:val="26E4E137"/>
    <w:rsid w:val="26E579A8"/>
    <w:rsid w:val="26FDB634"/>
    <w:rsid w:val="26FF8B8C"/>
    <w:rsid w:val="270C8F45"/>
    <w:rsid w:val="270E0C4D"/>
    <w:rsid w:val="271BBBB9"/>
    <w:rsid w:val="272092C9"/>
    <w:rsid w:val="272348A2"/>
    <w:rsid w:val="273623FA"/>
    <w:rsid w:val="2739C9E6"/>
    <w:rsid w:val="273A0A5F"/>
    <w:rsid w:val="273F641B"/>
    <w:rsid w:val="2755448A"/>
    <w:rsid w:val="2756F1A0"/>
    <w:rsid w:val="2757550E"/>
    <w:rsid w:val="2760D4FC"/>
    <w:rsid w:val="2772748F"/>
    <w:rsid w:val="2777A83B"/>
    <w:rsid w:val="278B4B33"/>
    <w:rsid w:val="2798B31F"/>
    <w:rsid w:val="27AAB1C1"/>
    <w:rsid w:val="27BA4A59"/>
    <w:rsid w:val="27BF321C"/>
    <w:rsid w:val="27C039C0"/>
    <w:rsid w:val="27C68253"/>
    <w:rsid w:val="27CAA1C8"/>
    <w:rsid w:val="27CAECB3"/>
    <w:rsid w:val="27D12D8D"/>
    <w:rsid w:val="27D325CB"/>
    <w:rsid w:val="27D5CBAC"/>
    <w:rsid w:val="27D648A7"/>
    <w:rsid w:val="27D82E14"/>
    <w:rsid w:val="27D9E543"/>
    <w:rsid w:val="27DE51A2"/>
    <w:rsid w:val="27F2DB26"/>
    <w:rsid w:val="27F3C106"/>
    <w:rsid w:val="27F48A54"/>
    <w:rsid w:val="27F9B553"/>
    <w:rsid w:val="27FA05A7"/>
    <w:rsid w:val="27FE50F9"/>
    <w:rsid w:val="281E5C28"/>
    <w:rsid w:val="282E0C01"/>
    <w:rsid w:val="28361AB5"/>
    <w:rsid w:val="28429A29"/>
    <w:rsid w:val="2857D28E"/>
    <w:rsid w:val="28667A23"/>
    <w:rsid w:val="28734B96"/>
    <w:rsid w:val="28813AB9"/>
    <w:rsid w:val="2884B671"/>
    <w:rsid w:val="288B41F6"/>
    <w:rsid w:val="2893ECFA"/>
    <w:rsid w:val="289B36FC"/>
    <w:rsid w:val="28A33241"/>
    <w:rsid w:val="28AAD3A4"/>
    <w:rsid w:val="28B0A7CD"/>
    <w:rsid w:val="28CD9E88"/>
    <w:rsid w:val="28CE1693"/>
    <w:rsid w:val="28E7B5CF"/>
    <w:rsid w:val="28EE590D"/>
    <w:rsid w:val="28F961EF"/>
    <w:rsid w:val="28FC9ED6"/>
    <w:rsid w:val="290D0E9D"/>
    <w:rsid w:val="290D9921"/>
    <w:rsid w:val="2934EB7D"/>
    <w:rsid w:val="2935240E"/>
    <w:rsid w:val="29372735"/>
    <w:rsid w:val="29391000"/>
    <w:rsid w:val="293B5D99"/>
    <w:rsid w:val="29419446"/>
    <w:rsid w:val="29511F37"/>
    <w:rsid w:val="29533B5E"/>
    <w:rsid w:val="29596DC2"/>
    <w:rsid w:val="295B54EB"/>
    <w:rsid w:val="2961AFDA"/>
    <w:rsid w:val="296BB908"/>
    <w:rsid w:val="2973863C"/>
    <w:rsid w:val="29794A06"/>
    <w:rsid w:val="297CFBCF"/>
    <w:rsid w:val="299DD8AC"/>
    <w:rsid w:val="29A9474D"/>
    <w:rsid w:val="29B006D9"/>
    <w:rsid w:val="29B7BB95"/>
    <w:rsid w:val="29B84DD1"/>
    <w:rsid w:val="29BB2468"/>
    <w:rsid w:val="29E23CA7"/>
    <w:rsid w:val="29E2EAC1"/>
    <w:rsid w:val="29E71800"/>
    <w:rsid w:val="29EAB2D2"/>
    <w:rsid w:val="29EEE49D"/>
    <w:rsid w:val="29EFFB60"/>
    <w:rsid w:val="2A0C9B69"/>
    <w:rsid w:val="2A0E05EA"/>
    <w:rsid w:val="2A1431C5"/>
    <w:rsid w:val="2A22FDDB"/>
    <w:rsid w:val="2A449CE1"/>
    <w:rsid w:val="2A45D0FC"/>
    <w:rsid w:val="2A52FCD9"/>
    <w:rsid w:val="2A5B696E"/>
    <w:rsid w:val="2A5BC746"/>
    <w:rsid w:val="2A62AB6B"/>
    <w:rsid w:val="2A62F688"/>
    <w:rsid w:val="2A6A2714"/>
    <w:rsid w:val="2A746BD0"/>
    <w:rsid w:val="2A7F28B7"/>
    <w:rsid w:val="2AA9401D"/>
    <w:rsid w:val="2AAE3BD3"/>
    <w:rsid w:val="2AB5F688"/>
    <w:rsid w:val="2AB8D5DF"/>
    <w:rsid w:val="2ACA757D"/>
    <w:rsid w:val="2ACC17B2"/>
    <w:rsid w:val="2ACC76E9"/>
    <w:rsid w:val="2AD1FF19"/>
    <w:rsid w:val="2AE2B9EC"/>
    <w:rsid w:val="2AE3081A"/>
    <w:rsid w:val="2AE95F36"/>
    <w:rsid w:val="2AF77070"/>
    <w:rsid w:val="2B0979D7"/>
    <w:rsid w:val="2B1C81A4"/>
    <w:rsid w:val="2B26C6A1"/>
    <w:rsid w:val="2B28E7DF"/>
    <w:rsid w:val="2B30C215"/>
    <w:rsid w:val="2B32AB5C"/>
    <w:rsid w:val="2B3EC00E"/>
    <w:rsid w:val="2B438801"/>
    <w:rsid w:val="2B45D27B"/>
    <w:rsid w:val="2B4A8ACD"/>
    <w:rsid w:val="2B4C7888"/>
    <w:rsid w:val="2B4DBB78"/>
    <w:rsid w:val="2B50194D"/>
    <w:rsid w:val="2B5AC039"/>
    <w:rsid w:val="2B66EC0E"/>
    <w:rsid w:val="2B6A07A1"/>
    <w:rsid w:val="2B6C972D"/>
    <w:rsid w:val="2B73F824"/>
    <w:rsid w:val="2B7DF820"/>
    <w:rsid w:val="2B951941"/>
    <w:rsid w:val="2BBFCBE7"/>
    <w:rsid w:val="2BC083F8"/>
    <w:rsid w:val="2BCCFF21"/>
    <w:rsid w:val="2BCE1AC7"/>
    <w:rsid w:val="2BD277F3"/>
    <w:rsid w:val="2BE870C6"/>
    <w:rsid w:val="2BEC506F"/>
    <w:rsid w:val="2BECC969"/>
    <w:rsid w:val="2BF33243"/>
    <w:rsid w:val="2BF467D8"/>
    <w:rsid w:val="2BFACC86"/>
    <w:rsid w:val="2BFCD068"/>
    <w:rsid w:val="2BFDDD97"/>
    <w:rsid w:val="2C0E9662"/>
    <w:rsid w:val="2C102C3F"/>
    <w:rsid w:val="2C122A4E"/>
    <w:rsid w:val="2C14A77F"/>
    <w:rsid w:val="2C20810C"/>
    <w:rsid w:val="2C25735F"/>
    <w:rsid w:val="2C32977E"/>
    <w:rsid w:val="2C376CEA"/>
    <w:rsid w:val="2C39AEB3"/>
    <w:rsid w:val="2C3EDE47"/>
    <w:rsid w:val="2C541458"/>
    <w:rsid w:val="2C5F507A"/>
    <w:rsid w:val="2C79D29B"/>
    <w:rsid w:val="2C851D01"/>
    <w:rsid w:val="2CA3BF61"/>
    <w:rsid w:val="2CB8E534"/>
    <w:rsid w:val="2CC6A870"/>
    <w:rsid w:val="2CC72712"/>
    <w:rsid w:val="2CD0CB78"/>
    <w:rsid w:val="2CE51FE3"/>
    <w:rsid w:val="2CF36DB5"/>
    <w:rsid w:val="2CF42602"/>
    <w:rsid w:val="2D03943B"/>
    <w:rsid w:val="2D082D09"/>
    <w:rsid w:val="2D0D823C"/>
    <w:rsid w:val="2D29D07B"/>
    <w:rsid w:val="2D2DB578"/>
    <w:rsid w:val="2D2FA7E3"/>
    <w:rsid w:val="2D375BEE"/>
    <w:rsid w:val="2D3D18EE"/>
    <w:rsid w:val="2D4761F5"/>
    <w:rsid w:val="2D4D25D0"/>
    <w:rsid w:val="2D4ECBB0"/>
    <w:rsid w:val="2D50BCC2"/>
    <w:rsid w:val="2D50CFF4"/>
    <w:rsid w:val="2D54ABDC"/>
    <w:rsid w:val="2D6CA494"/>
    <w:rsid w:val="2D6D3AC5"/>
    <w:rsid w:val="2D6E19D8"/>
    <w:rsid w:val="2D7219F5"/>
    <w:rsid w:val="2D77C47F"/>
    <w:rsid w:val="2D80179F"/>
    <w:rsid w:val="2D84A671"/>
    <w:rsid w:val="2D8F7735"/>
    <w:rsid w:val="2D92109E"/>
    <w:rsid w:val="2D9847B7"/>
    <w:rsid w:val="2DA2793D"/>
    <w:rsid w:val="2DCEE4AD"/>
    <w:rsid w:val="2DEE9369"/>
    <w:rsid w:val="2E131780"/>
    <w:rsid w:val="2E1C0DB9"/>
    <w:rsid w:val="2E2C74D0"/>
    <w:rsid w:val="2E2E4130"/>
    <w:rsid w:val="2E353027"/>
    <w:rsid w:val="2E475FC0"/>
    <w:rsid w:val="2E656210"/>
    <w:rsid w:val="2E693F8B"/>
    <w:rsid w:val="2E6A79DB"/>
    <w:rsid w:val="2E6BC155"/>
    <w:rsid w:val="2E750B76"/>
    <w:rsid w:val="2E78E5EE"/>
    <w:rsid w:val="2E7A9655"/>
    <w:rsid w:val="2E832AF4"/>
    <w:rsid w:val="2E97C0C6"/>
    <w:rsid w:val="2EC05167"/>
    <w:rsid w:val="2ED0CA82"/>
    <w:rsid w:val="2ED12966"/>
    <w:rsid w:val="2ED5BC3E"/>
    <w:rsid w:val="2ED912A8"/>
    <w:rsid w:val="2EDD90F9"/>
    <w:rsid w:val="2EDF4166"/>
    <w:rsid w:val="2EECCC65"/>
    <w:rsid w:val="2EF0D076"/>
    <w:rsid w:val="2EF1158D"/>
    <w:rsid w:val="2EF2D27D"/>
    <w:rsid w:val="2F14F92C"/>
    <w:rsid w:val="2F1852C9"/>
    <w:rsid w:val="2F1D34B6"/>
    <w:rsid w:val="2F2EE11A"/>
    <w:rsid w:val="2F3560F4"/>
    <w:rsid w:val="2F40872B"/>
    <w:rsid w:val="2F5E236C"/>
    <w:rsid w:val="2F6AC2D7"/>
    <w:rsid w:val="2F7C14FB"/>
    <w:rsid w:val="2F7F92A0"/>
    <w:rsid w:val="2F81C3C9"/>
    <w:rsid w:val="2F9715D0"/>
    <w:rsid w:val="2F9CF056"/>
    <w:rsid w:val="2F9F9839"/>
    <w:rsid w:val="2FA0301B"/>
    <w:rsid w:val="2FA51AF6"/>
    <w:rsid w:val="2FA9C1E6"/>
    <w:rsid w:val="2FC3BFB7"/>
    <w:rsid w:val="2FC71AC4"/>
    <w:rsid w:val="2FC9FE27"/>
    <w:rsid w:val="2FD8A382"/>
    <w:rsid w:val="2FDCE0DB"/>
    <w:rsid w:val="2FE4F646"/>
    <w:rsid w:val="2FF60838"/>
    <w:rsid w:val="2FF79321"/>
    <w:rsid w:val="2FFE99FB"/>
    <w:rsid w:val="3001C748"/>
    <w:rsid w:val="3008A57C"/>
    <w:rsid w:val="30093C61"/>
    <w:rsid w:val="300B0DB9"/>
    <w:rsid w:val="300DC5E3"/>
    <w:rsid w:val="300EB2C7"/>
    <w:rsid w:val="3016056D"/>
    <w:rsid w:val="301D700D"/>
    <w:rsid w:val="302B9304"/>
    <w:rsid w:val="302F6FB6"/>
    <w:rsid w:val="30344A1E"/>
    <w:rsid w:val="303C8026"/>
    <w:rsid w:val="303FF523"/>
    <w:rsid w:val="30477FE0"/>
    <w:rsid w:val="304F620A"/>
    <w:rsid w:val="30546D39"/>
    <w:rsid w:val="3068CF3E"/>
    <w:rsid w:val="306B5892"/>
    <w:rsid w:val="306D508D"/>
    <w:rsid w:val="30749A34"/>
    <w:rsid w:val="3075F160"/>
    <w:rsid w:val="3083A062"/>
    <w:rsid w:val="3098EFBE"/>
    <w:rsid w:val="309F8E36"/>
    <w:rsid w:val="30AAA428"/>
    <w:rsid w:val="30ABC3F4"/>
    <w:rsid w:val="30B51280"/>
    <w:rsid w:val="30B8D093"/>
    <w:rsid w:val="30BC37D8"/>
    <w:rsid w:val="30BDA0FA"/>
    <w:rsid w:val="30BF8AAA"/>
    <w:rsid w:val="30CB47A0"/>
    <w:rsid w:val="30D964C1"/>
    <w:rsid w:val="30E904A8"/>
    <w:rsid w:val="30EE40CF"/>
    <w:rsid w:val="30F16284"/>
    <w:rsid w:val="30FCB5DC"/>
    <w:rsid w:val="310D1EFC"/>
    <w:rsid w:val="31221B55"/>
    <w:rsid w:val="31274282"/>
    <w:rsid w:val="3127C2E2"/>
    <w:rsid w:val="3144C3F5"/>
    <w:rsid w:val="314A1B5A"/>
    <w:rsid w:val="314A2A42"/>
    <w:rsid w:val="3158A375"/>
    <w:rsid w:val="3159EEB8"/>
    <w:rsid w:val="3170BAC0"/>
    <w:rsid w:val="3176F31B"/>
    <w:rsid w:val="31770485"/>
    <w:rsid w:val="317725EC"/>
    <w:rsid w:val="3178D21F"/>
    <w:rsid w:val="319A1C7A"/>
    <w:rsid w:val="31A43E23"/>
    <w:rsid w:val="31ADC429"/>
    <w:rsid w:val="31B71275"/>
    <w:rsid w:val="31BA4238"/>
    <w:rsid w:val="31BD0E26"/>
    <w:rsid w:val="31BE8553"/>
    <w:rsid w:val="31BEFF43"/>
    <w:rsid w:val="31CC0184"/>
    <w:rsid w:val="31D08B83"/>
    <w:rsid w:val="31D2733A"/>
    <w:rsid w:val="31D92E14"/>
    <w:rsid w:val="31E5B5C6"/>
    <w:rsid w:val="31E683A5"/>
    <w:rsid w:val="31EF3889"/>
    <w:rsid w:val="31F1B04B"/>
    <w:rsid w:val="31FA75CD"/>
    <w:rsid w:val="320C20DE"/>
    <w:rsid w:val="320C27E8"/>
    <w:rsid w:val="32131EDF"/>
    <w:rsid w:val="322EFB76"/>
    <w:rsid w:val="3231DA8A"/>
    <w:rsid w:val="3232B74E"/>
    <w:rsid w:val="3252F689"/>
    <w:rsid w:val="325670F5"/>
    <w:rsid w:val="325A4699"/>
    <w:rsid w:val="326D03F9"/>
    <w:rsid w:val="328500B9"/>
    <w:rsid w:val="329A2539"/>
    <w:rsid w:val="32A7DDE1"/>
    <w:rsid w:val="32AD6DBB"/>
    <w:rsid w:val="32AEB763"/>
    <w:rsid w:val="32B92D1F"/>
    <w:rsid w:val="32C18332"/>
    <w:rsid w:val="32D07647"/>
    <w:rsid w:val="32E27350"/>
    <w:rsid w:val="32E5B3C2"/>
    <w:rsid w:val="32E7DED1"/>
    <w:rsid w:val="32EC1D17"/>
    <w:rsid w:val="32F8505A"/>
    <w:rsid w:val="32FFE5AC"/>
    <w:rsid w:val="33011966"/>
    <w:rsid w:val="330C62E8"/>
    <w:rsid w:val="3314D145"/>
    <w:rsid w:val="331720D0"/>
    <w:rsid w:val="3318F682"/>
    <w:rsid w:val="331FD32A"/>
    <w:rsid w:val="3325D1F4"/>
    <w:rsid w:val="332AAAB1"/>
    <w:rsid w:val="332ADD82"/>
    <w:rsid w:val="333F2271"/>
    <w:rsid w:val="334ACB80"/>
    <w:rsid w:val="334CE0E2"/>
    <w:rsid w:val="3354C911"/>
    <w:rsid w:val="3355440C"/>
    <w:rsid w:val="33687E34"/>
    <w:rsid w:val="336DAECE"/>
    <w:rsid w:val="336DDB7B"/>
    <w:rsid w:val="33711B69"/>
    <w:rsid w:val="33828044"/>
    <w:rsid w:val="338352C0"/>
    <w:rsid w:val="3389C61C"/>
    <w:rsid w:val="338A8932"/>
    <w:rsid w:val="3394A92B"/>
    <w:rsid w:val="339550FA"/>
    <w:rsid w:val="33A34A7B"/>
    <w:rsid w:val="33BCFF92"/>
    <w:rsid w:val="33D2FCCC"/>
    <w:rsid w:val="33D9EEB5"/>
    <w:rsid w:val="33E3A495"/>
    <w:rsid w:val="33ECB342"/>
    <w:rsid w:val="33F90B92"/>
    <w:rsid w:val="33FF85ED"/>
    <w:rsid w:val="342A49E1"/>
    <w:rsid w:val="3441BFD3"/>
    <w:rsid w:val="34432D09"/>
    <w:rsid w:val="34515AA5"/>
    <w:rsid w:val="34580B7B"/>
    <w:rsid w:val="346DE8BA"/>
    <w:rsid w:val="34740C5F"/>
    <w:rsid w:val="3477E540"/>
    <w:rsid w:val="34786709"/>
    <w:rsid w:val="34843EF2"/>
    <w:rsid w:val="3484D21A"/>
    <w:rsid w:val="34892C76"/>
    <w:rsid w:val="348E1989"/>
    <w:rsid w:val="34A66180"/>
    <w:rsid w:val="34A79139"/>
    <w:rsid w:val="34AC6590"/>
    <w:rsid w:val="34B63518"/>
    <w:rsid w:val="34BE4E28"/>
    <w:rsid w:val="34C7C5F1"/>
    <w:rsid w:val="34D46198"/>
    <w:rsid w:val="34D8455E"/>
    <w:rsid w:val="34D91D5F"/>
    <w:rsid w:val="34E5A9F4"/>
    <w:rsid w:val="34EB586F"/>
    <w:rsid w:val="34F17FF0"/>
    <w:rsid w:val="350C6512"/>
    <w:rsid w:val="350D1816"/>
    <w:rsid w:val="3515045B"/>
    <w:rsid w:val="351980B9"/>
    <w:rsid w:val="351C7B02"/>
    <w:rsid w:val="3522A125"/>
    <w:rsid w:val="352CBA88"/>
    <w:rsid w:val="352F3619"/>
    <w:rsid w:val="354FD3E3"/>
    <w:rsid w:val="355635FF"/>
    <w:rsid w:val="35573798"/>
    <w:rsid w:val="355D74D8"/>
    <w:rsid w:val="355DAD29"/>
    <w:rsid w:val="35667F1A"/>
    <w:rsid w:val="356B1B72"/>
    <w:rsid w:val="356D1E0F"/>
    <w:rsid w:val="35729F1A"/>
    <w:rsid w:val="35744B17"/>
    <w:rsid w:val="3575AA54"/>
    <w:rsid w:val="3580DE03"/>
    <w:rsid w:val="3586E84D"/>
    <w:rsid w:val="358883A3"/>
    <w:rsid w:val="358D7D56"/>
    <w:rsid w:val="3592638F"/>
    <w:rsid w:val="359AFEF5"/>
    <w:rsid w:val="35B25536"/>
    <w:rsid w:val="35B59562"/>
    <w:rsid w:val="35B5D4A3"/>
    <w:rsid w:val="35CBB645"/>
    <w:rsid w:val="35D6D43F"/>
    <w:rsid w:val="35D9F12C"/>
    <w:rsid w:val="35D9FCBF"/>
    <w:rsid w:val="35E13E1B"/>
    <w:rsid w:val="35E2ED09"/>
    <w:rsid w:val="35EF0D0C"/>
    <w:rsid w:val="35EFBF8A"/>
    <w:rsid w:val="361611A9"/>
    <w:rsid w:val="362470AE"/>
    <w:rsid w:val="3624BEA2"/>
    <w:rsid w:val="3634DA31"/>
    <w:rsid w:val="363F2AAB"/>
    <w:rsid w:val="3646E06A"/>
    <w:rsid w:val="364706EE"/>
    <w:rsid w:val="36490DB7"/>
    <w:rsid w:val="364AB632"/>
    <w:rsid w:val="3650E363"/>
    <w:rsid w:val="3652F3D4"/>
    <w:rsid w:val="3655A423"/>
    <w:rsid w:val="3657F038"/>
    <w:rsid w:val="365BACEC"/>
    <w:rsid w:val="366DA108"/>
    <w:rsid w:val="3687450A"/>
    <w:rsid w:val="3690846B"/>
    <w:rsid w:val="36987003"/>
    <w:rsid w:val="36A0C8E5"/>
    <w:rsid w:val="36A3175C"/>
    <w:rsid w:val="36ADF227"/>
    <w:rsid w:val="36C16DC9"/>
    <w:rsid w:val="36C5290E"/>
    <w:rsid w:val="36C6B039"/>
    <w:rsid w:val="36CAA1CA"/>
    <w:rsid w:val="36D16C8D"/>
    <w:rsid w:val="36F22CD5"/>
    <w:rsid w:val="36F47715"/>
    <w:rsid w:val="36F6F865"/>
    <w:rsid w:val="370734E4"/>
    <w:rsid w:val="371064AA"/>
    <w:rsid w:val="371A1A06"/>
    <w:rsid w:val="3724C90D"/>
    <w:rsid w:val="373578E3"/>
    <w:rsid w:val="37360938"/>
    <w:rsid w:val="37412448"/>
    <w:rsid w:val="3742BAB8"/>
    <w:rsid w:val="3754AF38"/>
    <w:rsid w:val="376D846B"/>
    <w:rsid w:val="3771A4DB"/>
    <w:rsid w:val="377731B7"/>
    <w:rsid w:val="377957A6"/>
    <w:rsid w:val="377F42AA"/>
    <w:rsid w:val="37833CDC"/>
    <w:rsid w:val="378E563A"/>
    <w:rsid w:val="3799A394"/>
    <w:rsid w:val="37A835F7"/>
    <w:rsid w:val="37ABDE79"/>
    <w:rsid w:val="37ABE4A9"/>
    <w:rsid w:val="37AE5F2A"/>
    <w:rsid w:val="37AED917"/>
    <w:rsid w:val="37C2CB1C"/>
    <w:rsid w:val="37C37AE3"/>
    <w:rsid w:val="37CB00AC"/>
    <w:rsid w:val="37D9D526"/>
    <w:rsid w:val="38207AF6"/>
    <w:rsid w:val="38236BF4"/>
    <w:rsid w:val="38295CEC"/>
    <w:rsid w:val="382CBE61"/>
    <w:rsid w:val="382CCAB8"/>
    <w:rsid w:val="38434594"/>
    <w:rsid w:val="3849B914"/>
    <w:rsid w:val="3855B53B"/>
    <w:rsid w:val="38616524"/>
    <w:rsid w:val="3867C790"/>
    <w:rsid w:val="3868C21D"/>
    <w:rsid w:val="38690BDF"/>
    <w:rsid w:val="386E9A8D"/>
    <w:rsid w:val="3873D57C"/>
    <w:rsid w:val="38820FF9"/>
    <w:rsid w:val="3882B84F"/>
    <w:rsid w:val="38888091"/>
    <w:rsid w:val="38892FF1"/>
    <w:rsid w:val="388B75E9"/>
    <w:rsid w:val="38950275"/>
    <w:rsid w:val="38956B86"/>
    <w:rsid w:val="38988102"/>
    <w:rsid w:val="38994C6F"/>
    <w:rsid w:val="389E73B0"/>
    <w:rsid w:val="38A52BC7"/>
    <w:rsid w:val="38A8DEC5"/>
    <w:rsid w:val="38CF2BB0"/>
    <w:rsid w:val="38CF876C"/>
    <w:rsid w:val="38EC4F28"/>
    <w:rsid w:val="38EE1D69"/>
    <w:rsid w:val="38FCC795"/>
    <w:rsid w:val="391136BF"/>
    <w:rsid w:val="391DC169"/>
    <w:rsid w:val="391E9354"/>
    <w:rsid w:val="392279D3"/>
    <w:rsid w:val="392FCE92"/>
    <w:rsid w:val="393347EE"/>
    <w:rsid w:val="3937D8C0"/>
    <w:rsid w:val="393DA3DD"/>
    <w:rsid w:val="39466E1B"/>
    <w:rsid w:val="3953AB46"/>
    <w:rsid w:val="3971400F"/>
    <w:rsid w:val="39737A78"/>
    <w:rsid w:val="39740E66"/>
    <w:rsid w:val="397A2DCF"/>
    <w:rsid w:val="397B8DB4"/>
    <w:rsid w:val="397D9DA5"/>
    <w:rsid w:val="3980AC8D"/>
    <w:rsid w:val="39852589"/>
    <w:rsid w:val="3985ED8D"/>
    <w:rsid w:val="3994E85C"/>
    <w:rsid w:val="399999C6"/>
    <w:rsid w:val="399A2720"/>
    <w:rsid w:val="399A3130"/>
    <w:rsid w:val="39B85AED"/>
    <w:rsid w:val="39BB06F2"/>
    <w:rsid w:val="39BC89C8"/>
    <w:rsid w:val="39BE37EA"/>
    <w:rsid w:val="39C12757"/>
    <w:rsid w:val="39C567A6"/>
    <w:rsid w:val="39C9B00E"/>
    <w:rsid w:val="39D9E8D6"/>
    <w:rsid w:val="39E38386"/>
    <w:rsid w:val="39E4996D"/>
    <w:rsid w:val="39EA9104"/>
    <w:rsid w:val="39EFD624"/>
    <w:rsid w:val="39F89DCC"/>
    <w:rsid w:val="39FBF45D"/>
    <w:rsid w:val="3A0101AC"/>
    <w:rsid w:val="3A12807B"/>
    <w:rsid w:val="3A1561C3"/>
    <w:rsid w:val="3A1BBAB3"/>
    <w:rsid w:val="3A2FF0B1"/>
    <w:rsid w:val="3A36F4B7"/>
    <w:rsid w:val="3A3B3C08"/>
    <w:rsid w:val="3A4F9F67"/>
    <w:rsid w:val="3A52934C"/>
    <w:rsid w:val="3A8BE8C0"/>
    <w:rsid w:val="3A8EDE18"/>
    <w:rsid w:val="3A982016"/>
    <w:rsid w:val="3A98C168"/>
    <w:rsid w:val="3A997824"/>
    <w:rsid w:val="3A9D6100"/>
    <w:rsid w:val="3AA31F20"/>
    <w:rsid w:val="3AA3E22D"/>
    <w:rsid w:val="3AB995E7"/>
    <w:rsid w:val="3ACC2BDA"/>
    <w:rsid w:val="3AD0F4CF"/>
    <w:rsid w:val="3AE008E9"/>
    <w:rsid w:val="3AE7A9DB"/>
    <w:rsid w:val="3AE8A64B"/>
    <w:rsid w:val="3B05E87F"/>
    <w:rsid w:val="3B235DE0"/>
    <w:rsid w:val="3B26C07B"/>
    <w:rsid w:val="3B2C560D"/>
    <w:rsid w:val="3B2E9143"/>
    <w:rsid w:val="3B3365B4"/>
    <w:rsid w:val="3B3AA5CD"/>
    <w:rsid w:val="3B442586"/>
    <w:rsid w:val="3B548C7C"/>
    <w:rsid w:val="3B7BE275"/>
    <w:rsid w:val="3B7ECF62"/>
    <w:rsid w:val="3B86D1AA"/>
    <w:rsid w:val="3B8841EE"/>
    <w:rsid w:val="3B892B39"/>
    <w:rsid w:val="3B901818"/>
    <w:rsid w:val="3B98E01B"/>
    <w:rsid w:val="3B9B09B7"/>
    <w:rsid w:val="3BA66B52"/>
    <w:rsid w:val="3BB53F70"/>
    <w:rsid w:val="3BB9425F"/>
    <w:rsid w:val="3BC43353"/>
    <w:rsid w:val="3BCC168F"/>
    <w:rsid w:val="3BCD5C0E"/>
    <w:rsid w:val="3BCFC719"/>
    <w:rsid w:val="3BD578D2"/>
    <w:rsid w:val="3BDA7C03"/>
    <w:rsid w:val="3BE2B486"/>
    <w:rsid w:val="3BE78F8E"/>
    <w:rsid w:val="3BE98F4E"/>
    <w:rsid w:val="3BEBF9C2"/>
    <w:rsid w:val="3BF41B10"/>
    <w:rsid w:val="3BF47046"/>
    <w:rsid w:val="3BF5A0DA"/>
    <w:rsid w:val="3BFCF23B"/>
    <w:rsid w:val="3C025793"/>
    <w:rsid w:val="3C0409EB"/>
    <w:rsid w:val="3C0426BB"/>
    <w:rsid w:val="3C125883"/>
    <w:rsid w:val="3C136094"/>
    <w:rsid w:val="3C1524F1"/>
    <w:rsid w:val="3C15A80D"/>
    <w:rsid w:val="3C252044"/>
    <w:rsid w:val="3C2D15FF"/>
    <w:rsid w:val="3C30FE1D"/>
    <w:rsid w:val="3C37377F"/>
    <w:rsid w:val="3C4860D2"/>
    <w:rsid w:val="3C4C3544"/>
    <w:rsid w:val="3C4E3FB7"/>
    <w:rsid w:val="3C50BB8F"/>
    <w:rsid w:val="3C50C958"/>
    <w:rsid w:val="3C5BF8B1"/>
    <w:rsid w:val="3C5CE18A"/>
    <w:rsid w:val="3C63D6AE"/>
    <w:rsid w:val="3C6661B4"/>
    <w:rsid w:val="3C73D7DE"/>
    <w:rsid w:val="3C746AC5"/>
    <w:rsid w:val="3C7737E4"/>
    <w:rsid w:val="3C82CAEC"/>
    <w:rsid w:val="3C86D48C"/>
    <w:rsid w:val="3C8AB855"/>
    <w:rsid w:val="3C8DF7C9"/>
    <w:rsid w:val="3C906C6F"/>
    <w:rsid w:val="3C9B0911"/>
    <w:rsid w:val="3C9E941A"/>
    <w:rsid w:val="3CB96A66"/>
    <w:rsid w:val="3CC715F6"/>
    <w:rsid w:val="3CC93C66"/>
    <w:rsid w:val="3CCD173B"/>
    <w:rsid w:val="3CCF1B23"/>
    <w:rsid w:val="3CDF3BF9"/>
    <w:rsid w:val="3CE4C505"/>
    <w:rsid w:val="3CE56232"/>
    <w:rsid w:val="3CE8763C"/>
    <w:rsid w:val="3CE96C67"/>
    <w:rsid w:val="3CEE57DA"/>
    <w:rsid w:val="3D08E077"/>
    <w:rsid w:val="3D10A3A9"/>
    <w:rsid w:val="3D133094"/>
    <w:rsid w:val="3D143D74"/>
    <w:rsid w:val="3D154BFC"/>
    <w:rsid w:val="3D2D068C"/>
    <w:rsid w:val="3D32F219"/>
    <w:rsid w:val="3D359EAB"/>
    <w:rsid w:val="3D35F588"/>
    <w:rsid w:val="3D428305"/>
    <w:rsid w:val="3D48C077"/>
    <w:rsid w:val="3D50FD99"/>
    <w:rsid w:val="3D52C338"/>
    <w:rsid w:val="3D547428"/>
    <w:rsid w:val="3D5B6F1B"/>
    <w:rsid w:val="3D724552"/>
    <w:rsid w:val="3D7F6D80"/>
    <w:rsid w:val="3DBFC82A"/>
    <w:rsid w:val="3DC28BC4"/>
    <w:rsid w:val="3DCB674C"/>
    <w:rsid w:val="3DE1BC45"/>
    <w:rsid w:val="3DF61E4A"/>
    <w:rsid w:val="3DFDC892"/>
    <w:rsid w:val="3E04A244"/>
    <w:rsid w:val="3E1251EA"/>
    <w:rsid w:val="3E31C631"/>
    <w:rsid w:val="3E464DC0"/>
    <w:rsid w:val="3E4C627A"/>
    <w:rsid w:val="3E4D3B56"/>
    <w:rsid w:val="3E51AD2B"/>
    <w:rsid w:val="3E559FC0"/>
    <w:rsid w:val="3E5D5BE7"/>
    <w:rsid w:val="3E621321"/>
    <w:rsid w:val="3E6AFB92"/>
    <w:rsid w:val="3E7494A5"/>
    <w:rsid w:val="3E830F98"/>
    <w:rsid w:val="3E9B628C"/>
    <w:rsid w:val="3EBE28EA"/>
    <w:rsid w:val="3EC3B4F3"/>
    <w:rsid w:val="3ECB730D"/>
    <w:rsid w:val="3ED77776"/>
    <w:rsid w:val="3EDB6F8B"/>
    <w:rsid w:val="3EE04DE8"/>
    <w:rsid w:val="3EED7A60"/>
    <w:rsid w:val="3EEF5D67"/>
    <w:rsid w:val="3EF9F6CD"/>
    <w:rsid w:val="3EFB1F0E"/>
    <w:rsid w:val="3EFCC4F8"/>
    <w:rsid w:val="3EFDBD66"/>
    <w:rsid w:val="3F037AB1"/>
    <w:rsid w:val="3F045EB9"/>
    <w:rsid w:val="3F0DA4CF"/>
    <w:rsid w:val="3F16A549"/>
    <w:rsid w:val="3F199195"/>
    <w:rsid w:val="3F248F99"/>
    <w:rsid w:val="3F25A522"/>
    <w:rsid w:val="3F28340F"/>
    <w:rsid w:val="3F2EF7FF"/>
    <w:rsid w:val="3F340C91"/>
    <w:rsid w:val="3F366AA8"/>
    <w:rsid w:val="3F3BCBC0"/>
    <w:rsid w:val="3F3F4545"/>
    <w:rsid w:val="3F420681"/>
    <w:rsid w:val="3F48645B"/>
    <w:rsid w:val="3F539825"/>
    <w:rsid w:val="3F5FB479"/>
    <w:rsid w:val="3F60A5A3"/>
    <w:rsid w:val="3F63A52C"/>
    <w:rsid w:val="3F7942F3"/>
    <w:rsid w:val="3F7FB927"/>
    <w:rsid w:val="3F90C08C"/>
    <w:rsid w:val="3F9928D8"/>
    <w:rsid w:val="3FB2EAE6"/>
    <w:rsid w:val="3FC1C7D6"/>
    <w:rsid w:val="3FC862CD"/>
    <w:rsid w:val="3FCE8849"/>
    <w:rsid w:val="3FD7DB1E"/>
    <w:rsid w:val="3FDB3EB0"/>
    <w:rsid w:val="3FDF9890"/>
    <w:rsid w:val="3FE145C9"/>
    <w:rsid w:val="3FE854F1"/>
    <w:rsid w:val="3FE98A0B"/>
    <w:rsid w:val="3FF00102"/>
    <w:rsid w:val="4002B008"/>
    <w:rsid w:val="4005C098"/>
    <w:rsid w:val="40130AE4"/>
    <w:rsid w:val="4015D592"/>
    <w:rsid w:val="401E9B21"/>
    <w:rsid w:val="40277432"/>
    <w:rsid w:val="403AF1DF"/>
    <w:rsid w:val="4047617E"/>
    <w:rsid w:val="405329A9"/>
    <w:rsid w:val="40545460"/>
    <w:rsid w:val="40658CEF"/>
    <w:rsid w:val="40703D95"/>
    <w:rsid w:val="40721323"/>
    <w:rsid w:val="407B1E75"/>
    <w:rsid w:val="407E29BA"/>
    <w:rsid w:val="407ECBCA"/>
    <w:rsid w:val="4089FF53"/>
    <w:rsid w:val="4097C1E8"/>
    <w:rsid w:val="40993DD9"/>
    <w:rsid w:val="409F8200"/>
    <w:rsid w:val="40A9B128"/>
    <w:rsid w:val="40B408FD"/>
    <w:rsid w:val="40C4B738"/>
    <w:rsid w:val="40CCD626"/>
    <w:rsid w:val="40E7D6AF"/>
    <w:rsid w:val="40E8A5F2"/>
    <w:rsid w:val="40EB326D"/>
    <w:rsid w:val="40EB82BB"/>
    <w:rsid w:val="40EC214E"/>
    <w:rsid w:val="40F768EC"/>
    <w:rsid w:val="410071C5"/>
    <w:rsid w:val="41017982"/>
    <w:rsid w:val="41109508"/>
    <w:rsid w:val="41136A92"/>
    <w:rsid w:val="411D7731"/>
    <w:rsid w:val="411F7DC1"/>
    <w:rsid w:val="4126DA29"/>
    <w:rsid w:val="412B7329"/>
    <w:rsid w:val="413A72D8"/>
    <w:rsid w:val="413C4136"/>
    <w:rsid w:val="413D235B"/>
    <w:rsid w:val="41405404"/>
    <w:rsid w:val="4158A353"/>
    <w:rsid w:val="41627BC1"/>
    <w:rsid w:val="416F0340"/>
    <w:rsid w:val="417409AC"/>
    <w:rsid w:val="41750CD3"/>
    <w:rsid w:val="4183C02F"/>
    <w:rsid w:val="418D36B5"/>
    <w:rsid w:val="41A67CAB"/>
    <w:rsid w:val="41A74D00"/>
    <w:rsid w:val="41A8B688"/>
    <w:rsid w:val="41B803E8"/>
    <w:rsid w:val="41BB1DE3"/>
    <w:rsid w:val="41C4EE12"/>
    <w:rsid w:val="41D6B0BA"/>
    <w:rsid w:val="41D96E7A"/>
    <w:rsid w:val="41E414CC"/>
    <w:rsid w:val="41EDAE99"/>
    <w:rsid w:val="41EE004B"/>
    <w:rsid w:val="41F47BFB"/>
    <w:rsid w:val="4220B7A7"/>
    <w:rsid w:val="4221932D"/>
    <w:rsid w:val="42333748"/>
    <w:rsid w:val="423DA1B1"/>
    <w:rsid w:val="424AAB24"/>
    <w:rsid w:val="424F6FDE"/>
    <w:rsid w:val="4253F954"/>
    <w:rsid w:val="42569F45"/>
    <w:rsid w:val="42588EC0"/>
    <w:rsid w:val="42590CCD"/>
    <w:rsid w:val="426844CD"/>
    <w:rsid w:val="4285EEF2"/>
    <w:rsid w:val="42880629"/>
    <w:rsid w:val="4290C692"/>
    <w:rsid w:val="4293394D"/>
    <w:rsid w:val="42943E97"/>
    <w:rsid w:val="42959F68"/>
    <w:rsid w:val="429B3B9A"/>
    <w:rsid w:val="42B1117F"/>
    <w:rsid w:val="42BAB5A5"/>
    <w:rsid w:val="42C05A4B"/>
    <w:rsid w:val="42C11CC9"/>
    <w:rsid w:val="42D7014C"/>
    <w:rsid w:val="42DBF554"/>
    <w:rsid w:val="42DD83C7"/>
    <w:rsid w:val="42E71C35"/>
    <w:rsid w:val="42E9FCC8"/>
    <w:rsid w:val="42EB480D"/>
    <w:rsid w:val="42F93DC7"/>
    <w:rsid w:val="4302458B"/>
    <w:rsid w:val="4302EF15"/>
    <w:rsid w:val="4309AE55"/>
    <w:rsid w:val="43234E7D"/>
    <w:rsid w:val="4328CD53"/>
    <w:rsid w:val="432ECEE9"/>
    <w:rsid w:val="434165F3"/>
    <w:rsid w:val="434824CC"/>
    <w:rsid w:val="434E2CE6"/>
    <w:rsid w:val="43627502"/>
    <w:rsid w:val="436A0E9A"/>
    <w:rsid w:val="43866FDF"/>
    <w:rsid w:val="4398FB52"/>
    <w:rsid w:val="43A0D1A0"/>
    <w:rsid w:val="43A0D27D"/>
    <w:rsid w:val="43AF3970"/>
    <w:rsid w:val="43B6C993"/>
    <w:rsid w:val="43C1089D"/>
    <w:rsid w:val="43C17599"/>
    <w:rsid w:val="43C9E19A"/>
    <w:rsid w:val="43DBE52D"/>
    <w:rsid w:val="43F83C4D"/>
    <w:rsid w:val="43FA332C"/>
    <w:rsid w:val="43FE7EE1"/>
    <w:rsid w:val="44025C61"/>
    <w:rsid w:val="4409C3B1"/>
    <w:rsid w:val="44205038"/>
    <w:rsid w:val="442A0966"/>
    <w:rsid w:val="442CFF1C"/>
    <w:rsid w:val="44366A4B"/>
    <w:rsid w:val="443EEE11"/>
    <w:rsid w:val="4445E055"/>
    <w:rsid w:val="44478C95"/>
    <w:rsid w:val="4456302E"/>
    <w:rsid w:val="4457269F"/>
    <w:rsid w:val="445840A4"/>
    <w:rsid w:val="44666851"/>
    <w:rsid w:val="446910BB"/>
    <w:rsid w:val="447298AA"/>
    <w:rsid w:val="447C48E8"/>
    <w:rsid w:val="448078C9"/>
    <w:rsid w:val="44835AB8"/>
    <w:rsid w:val="44852D1B"/>
    <w:rsid w:val="449377F1"/>
    <w:rsid w:val="449442D3"/>
    <w:rsid w:val="449BF3A5"/>
    <w:rsid w:val="44A3D31A"/>
    <w:rsid w:val="44A7ED98"/>
    <w:rsid w:val="44AAF89F"/>
    <w:rsid w:val="44AE9C6C"/>
    <w:rsid w:val="44AF077D"/>
    <w:rsid w:val="44B637B7"/>
    <w:rsid w:val="44C07923"/>
    <w:rsid w:val="44CABA0C"/>
    <w:rsid w:val="44CD3056"/>
    <w:rsid w:val="44D1BA47"/>
    <w:rsid w:val="44DD71A2"/>
    <w:rsid w:val="44EB25B3"/>
    <w:rsid w:val="44FDD094"/>
    <w:rsid w:val="45149B65"/>
    <w:rsid w:val="452045E2"/>
    <w:rsid w:val="45242018"/>
    <w:rsid w:val="453098AB"/>
    <w:rsid w:val="4538CA3F"/>
    <w:rsid w:val="4538F56F"/>
    <w:rsid w:val="45394C69"/>
    <w:rsid w:val="45395CAA"/>
    <w:rsid w:val="453C4497"/>
    <w:rsid w:val="453D418B"/>
    <w:rsid w:val="4543FA52"/>
    <w:rsid w:val="4548DBE4"/>
    <w:rsid w:val="454D11EE"/>
    <w:rsid w:val="454E3495"/>
    <w:rsid w:val="455343BB"/>
    <w:rsid w:val="4559ABAB"/>
    <w:rsid w:val="455CCEB3"/>
    <w:rsid w:val="45666361"/>
    <w:rsid w:val="456E2870"/>
    <w:rsid w:val="458100FA"/>
    <w:rsid w:val="459568D1"/>
    <w:rsid w:val="45A5038A"/>
    <w:rsid w:val="45B38E41"/>
    <w:rsid w:val="45B44E71"/>
    <w:rsid w:val="45BA19C4"/>
    <w:rsid w:val="45C9839B"/>
    <w:rsid w:val="45D04BEE"/>
    <w:rsid w:val="45D094A0"/>
    <w:rsid w:val="45D3568C"/>
    <w:rsid w:val="45D5FA7C"/>
    <w:rsid w:val="45D6A721"/>
    <w:rsid w:val="45DD9D3D"/>
    <w:rsid w:val="45E56129"/>
    <w:rsid w:val="45EF7FB2"/>
    <w:rsid w:val="46059953"/>
    <w:rsid w:val="460B8532"/>
    <w:rsid w:val="460D0679"/>
    <w:rsid w:val="460D1EF7"/>
    <w:rsid w:val="46106ABB"/>
    <w:rsid w:val="46142905"/>
    <w:rsid w:val="461EB2BC"/>
    <w:rsid w:val="4623A131"/>
    <w:rsid w:val="462CB9E7"/>
    <w:rsid w:val="4633784E"/>
    <w:rsid w:val="4633F833"/>
    <w:rsid w:val="4634F6C9"/>
    <w:rsid w:val="463B27F5"/>
    <w:rsid w:val="4646141A"/>
    <w:rsid w:val="466AA5C6"/>
    <w:rsid w:val="466B1E10"/>
    <w:rsid w:val="466BB67A"/>
    <w:rsid w:val="467120DA"/>
    <w:rsid w:val="4682B1AD"/>
    <w:rsid w:val="4683EDF7"/>
    <w:rsid w:val="468F07E4"/>
    <w:rsid w:val="46900E9B"/>
    <w:rsid w:val="4692B5B6"/>
    <w:rsid w:val="46BD0316"/>
    <w:rsid w:val="46BE479B"/>
    <w:rsid w:val="46D13C33"/>
    <w:rsid w:val="46D36311"/>
    <w:rsid w:val="46E90DC5"/>
    <w:rsid w:val="46F6F79C"/>
    <w:rsid w:val="46FBDD58"/>
    <w:rsid w:val="4704E699"/>
    <w:rsid w:val="4706E932"/>
    <w:rsid w:val="4709E5E8"/>
    <w:rsid w:val="470B88D3"/>
    <w:rsid w:val="470D9A46"/>
    <w:rsid w:val="471ED40E"/>
    <w:rsid w:val="472163C4"/>
    <w:rsid w:val="472915B9"/>
    <w:rsid w:val="47293CF7"/>
    <w:rsid w:val="473C5F77"/>
    <w:rsid w:val="4749967F"/>
    <w:rsid w:val="47617F08"/>
    <w:rsid w:val="4762E1E9"/>
    <w:rsid w:val="4766AA70"/>
    <w:rsid w:val="4767F472"/>
    <w:rsid w:val="4771B829"/>
    <w:rsid w:val="477B902F"/>
    <w:rsid w:val="47912623"/>
    <w:rsid w:val="47950EDE"/>
    <w:rsid w:val="4796F2DD"/>
    <w:rsid w:val="4797A74E"/>
    <w:rsid w:val="47986F49"/>
    <w:rsid w:val="479A8846"/>
    <w:rsid w:val="479C28AE"/>
    <w:rsid w:val="479E01F1"/>
    <w:rsid w:val="47AB48E2"/>
    <w:rsid w:val="47BCB58F"/>
    <w:rsid w:val="47BF7816"/>
    <w:rsid w:val="47C35FBF"/>
    <w:rsid w:val="47C40B9D"/>
    <w:rsid w:val="47CA0AE2"/>
    <w:rsid w:val="47D5BF6E"/>
    <w:rsid w:val="47DBDCD1"/>
    <w:rsid w:val="47E44940"/>
    <w:rsid w:val="47E55C16"/>
    <w:rsid w:val="47F8872C"/>
    <w:rsid w:val="480233A8"/>
    <w:rsid w:val="48038B1C"/>
    <w:rsid w:val="4803A5C4"/>
    <w:rsid w:val="4803E204"/>
    <w:rsid w:val="48057CDC"/>
    <w:rsid w:val="48095B09"/>
    <w:rsid w:val="480A9A5F"/>
    <w:rsid w:val="4817B845"/>
    <w:rsid w:val="481FB0DF"/>
    <w:rsid w:val="4827E2ED"/>
    <w:rsid w:val="4828D7ED"/>
    <w:rsid w:val="484C640C"/>
    <w:rsid w:val="4850588D"/>
    <w:rsid w:val="48531126"/>
    <w:rsid w:val="485AAC56"/>
    <w:rsid w:val="487F6615"/>
    <w:rsid w:val="488E0B94"/>
    <w:rsid w:val="488EE8E2"/>
    <w:rsid w:val="48931CE5"/>
    <w:rsid w:val="489647DC"/>
    <w:rsid w:val="48A6C810"/>
    <w:rsid w:val="48AC569E"/>
    <w:rsid w:val="48ACB15F"/>
    <w:rsid w:val="48AEAC36"/>
    <w:rsid w:val="48AF5911"/>
    <w:rsid w:val="48B1CADD"/>
    <w:rsid w:val="48B85AA3"/>
    <w:rsid w:val="48CD5AB6"/>
    <w:rsid w:val="48D90B8B"/>
    <w:rsid w:val="48EF71AC"/>
    <w:rsid w:val="48F5E059"/>
    <w:rsid w:val="48FBB6D5"/>
    <w:rsid w:val="48FE30DD"/>
    <w:rsid w:val="491131E1"/>
    <w:rsid w:val="491BFFA1"/>
    <w:rsid w:val="491EF78E"/>
    <w:rsid w:val="492858C3"/>
    <w:rsid w:val="493B0075"/>
    <w:rsid w:val="493DA1E1"/>
    <w:rsid w:val="49437863"/>
    <w:rsid w:val="49542DA8"/>
    <w:rsid w:val="4959659B"/>
    <w:rsid w:val="495A6B43"/>
    <w:rsid w:val="49750C2E"/>
    <w:rsid w:val="497B39AF"/>
    <w:rsid w:val="497D26AD"/>
    <w:rsid w:val="498E19CB"/>
    <w:rsid w:val="499578B5"/>
    <w:rsid w:val="49998E42"/>
    <w:rsid w:val="49A0815F"/>
    <w:rsid w:val="49AA146B"/>
    <w:rsid w:val="49AC97F3"/>
    <w:rsid w:val="49B0382A"/>
    <w:rsid w:val="49B4E96C"/>
    <w:rsid w:val="49BA82AA"/>
    <w:rsid w:val="49CD2540"/>
    <w:rsid w:val="49D4F76D"/>
    <w:rsid w:val="49DA3D15"/>
    <w:rsid w:val="49DB8CEE"/>
    <w:rsid w:val="49EB64B6"/>
    <w:rsid w:val="4A09E3C5"/>
    <w:rsid w:val="4A12F8B1"/>
    <w:rsid w:val="4A13C19A"/>
    <w:rsid w:val="4A1A366B"/>
    <w:rsid w:val="4A488159"/>
    <w:rsid w:val="4A4A10E8"/>
    <w:rsid w:val="4A4E9C82"/>
    <w:rsid w:val="4A53A7B1"/>
    <w:rsid w:val="4A5A35E4"/>
    <w:rsid w:val="4A5C197C"/>
    <w:rsid w:val="4A605A94"/>
    <w:rsid w:val="4A660E2F"/>
    <w:rsid w:val="4A6B8CCB"/>
    <w:rsid w:val="4A6FEC93"/>
    <w:rsid w:val="4A74522B"/>
    <w:rsid w:val="4A77FD2D"/>
    <w:rsid w:val="4A780460"/>
    <w:rsid w:val="4A800323"/>
    <w:rsid w:val="4A82A7EA"/>
    <w:rsid w:val="4AA97BD3"/>
    <w:rsid w:val="4AB16361"/>
    <w:rsid w:val="4AB3D639"/>
    <w:rsid w:val="4AC20070"/>
    <w:rsid w:val="4AC77237"/>
    <w:rsid w:val="4ACA688A"/>
    <w:rsid w:val="4AD36BBD"/>
    <w:rsid w:val="4AD5118C"/>
    <w:rsid w:val="4ADD5601"/>
    <w:rsid w:val="4ADDEFFD"/>
    <w:rsid w:val="4AE01244"/>
    <w:rsid w:val="4AE703BC"/>
    <w:rsid w:val="4AF1C1C0"/>
    <w:rsid w:val="4AFFC796"/>
    <w:rsid w:val="4B013A2D"/>
    <w:rsid w:val="4B0E3F7F"/>
    <w:rsid w:val="4B0FD0FB"/>
    <w:rsid w:val="4B1681C4"/>
    <w:rsid w:val="4B1C29CF"/>
    <w:rsid w:val="4B2B48E2"/>
    <w:rsid w:val="4B377C40"/>
    <w:rsid w:val="4B4555B4"/>
    <w:rsid w:val="4B5C3E8C"/>
    <w:rsid w:val="4B6F30B9"/>
    <w:rsid w:val="4B6FE8FF"/>
    <w:rsid w:val="4B89F715"/>
    <w:rsid w:val="4B8A3292"/>
    <w:rsid w:val="4B8E457E"/>
    <w:rsid w:val="4B929AA1"/>
    <w:rsid w:val="4B975FE4"/>
    <w:rsid w:val="4BB42C1F"/>
    <w:rsid w:val="4BB8CFD3"/>
    <w:rsid w:val="4BBA2086"/>
    <w:rsid w:val="4BC9A4C4"/>
    <w:rsid w:val="4BCB7BE4"/>
    <w:rsid w:val="4BE3BAA9"/>
    <w:rsid w:val="4BEAFC4C"/>
    <w:rsid w:val="4BF2896C"/>
    <w:rsid w:val="4BFAF345"/>
    <w:rsid w:val="4C07FBC8"/>
    <w:rsid w:val="4C10BDF0"/>
    <w:rsid w:val="4C1162EA"/>
    <w:rsid w:val="4C202C9A"/>
    <w:rsid w:val="4C20F9C9"/>
    <w:rsid w:val="4C36114C"/>
    <w:rsid w:val="4C3B796D"/>
    <w:rsid w:val="4C3D0BB8"/>
    <w:rsid w:val="4C3E7463"/>
    <w:rsid w:val="4C574EFB"/>
    <w:rsid w:val="4C5E6C93"/>
    <w:rsid w:val="4C60A412"/>
    <w:rsid w:val="4C6D17FA"/>
    <w:rsid w:val="4C70E657"/>
    <w:rsid w:val="4C71054A"/>
    <w:rsid w:val="4C776510"/>
    <w:rsid w:val="4C8013F3"/>
    <w:rsid w:val="4C9477F4"/>
    <w:rsid w:val="4C9A1D35"/>
    <w:rsid w:val="4CA05D08"/>
    <w:rsid w:val="4CA9DEFC"/>
    <w:rsid w:val="4CB7F0B8"/>
    <w:rsid w:val="4CC4B7AB"/>
    <w:rsid w:val="4CD5D2BE"/>
    <w:rsid w:val="4CD5F70F"/>
    <w:rsid w:val="4CD8E6D5"/>
    <w:rsid w:val="4CDBA5F2"/>
    <w:rsid w:val="4CEB76BD"/>
    <w:rsid w:val="4CF5E21A"/>
    <w:rsid w:val="4D13AB3A"/>
    <w:rsid w:val="4D2B78C0"/>
    <w:rsid w:val="4D3F1320"/>
    <w:rsid w:val="4D53D634"/>
    <w:rsid w:val="4D551C69"/>
    <w:rsid w:val="4D58440F"/>
    <w:rsid w:val="4D602EBC"/>
    <w:rsid w:val="4D663954"/>
    <w:rsid w:val="4D681837"/>
    <w:rsid w:val="4D7D01F9"/>
    <w:rsid w:val="4D7D125C"/>
    <w:rsid w:val="4D7FFACF"/>
    <w:rsid w:val="4D823A73"/>
    <w:rsid w:val="4D8C1CCE"/>
    <w:rsid w:val="4D8EF2C6"/>
    <w:rsid w:val="4D9E1BC1"/>
    <w:rsid w:val="4DA512E0"/>
    <w:rsid w:val="4DA5B0B7"/>
    <w:rsid w:val="4DB4AF88"/>
    <w:rsid w:val="4DBB8DBC"/>
    <w:rsid w:val="4DC0F756"/>
    <w:rsid w:val="4DC5FF46"/>
    <w:rsid w:val="4DC8654D"/>
    <w:rsid w:val="4DCD38CD"/>
    <w:rsid w:val="4DD35458"/>
    <w:rsid w:val="4DD6D522"/>
    <w:rsid w:val="4DD9B780"/>
    <w:rsid w:val="4DDD745B"/>
    <w:rsid w:val="4DEC9EB1"/>
    <w:rsid w:val="4DF27082"/>
    <w:rsid w:val="4E0143EA"/>
    <w:rsid w:val="4E135F9E"/>
    <w:rsid w:val="4E186817"/>
    <w:rsid w:val="4E21CBB2"/>
    <w:rsid w:val="4E4548C9"/>
    <w:rsid w:val="4E56B6C9"/>
    <w:rsid w:val="4E6123C8"/>
    <w:rsid w:val="4E653E63"/>
    <w:rsid w:val="4E77335C"/>
    <w:rsid w:val="4E7D858E"/>
    <w:rsid w:val="4E8AD773"/>
    <w:rsid w:val="4E922FA7"/>
    <w:rsid w:val="4E9533D3"/>
    <w:rsid w:val="4EB7DF59"/>
    <w:rsid w:val="4EC0F02D"/>
    <w:rsid w:val="4EC91861"/>
    <w:rsid w:val="4EE5BD1E"/>
    <w:rsid w:val="4EF2378E"/>
    <w:rsid w:val="4EF25735"/>
    <w:rsid w:val="4F09E090"/>
    <w:rsid w:val="4F153173"/>
    <w:rsid w:val="4F1CCE74"/>
    <w:rsid w:val="4F1F4D81"/>
    <w:rsid w:val="4F236F27"/>
    <w:rsid w:val="4F3E83A2"/>
    <w:rsid w:val="4F5CE174"/>
    <w:rsid w:val="4F6CD8C1"/>
    <w:rsid w:val="4F76FF34"/>
    <w:rsid w:val="4F7944BC"/>
    <w:rsid w:val="4F7A65F6"/>
    <w:rsid w:val="4F7D7F43"/>
    <w:rsid w:val="4F92E7FF"/>
    <w:rsid w:val="4F9B08FF"/>
    <w:rsid w:val="4F9D326A"/>
    <w:rsid w:val="4F9DD7D5"/>
    <w:rsid w:val="4FB14F84"/>
    <w:rsid w:val="4FB959BC"/>
    <w:rsid w:val="4FC22F51"/>
    <w:rsid w:val="4FC3CEFC"/>
    <w:rsid w:val="4FC5F55F"/>
    <w:rsid w:val="4FCE04A7"/>
    <w:rsid w:val="4FD6A6B8"/>
    <w:rsid w:val="4FF2EABF"/>
    <w:rsid w:val="4FF56EA9"/>
    <w:rsid w:val="4FFBD89F"/>
    <w:rsid w:val="5019242D"/>
    <w:rsid w:val="5049AD11"/>
    <w:rsid w:val="50508485"/>
    <w:rsid w:val="50564101"/>
    <w:rsid w:val="50578089"/>
    <w:rsid w:val="5068A928"/>
    <w:rsid w:val="5072A1C2"/>
    <w:rsid w:val="50741C6B"/>
    <w:rsid w:val="5083335B"/>
    <w:rsid w:val="50853EC5"/>
    <w:rsid w:val="50AD6D46"/>
    <w:rsid w:val="50AFF797"/>
    <w:rsid w:val="50CE6543"/>
    <w:rsid w:val="50D1D183"/>
    <w:rsid w:val="50D48D04"/>
    <w:rsid w:val="50D60A55"/>
    <w:rsid w:val="50EEBF7B"/>
    <w:rsid w:val="50F40524"/>
    <w:rsid w:val="50F951EF"/>
    <w:rsid w:val="50FCFE41"/>
    <w:rsid w:val="50FE7E9C"/>
    <w:rsid w:val="5105446A"/>
    <w:rsid w:val="5119135B"/>
    <w:rsid w:val="512DE620"/>
    <w:rsid w:val="512E0CD8"/>
    <w:rsid w:val="514187FC"/>
    <w:rsid w:val="514C20DB"/>
    <w:rsid w:val="5151D13C"/>
    <w:rsid w:val="51542DFE"/>
    <w:rsid w:val="51598AD3"/>
    <w:rsid w:val="515B3A94"/>
    <w:rsid w:val="5165D3C4"/>
    <w:rsid w:val="517DFAC0"/>
    <w:rsid w:val="51847408"/>
    <w:rsid w:val="51A6591D"/>
    <w:rsid w:val="51C2D7BA"/>
    <w:rsid w:val="51C4D9F1"/>
    <w:rsid w:val="51CB67C3"/>
    <w:rsid w:val="51EF800C"/>
    <w:rsid w:val="51F7F977"/>
    <w:rsid w:val="51FE8FD4"/>
    <w:rsid w:val="520ABA00"/>
    <w:rsid w:val="520B0E78"/>
    <w:rsid w:val="520FF274"/>
    <w:rsid w:val="5212639F"/>
    <w:rsid w:val="521575E0"/>
    <w:rsid w:val="52179EC9"/>
    <w:rsid w:val="522689DB"/>
    <w:rsid w:val="52294970"/>
    <w:rsid w:val="5243BE4E"/>
    <w:rsid w:val="52442349"/>
    <w:rsid w:val="5251762B"/>
    <w:rsid w:val="5256420E"/>
    <w:rsid w:val="52586838"/>
    <w:rsid w:val="52625902"/>
    <w:rsid w:val="5272981B"/>
    <w:rsid w:val="5273D7D0"/>
    <w:rsid w:val="5275C13B"/>
    <w:rsid w:val="527767B1"/>
    <w:rsid w:val="52B441AC"/>
    <w:rsid w:val="52B6CBCE"/>
    <w:rsid w:val="52CB4992"/>
    <w:rsid w:val="52CD9081"/>
    <w:rsid w:val="52D6D525"/>
    <w:rsid w:val="52D8885A"/>
    <w:rsid w:val="52D9A45E"/>
    <w:rsid w:val="52DAE12D"/>
    <w:rsid w:val="52DF8BB1"/>
    <w:rsid w:val="530047EF"/>
    <w:rsid w:val="530E47A6"/>
    <w:rsid w:val="530E553A"/>
    <w:rsid w:val="5316E1A3"/>
    <w:rsid w:val="53175C8F"/>
    <w:rsid w:val="53186DDD"/>
    <w:rsid w:val="5324233B"/>
    <w:rsid w:val="5328CC8D"/>
    <w:rsid w:val="53294845"/>
    <w:rsid w:val="53370196"/>
    <w:rsid w:val="53468C86"/>
    <w:rsid w:val="53478F72"/>
    <w:rsid w:val="5353DD4F"/>
    <w:rsid w:val="535F98F9"/>
    <w:rsid w:val="53678270"/>
    <w:rsid w:val="5381A6F2"/>
    <w:rsid w:val="5389A8AA"/>
    <w:rsid w:val="539D6A74"/>
    <w:rsid w:val="539F91D3"/>
    <w:rsid w:val="53A48949"/>
    <w:rsid w:val="53AA0872"/>
    <w:rsid w:val="53C05F05"/>
    <w:rsid w:val="53C10A8F"/>
    <w:rsid w:val="53D77C96"/>
    <w:rsid w:val="53EBE6AA"/>
    <w:rsid w:val="53F067B5"/>
    <w:rsid w:val="53FFDC34"/>
    <w:rsid w:val="54045D83"/>
    <w:rsid w:val="5405718D"/>
    <w:rsid w:val="54085293"/>
    <w:rsid w:val="541B3298"/>
    <w:rsid w:val="54202605"/>
    <w:rsid w:val="54226BC7"/>
    <w:rsid w:val="5424FCF7"/>
    <w:rsid w:val="54312834"/>
    <w:rsid w:val="5431DA6E"/>
    <w:rsid w:val="545B012C"/>
    <w:rsid w:val="5463461D"/>
    <w:rsid w:val="54757966"/>
    <w:rsid w:val="5485F1ED"/>
    <w:rsid w:val="549766DC"/>
    <w:rsid w:val="549DC91D"/>
    <w:rsid w:val="54A514E3"/>
    <w:rsid w:val="54A688DB"/>
    <w:rsid w:val="54B0F59A"/>
    <w:rsid w:val="54B5EE0E"/>
    <w:rsid w:val="54B63AB4"/>
    <w:rsid w:val="54C0015F"/>
    <w:rsid w:val="54CDC9D6"/>
    <w:rsid w:val="54DBD0EB"/>
    <w:rsid w:val="54DD1A1B"/>
    <w:rsid w:val="54E13560"/>
    <w:rsid w:val="54E17ED1"/>
    <w:rsid w:val="54E4714F"/>
    <w:rsid w:val="54F03D88"/>
    <w:rsid w:val="54F91644"/>
    <w:rsid w:val="5507C7B6"/>
    <w:rsid w:val="55085E81"/>
    <w:rsid w:val="5517659C"/>
    <w:rsid w:val="551D550C"/>
    <w:rsid w:val="551E984F"/>
    <w:rsid w:val="5524471A"/>
    <w:rsid w:val="552B5C0F"/>
    <w:rsid w:val="5537FE9E"/>
    <w:rsid w:val="55394D53"/>
    <w:rsid w:val="554912B9"/>
    <w:rsid w:val="554C7EEF"/>
    <w:rsid w:val="55518997"/>
    <w:rsid w:val="5554C4E7"/>
    <w:rsid w:val="555E1007"/>
    <w:rsid w:val="5574331F"/>
    <w:rsid w:val="5575FCC8"/>
    <w:rsid w:val="55798956"/>
    <w:rsid w:val="557B90B1"/>
    <w:rsid w:val="5582EB52"/>
    <w:rsid w:val="5583F091"/>
    <w:rsid w:val="558B3467"/>
    <w:rsid w:val="5591C287"/>
    <w:rsid w:val="5591FEBC"/>
    <w:rsid w:val="55A38AC7"/>
    <w:rsid w:val="55B14BDC"/>
    <w:rsid w:val="55B1B0D0"/>
    <w:rsid w:val="55C72E29"/>
    <w:rsid w:val="55D9DB09"/>
    <w:rsid w:val="55DA61D4"/>
    <w:rsid w:val="55DCFDA2"/>
    <w:rsid w:val="55DE878B"/>
    <w:rsid w:val="55E08A05"/>
    <w:rsid w:val="55E5D5C7"/>
    <w:rsid w:val="55F0652D"/>
    <w:rsid w:val="55FBD9D4"/>
    <w:rsid w:val="5604F663"/>
    <w:rsid w:val="5607A115"/>
    <w:rsid w:val="561359C2"/>
    <w:rsid w:val="561836FD"/>
    <w:rsid w:val="56265D98"/>
    <w:rsid w:val="5626C335"/>
    <w:rsid w:val="56339E7E"/>
    <w:rsid w:val="563A006B"/>
    <w:rsid w:val="563F5E9B"/>
    <w:rsid w:val="567CC67B"/>
    <w:rsid w:val="5687E7A4"/>
    <w:rsid w:val="56ACD5B9"/>
    <w:rsid w:val="56B45846"/>
    <w:rsid w:val="56C8B714"/>
    <w:rsid w:val="56D4CB78"/>
    <w:rsid w:val="56E0E649"/>
    <w:rsid w:val="56E62C3D"/>
    <w:rsid w:val="56E6472D"/>
    <w:rsid w:val="56EEC145"/>
    <w:rsid w:val="56F4130E"/>
    <w:rsid w:val="56F8AD66"/>
    <w:rsid w:val="56FA2250"/>
    <w:rsid w:val="570CBE87"/>
    <w:rsid w:val="5715C452"/>
    <w:rsid w:val="57168BFB"/>
    <w:rsid w:val="57324DD7"/>
    <w:rsid w:val="5734A04A"/>
    <w:rsid w:val="5736AC8E"/>
    <w:rsid w:val="57497BD7"/>
    <w:rsid w:val="574FFAD7"/>
    <w:rsid w:val="575AFC2E"/>
    <w:rsid w:val="575C8FC5"/>
    <w:rsid w:val="575F383E"/>
    <w:rsid w:val="57639EF2"/>
    <w:rsid w:val="576B6AE4"/>
    <w:rsid w:val="576FEC33"/>
    <w:rsid w:val="57897937"/>
    <w:rsid w:val="57A3ADC8"/>
    <w:rsid w:val="57A76DDC"/>
    <w:rsid w:val="57ABDFAE"/>
    <w:rsid w:val="57BED37E"/>
    <w:rsid w:val="57D3636B"/>
    <w:rsid w:val="57D8389D"/>
    <w:rsid w:val="57E8F775"/>
    <w:rsid w:val="57F27E44"/>
    <w:rsid w:val="57F8C9DE"/>
    <w:rsid w:val="580AA1F5"/>
    <w:rsid w:val="581CB601"/>
    <w:rsid w:val="581F8DA5"/>
    <w:rsid w:val="5827DE3A"/>
    <w:rsid w:val="5830266F"/>
    <w:rsid w:val="5830F83B"/>
    <w:rsid w:val="58314CFC"/>
    <w:rsid w:val="58347868"/>
    <w:rsid w:val="583BBD08"/>
    <w:rsid w:val="5845C0A3"/>
    <w:rsid w:val="584E2F43"/>
    <w:rsid w:val="58531580"/>
    <w:rsid w:val="585768D0"/>
    <w:rsid w:val="58583F43"/>
    <w:rsid w:val="585A2475"/>
    <w:rsid w:val="585A27C2"/>
    <w:rsid w:val="586C6E77"/>
    <w:rsid w:val="586E9109"/>
    <w:rsid w:val="5870E5D6"/>
    <w:rsid w:val="587A6EAA"/>
    <w:rsid w:val="58823C9F"/>
    <w:rsid w:val="589C9C18"/>
    <w:rsid w:val="589F6A01"/>
    <w:rsid w:val="58A15C89"/>
    <w:rsid w:val="58D623A0"/>
    <w:rsid w:val="58D6559A"/>
    <w:rsid w:val="58E69060"/>
    <w:rsid w:val="58ED42F5"/>
    <w:rsid w:val="58FA3403"/>
    <w:rsid w:val="5906BBFC"/>
    <w:rsid w:val="590B497B"/>
    <w:rsid w:val="590BA805"/>
    <w:rsid w:val="5915E86B"/>
    <w:rsid w:val="5927E622"/>
    <w:rsid w:val="592A6E34"/>
    <w:rsid w:val="592C0733"/>
    <w:rsid w:val="59313232"/>
    <w:rsid w:val="5932CF41"/>
    <w:rsid w:val="594A3652"/>
    <w:rsid w:val="595C7D33"/>
    <w:rsid w:val="596027F2"/>
    <w:rsid w:val="5966CCDF"/>
    <w:rsid w:val="597114F3"/>
    <w:rsid w:val="599355C3"/>
    <w:rsid w:val="5996E33A"/>
    <w:rsid w:val="59B9242D"/>
    <w:rsid w:val="59B95E6B"/>
    <w:rsid w:val="59BC724F"/>
    <w:rsid w:val="59D1F296"/>
    <w:rsid w:val="59D444E4"/>
    <w:rsid w:val="59DAB16B"/>
    <w:rsid w:val="59EA5F8F"/>
    <w:rsid w:val="59EB69D4"/>
    <w:rsid w:val="5A1275D2"/>
    <w:rsid w:val="5A17455A"/>
    <w:rsid w:val="5A364CCC"/>
    <w:rsid w:val="5A385F57"/>
    <w:rsid w:val="5A4ED4A8"/>
    <w:rsid w:val="5A4FD9D0"/>
    <w:rsid w:val="5A5BDA36"/>
    <w:rsid w:val="5A618F07"/>
    <w:rsid w:val="5A65EE3A"/>
    <w:rsid w:val="5A698D2D"/>
    <w:rsid w:val="5A6C6FE2"/>
    <w:rsid w:val="5A80EB5A"/>
    <w:rsid w:val="5A81CCBB"/>
    <w:rsid w:val="5A8D7406"/>
    <w:rsid w:val="5A9384FF"/>
    <w:rsid w:val="5AA52DF5"/>
    <w:rsid w:val="5AB8128E"/>
    <w:rsid w:val="5ABEC919"/>
    <w:rsid w:val="5AC14101"/>
    <w:rsid w:val="5ACA779D"/>
    <w:rsid w:val="5AD5D53B"/>
    <w:rsid w:val="5ADB6339"/>
    <w:rsid w:val="5ADB7AE3"/>
    <w:rsid w:val="5AEEA749"/>
    <w:rsid w:val="5AEEB5DE"/>
    <w:rsid w:val="5AF89973"/>
    <w:rsid w:val="5AFD64AC"/>
    <w:rsid w:val="5B0A16B1"/>
    <w:rsid w:val="5B0C9572"/>
    <w:rsid w:val="5B112F39"/>
    <w:rsid w:val="5B11D8E9"/>
    <w:rsid w:val="5B1590EA"/>
    <w:rsid w:val="5B17E8C6"/>
    <w:rsid w:val="5B202EF4"/>
    <w:rsid w:val="5B34CBB6"/>
    <w:rsid w:val="5B37B429"/>
    <w:rsid w:val="5B37EB51"/>
    <w:rsid w:val="5B4637EE"/>
    <w:rsid w:val="5B48A9F7"/>
    <w:rsid w:val="5B510B98"/>
    <w:rsid w:val="5B55F601"/>
    <w:rsid w:val="5B5D26E0"/>
    <w:rsid w:val="5B60A364"/>
    <w:rsid w:val="5B6AC476"/>
    <w:rsid w:val="5B7620AF"/>
    <w:rsid w:val="5B789D14"/>
    <w:rsid w:val="5B7EE0BF"/>
    <w:rsid w:val="5B89F9EE"/>
    <w:rsid w:val="5B8CE230"/>
    <w:rsid w:val="5BA5A1C1"/>
    <w:rsid w:val="5BA5B723"/>
    <w:rsid w:val="5BA9379D"/>
    <w:rsid w:val="5BB6A07D"/>
    <w:rsid w:val="5BE41A89"/>
    <w:rsid w:val="5BF072D6"/>
    <w:rsid w:val="5BF28465"/>
    <w:rsid w:val="5BF4DA0D"/>
    <w:rsid w:val="5BFC9E2F"/>
    <w:rsid w:val="5C0B4008"/>
    <w:rsid w:val="5C12620A"/>
    <w:rsid w:val="5C1418C1"/>
    <w:rsid w:val="5C1F8D87"/>
    <w:rsid w:val="5C27156B"/>
    <w:rsid w:val="5C296FD3"/>
    <w:rsid w:val="5C2D3C89"/>
    <w:rsid w:val="5C342939"/>
    <w:rsid w:val="5C4CB489"/>
    <w:rsid w:val="5C57DD26"/>
    <w:rsid w:val="5C58A788"/>
    <w:rsid w:val="5C642A67"/>
    <w:rsid w:val="5C73AD95"/>
    <w:rsid w:val="5C80CBB5"/>
    <w:rsid w:val="5C8274D1"/>
    <w:rsid w:val="5C9BFF34"/>
    <w:rsid w:val="5C9EF55E"/>
    <w:rsid w:val="5CAB2596"/>
    <w:rsid w:val="5CAE769A"/>
    <w:rsid w:val="5CC460C6"/>
    <w:rsid w:val="5CC53FE8"/>
    <w:rsid w:val="5CD46E71"/>
    <w:rsid w:val="5CDE4943"/>
    <w:rsid w:val="5CF6CACD"/>
    <w:rsid w:val="5CF7E852"/>
    <w:rsid w:val="5CFCF53C"/>
    <w:rsid w:val="5CFF20F5"/>
    <w:rsid w:val="5D12ACA1"/>
    <w:rsid w:val="5D2B21AE"/>
    <w:rsid w:val="5D34E22F"/>
    <w:rsid w:val="5D3FE1B5"/>
    <w:rsid w:val="5D421E2F"/>
    <w:rsid w:val="5D528DC9"/>
    <w:rsid w:val="5D6A75F8"/>
    <w:rsid w:val="5D85919B"/>
    <w:rsid w:val="5D8B8C89"/>
    <w:rsid w:val="5D98A3C0"/>
    <w:rsid w:val="5D9A2665"/>
    <w:rsid w:val="5D9B97C0"/>
    <w:rsid w:val="5DA9F040"/>
    <w:rsid w:val="5DB18A7D"/>
    <w:rsid w:val="5DB2F73F"/>
    <w:rsid w:val="5DB985D8"/>
    <w:rsid w:val="5DBCD665"/>
    <w:rsid w:val="5DC2D699"/>
    <w:rsid w:val="5DE9BEC8"/>
    <w:rsid w:val="5DF19A73"/>
    <w:rsid w:val="5DFAC2A4"/>
    <w:rsid w:val="5DFE7C5E"/>
    <w:rsid w:val="5E0F73A8"/>
    <w:rsid w:val="5E13B3FD"/>
    <w:rsid w:val="5E229686"/>
    <w:rsid w:val="5E25EB0E"/>
    <w:rsid w:val="5E2E352F"/>
    <w:rsid w:val="5E36A649"/>
    <w:rsid w:val="5E40BAE0"/>
    <w:rsid w:val="5E45A978"/>
    <w:rsid w:val="5E547E3B"/>
    <w:rsid w:val="5E5FF4AB"/>
    <w:rsid w:val="5E6190E0"/>
    <w:rsid w:val="5E6376E9"/>
    <w:rsid w:val="5E6991FA"/>
    <w:rsid w:val="5E6A8997"/>
    <w:rsid w:val="5E76542C"/>
    <w:rsid w:val="5E7FE612"/>
    <w:rsid w:val="5E849D6B"/>
    <w:rsid w:val="5E9C175D"/>
    <w:rsid w:val="5EA3F9B5"/>
    <w:rsid w:val="5EA58D86"/>
    <w:rsid w:val="5EA5F56D"/>
    <w:rsid w:val="5EA986EA"/>
    <w:rsid w:val="5EB03DD6"/>
    <w:rsid w:val="5EB73965"/>
    <w:rsid w:val="5EB89F30"/>
    <w:rsid w:val="5EBA8F4B"/>
    <w:rsid w:val="5EC2B1D9"/>
    <w:rsid w:val="5ECCA8F3"/>
    <w:rsid w:val="5ED261AF"/>
    <w:rsid w:val="5ED4CDB0"/>
    <w:rsid w:val="5ED8ED74"/>
    <w:rsid w:val="5EDCD936"/>
    <w:rsid w:val="5EE40C9F"/>
    <w:rsid w:val="5EE629DF"/>
    <w:rsid w:val="5EEC0FAC"/>
    <w:rsid w:val="5EF92F96"/>
    <w:rsid w:val="5EF96267"/>
    <w:rsid w:val="5EF98C3B"/>
    <w:rsid w:val="5EFFBF9E"/>
    <w:rsid w:val="5F003335"/>
    <w:rsid w:val="5F0B6771"/>
    <w:rsid w:val="5F0DCCE1"/>
    <w:rsid w:val="5F12B580"/>
    <w:rsid w:val="5F15EC66"/>
    <w:rsid w:val="5F2C9442"/>
    <w:rsid w:val="5F335A0C"/>
    <w:rsid w:val="5F36BB71"/>
    <w:rsid w:val="5F42CF39"/>
    <w:rsid w:val="5F4EFD66"/>
    <w:rsid w:val="5F50F7D2"/>
    <w:rsid w:val="5F5BD64C"/>
    <w:rsid w:val="5F5DF0B1"/>
    <w:rsid w:val="5F66E11C"/>
    <w:rsid w:val="5F7800BE"/>
    <w:rsid w:val="5F88E868"/>
    <w:rsid w:val="5F89F71A"/>
    <w:rsid w:val="5F9292DE"/>
    <w:rsid w:val="5F947BBC"/>
    <w:rsid w:val="5F99E728"/>
    <w:rsid w:val="5FA1A1DD"/>
    <w:rsid w:val="5FA56EA3"/>
    <w:rsid w:val="5FC0A94F"/>
    <w:rsid w:val="5FC63AB4"/>
    <w:rsid w:val="5FC6620B"/>
    <w:rsid w:val="5FCFCF18"/>
    <w:rsid w:val="5FD1E20A"/>
    <w:rsid w:val="5FE2D6A3"/>
    <w:rsid w:val="5FEA89CE"/>
    <w:rsid w:val="5FECD3C8"/>
    <w:rsid w:val="5FF7D46C"/>
    <w:rsid w:val="60091F2E"/>
    <w:rsid w:val="6013D480"/>
    <w:rsid w:val="6014BDF4"/>
    <w:rsid w:val="601C7979"/>
    <w:rsid w:val="60217034"/>
    <w:rsid w:val="6036FA46"/>
    <w:rsid w:val="603B425C"/>
    <w:rsid w:val="60432F2D"/>
    <w:rsid w:val="604C9E39"/>
    <w:rsid w:val="60532325"/>
    <w:rsid w:val="60598A25"/>
    <w:rsid w:val="6065151B"/>
    <w:rsid w:val="60680AD7"/>
    <w:rsid w:val="606FF03E"/>
    <w:rsid w:val="60860205"/>
    <w:rsid w:val="6088A6C4"/>
    <w:rsid w:val="608FA7EA"/>
    <w:rsid w:val="60917BC2"/>
    <w:rsid w:val="609282B0"/>
    <w:rsid w:val="60A7128D"/>
    <w:rsid w:val="60B04A88"/>
    <w:rsid w:val="60B13B59"/>
    <w:rsid w:val="60B2A137"/>
    <w:rsid w:val="60B460C5"/>
    <w:rsid w:val="60B51372"/>
    <w:rsid w:val="60BD1F9F"/>
    <w:rsid w:val="60C45B59"/>
    <w:rsid w:val="60D96050"/>
    <w:rsid w:val="60DA9781"/>
    <w:rsid w:val="60DECF76"/>
    <w:rsid w:val="60E0A07D"/>
    <w:rsid w:val="60E0F98A"/>
    <w:rsid w:val="60E74D8B"/>
    <w:rsid w:val="60FC096A"/>
    <w:rsid w:val="6115F362"/>
    <w:rsid w:val="6124AC4C"/>
    <w:rsid w:val="612A5E0F"/>
    <w:rsid w:val="612EF9BC"/>
    <w:rsid w:val="6130A9E9"/>
    <w:rsid w:val="613768B9"/>
    <w:rsid w:val="613FD110"/>
    <w:rsid w:val="6158B667"/>
    <w:rsid w:val="6166C7F1"/>
    <w:rsid w:val="616C4874"/>
    <w:rsid w:val="616DD5C0"/>
    <w:rsid w:val="61750A95"/>
    <w:rsid w:val="6176A004"/>
    <w:rsid w:val="61814517"/>
    <w:rsid w:val="6187B59C"/>
    <w:rsid w:val="61964434"/>
    <w:rsid w:val="619EC867"/>
    <w:rsid w:val="61A87247"/>
    <w:rsid w:val="61AB9E3A"/>
    <w:rsid w:val="61AFD6DA"/>
    <w:rsid w:val="61C06F7E"/>
    <w:rsid w:val="61C3BE12"/>
    <w:rsid w:val="61D713CE"/>
    <w:rsid w:val="61DF3219"/>
    <w:rsid w:val="61DFB177"/>
    <w:rsid w:val="61EAD64A"/>
    <w:rsid w:val="61EF083D"/>
    <w:rsid w:val="61F423E7"/>
    <w:rsid w:val="61F58548"/>
    <w:rsid w:val="61FE5284"/>
    <w:rsid w:val="62033B5E"/>
    <w:rsid w:val="620B28E4"/>
    <w:rsid w:val="6214F7A1"/>
    <w:rsid w:val="623455F5"/>
    <w:rsid w:val="62447CDB"/>
    <w:rsid w:val="624B7746"/>
    <w:rsid w:val="624F6EF0"/>
    <w:rsid w:val="62523762"/>
    <w:rsid w:val="62627300"/>
    <w:rsid w:val="626521B8"/>
    <w:rsid w:val="62666FA8"/>
    <w:rsid w:val="626DB056"/>
    <w:rsid w:val="626F6E96"/>
    <w:rsid w:val="628336C5"/>
    <w:rsid w:val="628C2E72"/>
    <w:rsid w:val="628E05BD"/>
    <w:rsid w:val="62A9FC16"/>
    <w:rsid w:val="62ACDD5E"/>
    <w:rsid w:val="62C400BC"/>
    <w:rsid w:val="62C62368"/>
    <w:rsid w:val="62C678EC"/>
    <w:rsid w:val="62C8B9BF"/>
    <w:rsid w:val="62D16DD8"/>
    <w:rsid w:val="62E3ED5F"/>
    <w:rsid w:val="62E89A11"/>
    <w:rsid w:val="62E9161F"/>
    <w:rsid w:val="62EFD2CF"/>
    <w:rsid w:val="62F2ECFC"/>
    <w:rsid w:val="62FDBF68"/>
    <w:rsid w:val="6308B719"/>
    <w:rsid w:val="630A2C7D"/>
    <w:rsid w:val="631C552E"/>
    <w:rsid w:val="633CF15F"/>
    <w:rsid w:val="633F1CB1"/>
    <w:rsid w:val="6348CDA0"/>
    <w:rsid w:val="634A0271"/>
    <w:rsid w:val="63507670"/>
    <w:rsid w:val="6357A0CD"/>
    <w:rsid w:val="636FEB1F"/>
    <w:rsid w:val="6371EE9F"/>
    <w:rsid w:val="6373DDD4"/>
    <w:rsid w:val="63762CBA"/>
    <w:rsid w:val="639C6919"/>
    <w:rsid w:val="63A15499"/>
    <w:rsid w:val="63A25DC0"/>
    <w:rsid w:val="63B0C1EE"/>
    <w:rsid w:val="63B26846"/>
    <w:rsid w:val="63B96261"/>
    <w:rsid w:val="63BE3AF9"/>
    <w:rsid w:val="63C9179A"/>
    <w:rsid w:val="63CE6721"/>
    <w:rsid w:val="63D6340E"/>
    <w:rsid w:val="63D818DF"/>
    <w:rsid w:val="63DC47BD"/>
    <w:rsid w:val="63DD8921"/>
    <w:rsid w:val="63E1D79F"/>
    <w:rsid w:val="63E91EAA"/>
    <w:rsid w:val="63FDFFEC"/>
    <w:rsid w:val="640C3AD3"/>
    <w:rsid w:val="6412DC73"/>
    <w:rsid w:val="642C1571"/>
    <w:rsid w:val="6437E947"/>
    <w:rsid w:val="64393828"/>
    <w:rsid w:val="6441B511"/>
    <w:rsid w:val="64457AC6"/>
    <w:rsid w:val="6445CC77"/>
    <w:rsid w:val="6448836B"/>
    <w:rsid w:val="644F0ED8"/>
    <w:rsid w:val="64680D6B"/>
    <w:rsid w:val="646D8B1C"/>
    <w:rsid w:val="64722691"/>
    <w:rsid w:val="6478D09F"/>
    <w:rsid w:val="648181FC"/>
    <w:rsid w:val="64829A92"/>
    <w:rsid w:val="6485F0E4"/>
    <w:rsid w:val="648F7C53"/>
    <w:rsid w:val="64934832"/>
    <w:rsid w:val="649A889E"/>
    <w:rsid w:val="649F5BCB"/>
    <w:rsid w:val="64A61F92"/>
    <w:rsid w:val="64B2BE22"/>
    <w:rsid w:val="64C66C09"/>
    <w:rsid w:val="64D1D154"/>
    <w:rsid w:val="64DD4C16"/>
    <w:rsid w:val="64E68D92"/>
    <w:rsid w:val="64E9CAC1"/>
    <w:rsid w:val="64F9D9B4"/>
    <w:rsid w:val="64FABEB3"/>
    <w:rsid w:val="64FD3B3F"/>
    <w:rsid w:val="650594BD"/>
    <w:rsid w:val="6512952E"/>
    <w:rsid w:val="65138B14"/>
    <w:rsid w:val="65198C75"/>
    <w:rsid w:val="65240A37"/>
    <w:rsid w:val="652443AB"/>
    <w:rsid w:val="652DDC3A"/>
    <w:rsid w:val="65359C1B"/>
    <w:rsid w:val="653C55EA"/>
    <w:rsid w:val="65489D5A"/>
    <w:rsid w:val="654CE18F"/>
    <w:rsid w:val="654F21DC"/>
    <w:rsid w:val="655C1C50"/>
    <w:rsid w:val="657F57F5"/>
    <w:rsid w:val="6584F2D3"/>
    <w:rsid w:val="65875A26"/>
    <w:rsid w:val="65904498"/>
    <w:rsid w:val="6595B57D"/>
    <w:rsid w:val="6598A15D"/>
    <w:rsid w:val="65A52916"/>
    <w:rsid w:val="65A8242B"/>
    <w:rsid w:val="65A83E05"/>
    <w:rsid w:val="65B137CC"/>
    <w:rsid w:val="65B62490"/>
    <w:rsid w:val="65BF5EDE"/>
    <w:rsid w:val="65CF855C"/>
    <w:rsid w:val="65D13619"/>
    <w:rsid w:val="65D4AEA7"/>
    <w:rsid w:val="65E07932"/>
    <w:rsid w:val="65E327F2"/>
    <w:rsid w:val="65EA7E69"/>
    <w:rsid w:val="65EB5FE7"/>
    <w:rsid w:val="66044959"/>
    <w:rsid w:val="66064D45"/>
    <w:rsid w:val="6628740F"/>
    <w:rsid w:val="663FD2A3"/>
    <w:rsid w:val="66440D4F"/>
    <w:rsid w:val="664E522C"/>
    <w:rsid w:val="66536A74"/>
    <w:rsid w:val="6653F6B9"/>
    <w:rsid w:val="666845E4"/>
    <w:rsid w:val="6676EA51"/>
    <w:rsid w:val="667A55FB"/>
    <w:rsid w:val="667A64FB"/>
    <w:rsid w:val="668CC3EC"/>
    <w:rsid w:val="66A023D3"/>
    <w:rsid w:val="66AD0A37"/>
    <w:rsid w:val="66B38B32"/>
    <w:rsid w:val="66B8B147"/>
    <w:rsid w:val="66C41764"/>
    <w:rsid w:val="66CF12DC"/>
    <w:rsid w:val="66EB65D3"/>
    <w:rsid w:val="66ED2B88"/>
    <w:rsid w:val="66EE97DF"/>
    <w:rsid w:val="66F02EB9"/>
    <w:rsid w:val="66F9236D"/>
    <w:rsid w:val="670E6EE4"/>
    <w:rsid w:val="67154871"/>
    <w:rsid w:val="67165AAB"/>
    <w:rsid w:val="6718E0E9"/>
    <w:rsid w:val="671D3C53"/>
    <w:rsid w:val="671D69D8"/>
    <w:rsid w:val="67236D75"/>
    <w:rsid w:val="67246D31"/>
    <w:rsid w:val="6734FBB0"/>
    <w:rsid w:val="673A08EE"/>
    <w:rsid w:val="675603E4"/>
    <w:rsid w:val="675D27A9"/>
    <w:rsid w:val="675EF3CA"/>
    <w:rsid w:val="67641F79"/>
    <w:rsid w:val="67674CFB"/>
    <w:rsid w:val="67696543"/>
    <w:rsid w:val="67798A62"/>
    <w:rsid w:val="677CA213"/>
    <w:rsid w:val="6784ABB0"/>
    <w:rsid w:val="678E0DD1"/>
    <w:rsid w:val="678E763A"/>
    <w:rsid w:val="679069B9"/>
    <w:rsid w:val="67913C8C"/>
    <w:rsid w:val="67AAFC6C"/>
    <w:rsid w:val="67AFBAEE"/>
    <w:rsid w:val="67C95494"/>
    <w:rsid w:val="67DAB95A"/>
    <w:rsid w:val="67DBF12C"/>
    <w:rsid w:val="67DC186D"/>
    <w:rsid w:val="67E7BA6A"/>
    <w:rsid w:val="67EEA178"/>
    <w:rsid w:val="67EF4D9A"/>
    <w:rsid w:val="67F30284"/>
    <w:rsid w:val="68032C19"/>
    <w:rsid w:val="681100E5"/>
    <w:rsid w:val="6834308B"/>
    <w:rsid w:val="6837D4F2"/>
    <w:rsid w:val="6852BA36"/>
    <w:rsid w:val="685595D3"/>
    <w:rsid w:val="6857C7AE"/>
    <w:rsid w:val="685A3106"/>
    <w:rsid w:val="685DB636"/>
    <w:rsid w:val="68628062"/>
    <w:rsid w:val="686307AA"/>
    <w:rsid w:val="68642CE8"/>
    <w:rsid w:val="687B3A48"/>
    <w:rsid w:val="6890A913"/>
    <w:rsid w:val="68A49183"/>
    <w:rsid w:val="68B51EAA"/>
    <w:rsid w:val="68B7C74A"/>
    <w:rsid w:val="68BAD009"/>
    <w:rsid w:val="68C13B07"/>
    <w:rsid w:val="68C64470"/>
    <w:rsid w:val="68CC961D"/>
    <w:rsid w:val="68D82412"/>
    <w:rsid w:val="68E0ECA0"/>
    <w:rsid w:val="68E4CF3F"/>
    <w:rsid w:val="68E7C924"/>
    <w:rsid w:val="68EEFC41"/>
    <w:rsid w:val="68F9B7AC"/>
    <w:rsid w:val="6907AB12"/>
    <w:rsid w:val="6916EB4F"/>
    <w:rsid w:val="691CAA3B"/>
    <w:rsid w:val="691EE36A"/>
    <w:rsid w:val="692D8108"/>
    <w:rsid w:val="693A6111"/>
    <w:rsid w:val="69429D37"/>
    <w:rsid w:val="6951A067"/>
    <w:rsid w:val="69609091"/>
    <w:rsid w:val="696B3540"/>
    <w:rsid w:val="69756E6E"/>
    <w:rsid w:val="6978A9DF"/>
    <w:rsid w:val="697A67A1"/>
    <w:rsid w:val="698473FA"/>
    <w:rsid w:val="698766F5"/>
    <w:rsid w:val="698B4B6F"/>
    <w:rsid w:val="698FF768"/>
    <w:rsid w:val="699045F2"/>
    <w:rsid w:val="699847BD"/>
    <w:rsid w:val="69999BE3"/>
    <w:rsid w:val="69A0DF6E"/>
    <w:rsid w:val="69B0412A"/>
    <w:rsid w:val="69C80026"/>
    <w:rsid w:val="69CA28F5"/>
    <w:rsid w:val="69CA4CB9"/>
    <w:rsid w:val="69CAB607"/>
    <w:rsid w:val="69D1F822"/>
    <w:rsid w:val="69D55078"/>
    <w:rsid w:val="69E2F39C"/>
    <w:rsid w:val="69F10B11"/>
    <w:rsid w:val="69F69A46"/>
    <w:rsid w:val="6A04DABA"/>
    <w:rsid w:val="6A0563C3"/>
    <w:rsid w:val="6A05B39E"/>
    <w:rsid w:val="6A095CFB"/>
    <w:rsid w:val="6A169020"/>
    <w:rsid w:val="6A1A4F3B"/>
    <w:rsid w:val="6A28ABD2"/>
    <w:rsid w:val="6A2A88A5"/>
    <w:rsid w:val="6A3B4230"/>
    <w:rsid w:val="6A45412B"/>
    <w:rsid w:val="6A459E0A"/>
    <w:rsid w:val="6A4A828F"/>
    <w:rsid w:val="6A52A110"/>
    <w:rsid w:val="6A52F8EF"/>
    <w:rsid w:val="6A53125C"/>
    <w:rsid w:val="6A5ADD05"/>
    <w:rsid w:val="6A70739D"/>
    <w:rsid w:val="6A78959D"/>
    <w:rsid w:val="6A7A1AC8"/>
    <w:rsid w:val="6A7D933D"/>
    <w:rsid w:val="6A845233"/>
    <w:rsid w:val="6A90FD87"/>
    <w:rsid w:val="6A926EED"/>
    <w:rsid w:val="6A95585D"/>
    <w:rsid w:val="6AA6E707"/>
    <w:rsid w:val="6AA9818B"/>
    <w:rsid w:val="6AAD2B3C"/>
    <w:rsid w:val="6AB32D4D"/>
    <w:rsid w:val="6AB3AB5D"/>
    <w:rsid w:val="6B09981A"/>
    <w:rsid w:val="6B0B0C6E"/>
    <w:rsid w:val="6B0BE0E2"/>
    <w:rsid w:val="6B1B9B1F"/>
    <w:rsid w:val="6B1F4B7B"/>
    <w:rsid w:val="6B255CC0"/>
    <w:rsid w:val="6B3403CB"/>
    <w:rsid w:val="6B4DDE64"/>
    <w:rsid w:val="6B534418"/>
    <w:rsid w:val="6B6287E3"/>
    <w:rsid w:val="6B75644D"/>
    <w:rsid w:val="6B7884B0"/>
    <w:rsid w:val="6B9BD30F"/>
    <w:rsid w:val="6B9E7A13"/>
    <w:rsid w:val="6B9FD339"/>
    <w:rsid w:val="6BA7D457"/>
    <w:rsid w:val="6BAD54FD"/>
    <w:rsid w:val="6BB1E8F4"/>
    <w:rsid w:val="6BC62708"/>
    <w:rsid w:val="6BCBB87E"/>
    <w:rsid w:val="6BD14CFA"/>
    <w:rsid w:val="6BD5D036"/>
    <w:rsid w:val="6BD889F6"/>
    <w:rsid w:val="6BE25D94"/>
    <w:rsid w:val="6BE48C0A"/>
    <w:rsid w:val="6BE64FC9"/>
    <w:rsid w:val="6BEC84B6"/>
    <w:rsid w:val="6BEDCE7B"/>
    <w:rsid w:val="6BEE5D7D"/>
    <w:rsid w:val="6BF04383"/>
    <w:rsid w:val="6BF096AE"/>
    <w:rsid w:val="6C0105E5"/>
    <w:rsid w:val="6C03CABE"/>
    <w:rsid w:val="6C0D3C81"/>
    <w:rsid w:val="6C150110"/>
    <w:rsid w:val="6C170FDA"/>
    <w:rsid w:val="6C177FCC"/>
    <w:rsid w:val="6C22BAE4"/>
    <w:rsid w:val="6C238FEA"/>
    <w:rsid w:val="6C31DB49"/>
    <w:rsid w:val="6C3294BB"/>
    <w:rsid w:val="6C378001"/>
    <w:rsid w:val="6C43BE55"/>
    <w:rsid w:val="6C43E738"/>
    <w:rsid w:val="6C4BB552"/>
    <w:rsid w:val="6C4D50AF"/>
    <w:rsid w:val="6C685F1C"/>
    <w:rsid w:val="6C707DA5"/>
    <w:rsid w:val="6C73081A"/>
    <w:rsid w:val="6C7BDFA9"/>
    <w:rsid w:val="6C875CFB"/>
    <w:rsid w:val="6C889E8F"/>
    <w:rsid w:val="6C8CFFB9"/>
    <w:rsid w:val="6C8D57C3"/>
    <w:rsid w:val="6C8FB7E8"/>
    <w:rsid w:val="6C93CFA4"/>
    <w:rsid w:val="6C9EF526"/>
    <w:rsid w:val="6CA1A00A"/>
    <w:rsid w:val="6CA1E5EC"/>
    <w:rsid w:val="6CA5A59B"/>
    <w:rsid w:val="6CB76B80"/>
    <w:rsid w:val="6CBB1818"/>
    <w:rsid w:val="6CC40A7D"/>
    <w:rsid w:val="6CC98E34"/>
    <w:rsid w:val="6CCB24FA"/>
    <w:rsid w:val="6CD8F1C2"/>
    <w:rsid w:val="6CD93E8B"/>
    <w:rsid w:val="6CDA6793"/>
    <w:rsid w:val="6CDC611C"/>
    <w:rsid w:val="6CDC90CA"/>
    <w:rsid w:val="6CF88EA3"/>
    <w:rsid w:val="6CF97812"/>
    <w:rsid w:val="6CFF4B0F"/>
    <w:rsid w:val="6D01A6BB"/>
    <w:rsid w:val="6D01AC59"/>
    <w:rsid w:val="6D2CC2F6"/>
    <w:rsid w:val="6D39765B"/>
    <w:rsid w:val="6D3D29BE"/>
    <w:rsid w:val="6D488624"/>
    <w:rsid w:val="6D4E2CF5"/>
    <w:rsid w:val="6D5834B5"/>
    <w:rsid w:val="6D5E2EB7"/>
    <w:rsid w:val="6D5FF273"/>
    <w:rsid w:val="6D60AA81"/>
    <w:rsid w:val="6D633FCA"/>
    <w:rsid w:val="6D6B093D"/>
    <w:rsid w:val="6D6F3985"/>
    <w:rsid w:val="6D7F204D"/>
    <w:rsid w:val="6DAABB0D"/>
    <w:rsid w:val="6DAE9FBD"/>
    <w:rsid w:val="6DB9FE1C"/>
    <w:rsid w:val="6DC514F2"/>
    <w:rsid w:val="6DCB7C6C"/>
    <w:rsid w:val="6DD13CAA"/>
    <w:rsid w:val="6DD43C66"/>
    <w:rsid w:val="6DE08AD5"/>
    <w:rsid w:val="6DECC673"/>
    <w:rsid w:val="6DEED7F4"/>
    <w:rsid w:val="6DF32672"/>
    <w:rsid w:val="6E070B96"/>
    <w:rsid w:val="6E0B78A0"/>
    <w:rsid w:val="6E15103B"/>
    <w:rsid w:val="6E15675C"/>
    <w:rsid w:val="6E1612BC"/>
    <w:rsid w:val="6E19E7D0"/>
    <w:rsid w:val="6E1B4D86"/>
    <w:rsid w:val="6E1CAD3E"/>
    <w:rsid w:val="6E2196C8"/>
    <w:rsid w:val="6E5DAE3E"/>
    <w:rsid w:val="6E80491D"/>
    <w:rsid w:val="6E99E939"/>
    <w:rsid w:val="6E9CE341"/>
    <w:rsid w:val="6EB4EA84"/>
    <w:rsid w:val="6EB4FEB1"/>
    <w:rsid w:val="6EB501E5"/>
    <w:rsid w:val="6EB95F03"/>
    <w:rsid w:val="6EBA1DB9"/>
    <w:rsid w:val="6EE45685"/>
    <w:rsid w:val="6EEEFDB7"/>
    <w:rsid w:val="6EF2A1D2"/>
    <w:rsid w:val="6EF65CB4"/>
    <w:rsid w:val="6EF7B1A5"/>
    <w:rsid w:val="6F080B8A"/>
    <w:rsid w:val="6F26F0A3"/>
    <w:rsid w:val="6F2B8792"/>
    <w:rsid w:val="6F54E1C7"/>
    <w:rsid w:val="6F588B7F"/>
    <w:rsid w:val="6F70EA7B"/>
    <w:rsid w:val="6F71E59A"/>
    <w:rsid w:val="6F71EC3B"/>
    <w:rsid w:val="6F76BC4F"/>
    <w:rsid w:val="6F7816C8"/>
    <w:rsid w:val="6F7C016C"/>
    <w:rsid w:val="6F9141B9"/>
    <w:rsid w:val="6F98DF08"/>
    <w:rsid w:val="6FB17886"/>
    <w:rsid w:val="6FB82108"/>
    <w:rsid w:val="6FC6374F"/>
    <w:rsid w:val="6FE62F36"/>
    <w:rsid w:val="6FEE3581"/>
    <w:rsid w:val="6FF2D47E"/>
    <w:rsid w:val="7003F475"/>
    <w:rsid w:val="700E7B85"/>
    <w:rsid w:val="701A50D9"/>
    <w:rsid w:val="701DFCDC"/>
    <w:rsid w:val="701FEC14"/>
    <w:rsid w:val="70263630"/>
    <w:rsid w:val="7028FBA4"/>
    <w:rsid w:val="7039C6C7"/>
    <w:rsid w:val="703DFCA9"/>
    <w:rsid w:val="70584BFA"/>
    <w:rsid w:val="705B4D56"/>
    <w:rsid w:val="706604E5"/>
    <w:rsid w:val="708026E6"/>
    <w:rsid w:val="7085FDAA"/>
    <w:rsid w:val="708E7233"/>
    <w:rsid w:val="7098CE0A"/>
    <w:rsid w:val="70B23307"/>
    <w:rsid w:val="70B4111A"/>
    <w:rsid w:val="70B9E838"/>
    <w:rsid w:val="70C94EE4"/>
    <w:rsid w:val="70CA86D8"/>
    <w:rsid w:val="70CC190B"/>
    <w:rsid w:val="70D3D753"/>
    <w:rsid w:val="7106C58F"/>
    <w:rsid w:val="71071948"/>
    <w:rsid w:val="710AA59D"/>
    <w:rsid w:val="711E4D0C"/>
    <w:rsid w:val="71257146"/>
    <w:rsid w:val="713CCC97"/>
    <w:rsid w:val="713F5C3D"/>
    <w:rsid w:val="713FA21A"/>
    <w:rsid w:val="714127B1"/>
    <w:rsid w:val="714FD812"/>
    <w:rsid w:val="7151A92B"/>
    <w:rsid w:val="71548E38"/>
    <w:rsid w:val="715D4F59"/>
    <w:rsid w:val="717B61F9"/>
    <w:rsid w:val="717D5775"/>
    <w:rsid w:val="717F780B"/>
    <w:rsid w:val="7185A091"/>
    <w:rsid w:val="718C879E"/>
    <w:rsid w:val="71934632"/>
    <w:rsid w:val="71A93162"/>
    <w:rsid w:val="71B1A960"/>
    <w:rsid w:val="71B59B5F"/>
    <w:rsid w:val="71BDB2E9"/>
    <w:rsid w:val="71C8B901"/>
    <w:rsid w:val="71C9138A"/>
    <w:rsid w:val="71DA524E"/>
    <w:rsid w:val="71DECE22"/>
    <w:rsid w:val="71DF0F50"/>
    <w:rsid w:val="71E8F3C4"/>
    <w:rsid w:val="71F24C82"/>
    <w:rsid w:val="71F4E3D6"/>
    <w:rsid w:val="720A9458"/>
    <w:rsid w:val="72110FAC"/>
    <w:rsid w:val="72168CE8"/>
    <w:rsid w:val="72188DC1"/>
    <w:rsid w:val="72244C68"/>
    <w:rsid w:val="7256FF20"/>
    <w:rsid w:val="7257FD23"/>
    <w:rsid w:val="72635C3F"/>
    <w:rsid w:val="7265C53C"/>
    <w:rsid w:val="7270A11D"/>
    <w:rsid w:val="72777077"/>
    <w:rsid w:val="727BA90B"/>
    <w:rsid w:val="72846B2A"/>
    <w:rsid w:val="728E29BD"/>
    <w:rsid w:val="7295190A"/>
    <w:rsid w:val="72976712"/>
    <w:rsid w:val="72A7513A"/>
    <w:rsid w:val="72AD0A2A"/>
    <w:rsid w:val="72B8249D"/>
    <w:rsid w:val="72CE1EB0"/>
    <w:rsid w:val="72CF66CF"/>
    <w:rsid w:val="72D27175"/>
    <w:rsid w:val="72DB43DF"/>
    <w:rsid w:val="72F53AE6"/>
    <w:rsid w:val="72F56DB7"/>
    <w:rsid w:val="72F8F2E7"/>
    <w:rsid w:val="730406A0"/>
    <w:rsid w:val="7304A8B0"/>
    <w:rsid w:val="730C3BFF"/>
    <w:rsid w:val="732254C0"/>
    <w:rsid w:val="7322D422"/>
    <w:rsid w:val="73262A25"/>
    <w:rsid w:val="732D6683"/>
    <w:rsid w:val="732D8AFD"/>
    <w:rsid w:val="7334BE66"/>
    <w:rsid w:val="73352E00"/>
    <w:rsid w:val="733D205F"/>
    <w:rsid w:val="73527744"/>
    <w:rsid w:val="736DE312"/>
    <w:rsid w:val="737640CA"/>
    <w:rsid w:val="738A33A4"/>
    <w:rsid w:val="738F4150"/>
    <w:rsid w:val="7391BA0F"/>
    <w:rsid w:val="739558A3"/>
    <w:rsid w:val="73ACC7B8"/>
    <w:rsid w:val="73BC0975"/>
    <w:rsid w:val="73C612F5"/>
    <w:rsid w:val="73CB88E0"/>
    <w:rsid w:val="73D68317"/>
    <w:rsid w:val="73DDACB7"/>
    <w:rsid w:val="73E4700A"/>
    <w:rsid w:val="73EEFF99"/>
    <w:rsid w:val="73F53132"/>
    <w:rsid w:val="73FFB61E"/>
    <w:rsid w:val="740637BE"/>
    <w:rsid w:val="7408D199"/>
    <w:rsid w:val="74098072"/>
    <w:rsid w:val="74119A35"/>
    <w:rsid w:val="74177CBA"/>
    <w:rsid w:val="74194322"/>
    <w:rsid w:val="741CAD0C"/>
    <w:rsid w:val="742483A3"/>
    <w:rsid w:val="742B7C34"/>
    <w:rsid w:val="7431E5A3"/>
    <w:rsid w:val="7436A3FC"/>
    <w:rsid w:val="7437449D"/>
    <w:rsid w:val="7446A54B"/>
    <w:rsid w:val="744DC888"/>
    <w:rsid w:val="74500BF4"/>
    <w:rsid w:val="745C9079"/>
    <w:rsid w:val="745FC661"/>
    <w:rsid w:val="74738930"/>
    <w:rsid w:val="7481AF97"/>
    <w:rsid w:val="748356DF"/>
    <w:rsid w:val="74B7185D"/>
    <w:rsid w:val="74C482C6"/>
    <w:rsid w:val="74D0DE27"/>
    <w:rsid w:val="74DB2595"/>
    <w:rsid w:val="74E267C2"/>
    <w:rsid w:val="74E415DF"/>
    <w:rsid w:val="74E60A13"/>
    <w:rsid w:val="74F67E96"/>
    <w:rsid w:val="74FBCF1D"/>
    <w:rsid w:val="75008923"/>
    <w:rsid w:val="7509F11F"/>
    <w:rsid w:val="750FB6F2"/>
    <w:rsid w:val="751B2FA7"/>
    <w:rsid w:val="751CAD98"/>
    <w:rsid w:val="751DB280"/>
    <w:rsid w:val="7523165B"/>
    <w:rsid w:val="752580F9"/>
    <w:rsid w:val="7527EA80"/>
    <w:rsid w:val="754C70CB"/>
    <w:rsid w:val="75709F06"/>
    <w:rsid w:val="7577739F"/>
    <w:rsid w:val="757785B7"/>
    <w:rsid w:val="757F4B7C"/>
    <w:rsid w:val="75868D02"/>
    <w:rsid w:val="75A8F8C9"/>
    <w:rsid w:val="75AC8F80"/>
    <w:rsid w:val="75B4AAAB"/>
    <w:rsid w:val="75D0E0C6"/>
    <w:rsid w:val="75D868AA"/>
    <w:rsid w:val="75E5A926"/>
    <w:rsid w:val="75E78012"/>
    <w:rsid w:val="75EEA080"/>
    <w:rsid w:val="75F197AC"/>
    <w:rsid w:val="760464B1"/>
    <w:rsid w:val="761E5120"/>
    <w:rsid w:val="762340F2"/>
    <w:rsid w:val="7626992A"/>
    <w:rsid w:val="762EF7BC"/>
    <w:rsid w:val="76336841"/>
    <w:rsid w:val="76431C2D"/>
    <w:rsid w:val="76457378"/>
    <w:rsid w:val="764ACA9A"/>
    <w:rsid w:val="765805A1"/>
    <w:rsid w:val="765BF900"/>
    <w:rsid w:val="76820904"/>
    <w:rsid w:val="768B1AF8"/>
    <w:rsid w:val="768DF1ED"/>
    <w:rsid w:val="7699898F"/>
    <w:rsid w:val="76A3CF00"/>
    <w:rsid w:val="76A7AA68"/>
    <w:rsid w:val="76AD6539"/>
    <w:rsid w:val="76ADA9DA"/>
    <w:rsid w:val="76AF99CF"/>
    <w:rsid w:val="76B9DF1F"/>
    <w:rsid w:val="76CDD16C"/>
    <w:rsid w:val="76CF3578"/>
    <w:rsid w:val="76DF2A70"/>
    <w:rsid w:val="76E34504"/>
    <w:rsid w:val="76E6E447"/>
    <w:rsid w:val="76E75E70"/>
    <w:rsid w:val="76EBC13A"/>
    <w:rsid w:val="770210A9"/>
    <w:rsid w:val="77152540"/>
    <w:rsid w:val="77162881"/>
    <w:rsid w:val="7723E019"/>
    <w:rsid w:val="7734FBEC"/>
    <w:rsid w:val="773648F5"/>
    <w:rsid w:val="773A8F54"/>
    <w:rsid w:val="773E8E2D"/>
    <w:rsid w:val="774486C5"/>
    <w:rsid w:val="775210B9"/>
    <w:rsid w:val="7757F2A4"/>
    <w:rsid w:val="77712BF3"/>
    <w:rsid w:val="77781B43"/>
    <w:rsid w:val="777AC4D0"/>
    <w:rsid w:val="779C5654"/>
    <w:rsid w:val="77A1053D"/>
    <w:rsid w:val="77A81B98"/>
    <w:rsid w:val="77A8BC8A"/>
    <w:rsid w:val="77B03BBD"/>
    <w:rsid w:val="77BB5D10"/>
    <w:rsid w:val="77C71872"/>
    <w:rsid w:val="77D10B97"/>
    <w:rsid w:val="77FB83AF"/>
    <w:rsid w:val="78047545"/>
    <w:rsid w:val="78081F3C"/>
    <w:rsid w:val="780850BB"/>
    <w:rsid w:val="78116B0D"/>
    <w:rsid w:val="7814E6CE"/>
    <w:rsid w:val="782E4C85"/>
    <w:rsid w:val="782F1235"/>
    <w:rsid w:val="783C78FC"/>
    <w:rsid w:val="7841E1D6"/>
    <w:rsid w:val="7842538F"/>
    <w:rsid w:val="784D0B63"/>
    <w:rsid w:val="784ECA4C"/>
    <w:rsid w:val="7850F34F"/>
    <w:rsid w:val="785E5B3A"/>
    <w:rsid w:val="785EF3CA"/>
    <w:rsid w:val="78626C58"/>
    <w:rsid w:val="7869ECD9"/>
    <w:rsid w:val="78702D92"/>
    <w:rsid w:val="7872793A"/>
    <w:rsid w:val="7875FC28"/>
    <w:rsid w:val="78789F5D"/>
    <w:rsid w:val="7878F730"/>
    <w:rsid w:val="7889E1D4"/>
    <w:rsid w:val="789703F6"/>
    <w:rsid w:val="789E7563"/>
    <w:rsid w:val="78A533A3"/>
    <w:rsid w:val="78A5CDA9"/>
    <w:rsid w:val="78AF2679"/>
    <w:rsid w:val="78BE9A51"/>
    <w:rsid w:val="78DD4A6E"/>
    <w:rsid w:val="78E58D6C"/>
    <w:rsid w:val="78E82B56"/>
    <w:rsid w:val="78F9EEF0"/>
    <w:rsid w:val="79045A8E"/>
    <w:rsid w:val="79079403"/>
    <w:rsid w:val="790F33C2"/>
    <w:rsid w:val="7930E343"/>
    <w:rsid w:val="793CD59E"/>
    <w:rsid w:val="796ABA76"/>
    <w:rsid w:val="796B082F"/>
    <w:rsid w:val="796F877C"/>
    <w:rsid w:val="79710021"/>
    <w:rsid w:val="798044E5"/>
    <w:rsid w:val="798C1672"/>
    <w:rsid w:val="79BC6BB7"/>
    <w:rsid w:val="79BF289B"/>
    <w:rsid w:val="79C5B108"/>
    <w:rsid w:val="79CE7F46"/>
    <w:rsid w:val="79E34824"/>
    <w:rsid w:val="79EA9EC6"/>
    <w:rsid w:val="79EC2AE2"/>
    <w:rsid w:val="7A24DE1D"/>
    <w:rsid w:val="7A3D197B"/>
    <w:rsid w:val="7A4421D5"/>
    <w:rsid w:val="7A5F4851"/>
    <w:rsid w:val="7A676DA3"/>
    <w:rsid w:val="7A7025C6"/>
    <w:rsid w:val="7A7D00A0"/>
    <w:rsid w:val="7A7E6DD5"/>
    <w:rsid w:val="7AA49495"/>
    <w:rsid w:val="7AA92461"/>
    <w:rsid w:val="7AAA3BA1"/>
    <w:rsid w:val="7AB492C5"/>
    <w:rsid w:val="7AB9AD17"/>
    <w:rsid w:val="7AC18F4B"/>
    <w:rsid w:val="7AD0DB59"/>
    <w:rsid w:val="7AEA3A5F"/>
    <w:rsid w:val="7AEA91AD"/>
    <w:rsid w:val="7AEB73E7"/>
    <w:rsid w:val="7AF4D46B"/>
    <w:rsid w:val="7AF9508D"/>
    <w:rsid w:val="7AFC0445"/>
    <w:rsid w:val="7B10E985"/>
    <w:rsid w:val="7B2CEB17"/>
    <w:rsid w:val="7B326BDA"/>
    <w:rsid w:val="7B38D4A5"/>
    <w:rsid w:val="7B4445E4"/>
    <w:rsid w:val="7B49B585"/>
    <w:rsid w:val="7B4B2D0C"/>
    <w:rsid w:val="7B505681"/>
    <w:rsid w:val="7B59DB9F"/>
    <w:rsid w:val="7B5C7D23"/>
    <w:rsid w:val="7B6AC7F1"/>
    <w:rsid w:val="7B6E8031"/>
    <w:rsid w:val="7B71DC95"/>
    <w:rsid w:val="7B74DFF2"/>
    <w:rsid w:val="7B8897BD"/>
    <w:rsid w:val="7B8F3E7E"/>
    <w:rsid w:val="7B947B79"/>
    <w:rsid w:val="7B982D55"/>
    <w:rsid w:val="7BA25F47"/>
    <w:rsid w:val="7BABE74C"/>
    <w:rsid w:val="7BAFA234"/>
    <w:rsid w:val="7BB0063E"/>
    <w:rsid w:val="7BB347AF"/>
    <w:rsid w:val="7BB85A1C"/>
    <w:rsid w:val="7BBB20CC"/>
    <w:rsid w:val="7BCAB658"/>
    <w:rsid w:val="7BCFA9D0"/>
    <w:rsid w:val="7BEF40EF"/>
    <w:rsid w:val="7BFA838B"/>
    <w:rsid w:val="7C021049"/>
    <w:rsid w:val="7C081761"/>
    <w:rsid w:val="7C25DA1B"/>
    <w:rsid w:val="7C2ED91B"/>
    <w:rsid w:val="7C3627A0"/>
    <w:rsid w:val="7C491570"/>
    <w:rsid w:val="7C4CC6E8"/>
    <w:rsid w:val="7C4DDAC4"/>
    <w:rsid w:val="7C511FB8"/>
    <w:rsid w:val="7C551E54"/>
    <w:rsid w:val="7C58AEE2"/>
    <w:rsid w:val="7C5A1B95"/>
    <w:rsid w:val="7C5E3D4E"/>
    <w:rsid w:val="7C662F60"/>
    <w:rsid w:val="7C6B86F0"/>
    <w:rsid w:val="7C6BA71E"/>
    <w:rsid w:val="7C77DC52"/>
    <w:rsid w:val="7C7EF344"/>
    <w:rsid w:val="7C92EEB0"/>
    <w:rsid w:val="7C93D0AA"/>
    <w:rsid w:val="7CA8AA15"/>
    <w:rsid w:val="7CACA86E"/>
    <w:rsid w:val="7CB2E1FB"/>
    <w:rsid w:val="7CBA9ABE"/>
    <w:rsid w:val="7CBD1D36"/>
    <w:rsid w:val="7CC45551"/>
    <w:rsid w:val="7CCD184B"/>
    <w:rsid w:val="7CD09BED"/>
    <w:rsid w:val="7CD79D51"/>
    <w:rsid w:val="7CE1FEE2"/>
    <w:rsid w:val="7CE5A97A"/>
    <w:rsid w:val="7CE76F5C"/>
    <w:rsid w:val="7D178B90"/>
    <w:rsid w:val="7D3A4E99"/>
    <w:rsid w:val="7D3C9C11"/>
    <w:rsid w:val="7D3E9C05"/>
    <w:rsid w:val="7D3F2442"/>
    <w:rsid w:val="7D436BE4"/>
    <w:rsid w:val="7D481920"/>
    <w:rsid w:val="7D55AD65"/>
    <w:rsid w:val="7D5AF78F"/>
    <w:rsid w:val="7D5D4732"/>
    <w:rsid w:val="7D6A8B1A"/>
    <w:rsid w:val="7D705D01"/>
    <w:rsid w:val="7D80B49F"/>
    <w:rsid w:val="7D84DBC3"/>
    <w:rsid w:val="7D90AA68"/>
    <w:rsid w:val="7DA0F97D"/>
    <w:rsid w:val="7DA71451"/>
    <w:rsid w:val="7DAD51D5"/>
    <w:rsid w:val="7DAF0714"/>
    <w:rsid w:val="7DB7AAFD"/>
    <w:rsid w:val="7DC16FE1"/>
    <w:rsid w:val="7DC7F12B"/>
    <w:rsid w:val="7DD9D531"/>
    <w:rsid w:val="7DE44B7D"/>
    <w:rsid w:val="7DED804A"/>
    <w:rsid w:val="7DF528EA"/>
    <w:rsid w:val="7E06A8A7"/>
    <w:rsid w:val="7E081A83"/>
    <w:rsid w:val="7E1CD9D0"/>
    <w:rsid w:val="7E1F2BF5"/>
    <w:rsid w:val="7E2785D8"/>
    <w:rsid w:val="7E356956"/>
    <w:rsid w:val="7E3BF5FD"/>
    <w:rsid w:val="7E478CDF"/>
    <w:rsid w:val="7E4C4849"/>
    <w:rsid w:val="7E4F7AB3"/>
    <w:rsid w:val="7E5BA40D"/>
    <w:rsid w:val="7E67A6F1"/>
    <w:rsid w:val="7E6B20BA"/>
    <w:rsid w:val="7E6CC594"/>
    <w:rsid w:val="7E7498D2"/>
    <w:rsid w:val="7E87B66B"/>
    <w:rsid w:val="7E9D84E1"/>
    <w:rsid w:val="7EA43A30"/>
    <w:rsid w:val="7EB1BC83"/>
    <w:rsid w:val="7EB2D63B"/>
    <w:rsid w:val="7EB7E81C"/>
    <w:rsid w:val="7EBC07B7"/>
    <w:rsid w:val="7EBEC19C"/>
    <w:rsid w:val="7EE142B7"/>
    <w:rsid w:val="7EF22BDB"/>
    <w:rsid w:val="7EF6EC3A"/>
    <w:rsid w:val="7F0F70B6"/>
    <w:rsid w:val="7F12C69B"/>
    <w:rsid w:val="7F16D79C"/>
    <w:rsid w:val="7F267742"/>
    <w:rsid w:val="7F2E364F"/>
    <w:rsid w:val="7F34049F"/>
    <w:rsid w:val="7F373730"/>
    <w:rsid w:val="7F3A5BA1"/>
    <w:rsid w:val="7F645B7E"/>
    <w:rsid w:val="7F64FC3E"/>
    <w:rsid w:val="7F6B8193"/>
    <w:rsid w:val="7F6FFCF6"/>
    <w:rsid w:val="7F75EE05"/>
    <w:rsid w:val="7F84EDDD"/>
    <w:rsid w:val="7F85010B"/>
    <w:rsid w:val="7F8D5338"/>
    <w:rsid w:val="7FA27A6A"/>
    <w:rsid w:val="7FA84A34"/>
    <w:rsid w:val="7FAA7772"/>
    <w:rsid w:val="7FB2941C"/>
    <w:rsid w:val="7FBC44D1"/>
    <w:rsid w:val="7FD2D9CD"/>
    <w:rsid w:val="7FD94D94"/>
    <w:rsid w:val="7FDB0954"/>
    <w:rsid w:val="7FDD5D90"/>
    <w:rsid w:val="7FE01D6A"/>
    <w:rsid w:val="7FF0775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9E9CB0"/>
  <w15:docId w15:val="{DBBF6DB4-AD7F-465A-BB7E-3034C342D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_tradnl"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0459"/>
    <w:pPr>
      <w:spacing w:after="0" w:line="240" w:lineRule="auto"/>
    </w:pPr>
    <w:rPr>
      <w:rFonts w:ascii="Times New Roman" w:eastAsia="Times New Roman" w:hAnsi="Times New Roman" w:cs="Times New Roman"/>
      <w:sz w:val="24"/>
      <w:szCs w:val="24"/>
      <w:lang w:val="es-CO" w:eastAsia="es-MX"/>
    </w:rPr>
  </w:style>
  <w:style w:type="paragraph" w:styleId="Ttulo1">
    <w:name w:val="heading 1"/>
    <w:basedOn w:val="Normal"/>
    <w:next w:val="Normal"/>
    <w:uiPriority w:val="9"/>
    <w:qFormat/>
    <w:rsid w:val="001D377D"/>
    <w:pPr>
      <w:keepNext/>
      <w:keepLines/>
      <w:spacing w:before="480" w:after="120"/>
      <w:outlineLvl w:val="0"/>
    </w:pPr>
    <w:rPr>
      <w:rFonts w:ascii="Geomanist Bold" w:hAnsi="Geomanist Bold"/>
      <w:b/>
      <w:color w:val="002060"/>
      <w:sz w:val="22"/>
      <w:szCs w:val="48"/>
    </w:rPr>
  </w:style>
  <w:style w:type="paragraph" w:styleId="Ttulo2">
    <w:name w:val="heading 2"/>
    <w:basedOn w:val="Normal"/>
    <w:next w:val="Normal"/>
    <w:uiPriority w:val="9"/>
    <w:unhideWhenUsed/>
    <w:qFormat/>
    <w:rsid w:val="0000709B"/>
    <w:pPr>
      <w:keepNext/>
      <w:keepLines/>
      <w:spacing w:before="360" w:after="80"/>
      <w:outlineLvl w:val="1"/>
    </w:pPr>
    <w:rPr>
      <w:rFonts w:ascii="Geomanist Light" w:hAnsi="Geomanist Light"/>
      <w:b/>
      <w:color w:val="002060"/>
      <w:sz w:val="22"/>
      <w:szCs w:val="36"/>
    </w:rPr>
  </w:style>
  <w:style w:type="paragraph" w:styleId="Ttulo3">
    <w:name w:val="heading 3"/>
    <w:basedOn w:val="Normal"/>
    <w:next w:val="Normal"/>
    <w:uiPriority w:val="9"/>
    <w:unhideWhenUsed/>
    <w:qFormat/>
    <w:rsid w:val="009759C7"/>
    <w:pPr>
      <w:keepNext/>
      <w:keepLines/>
      <w:spacing w:before="280" w:after="80"/>
      <w:outlineLvl w:val="2"/>
    </w:pPr>
    <w:rPr>
      <w:rFonts w:ascii="Geomanist Light" w:hAnsi="Geomanist Light"/>
      <w:b/>
      <w:i/>
      <w:color w:val="002060"/>
      <w:sz w:val="22"/>
      <w:szCs w:val="28"/>
    </w:rPr>
  </w:style>
  <w:style w:type="paragraph" w:styleId="Ttulo4">
    <w:name w:val="heading 4"/>
    <w:basedOn w:val="Normal"/>
    <w:next w:val="Normal"/>
    <w:uiPriority w:val="9"/>
    <w:unhideWhenUsed/>
    <w:qFormat/>
    <w:rsid w:val="00AE1C08"/>
    <w:pPr>
      <w:keepNext/>
      <w:keepLines/>
      <w:spacing w:before="240" w:after="40"/>
      <w:jc w:val="both"/>
      <w:outlineLvl w:val="3"/>
    </w:pPr>
    <w:rPr>
      <w:rFonts w:ascii="Geomanist Light" w:hAnsi="Geomanist Light"/>
      <w:b/>
      <w:i/>
      <w:color w:val="002060"/>
      <w:sz w:val="22"/>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sid w:val="001D377D"/>
    <w:pPr>
      <w:spacing w:line="240" w:lineRule="auto"/>
      <w:jc w:val="both"/>
    </w:pPr>
    <w:rPr>
      <w:rFonts w:ascii="Geomanist Light" w:hAnsi="Geomanist Light"/>
      <w:lang w:val="es-ES"/>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styleId="Encabezado">
    <w:name w:val="header"/>
    <w:aliases w:val="h,h8,h9,h10,h18"/>
    <w:basedOn w:val="Normal0"/>
    <w:link w:val="EncabezadoCar"/>
    <w:uiPriority w:val="99"/>
    <w:rsid w:val="009034B7"/>
    <w:pPr>
      <w:tabs>
        <w:tab w:val="center" w:pos="4419"/>
        <w:tab w:val="right" w:pos="8838"/>
      </w:tabs>
      <w:spacing w:after="0"/>
    </w:pPr>
    <w:rPr>
      <w:rFonts w:ascii="Times New Roman" w:eastAsia="MS Mincho" w:hAnsi="Times New Roman" w:cs="Times New Roman"/>
      <w:sz w:val="24"/>
      <w:szCs w:val="24"/>
      <w:lang w:val="es-CO"/>
    </w:rPr>
  </w:style>
  <w:style w:type="character" w:customStyle="1" w:styleId="EncabezadoCar">
    <w:name w:val="Encabezado Car"/>
    <w:aliases w:val="h Car,h8 Car,h9 Car,h10 Car,h18 Car"/>
    <w:basedOn w:val="Fuentedeprrafopredeter"/>
    <w:link w:val="Encabezado"/>
    <w:uiPriority w:val="99"/>
    <w:rsid w:val="009034B7"/>
    <w:rPr>
      <w:rFonts w:ascii="Times New Roman" w:eastAsia="MS Mincho" w:hAnsi="Times New Roman" w:cs="Times New Roman"/>
      <w:sz w:val="24"/>
      <w:szCs w:val="24"/>
      <w:lang w:val="es-CO"/>
    </w:rPr>
  </w:style>
  <w:style w:type="paragraph" w:styleId="Piedepgina">
    <w:name w:val="footer"/>
    <w:basedOn w:val="Normal0"/>
    <w:link w:val="PiedepginaCar"/>
    <w:uiPriority w:val="99"/>
    <w:rsid w:val="009034B7"/>
    <w:pPr>
      <w:tabs>
        <w:tab w:val="center" w:pos="4419"/>
        <w:tab w:val="right" w:pos="8838"/>
      </w:tabs>
      <w:spacing w:after="0"/>
    </w:pPr>
    <w:rPr>
      <w:rFonts w:ascii="Times New Roman" w:eastAsia="MS Mincho" w:hAnsi="Times New Roman" w:cs="Times New Roman"/>
      <w:sz w:val="24"/>
      <w:szCs w:val="24"/>
      <w:lang w:val="es-CO"/>
    </w:rPr>
  </w:style>
  <w:style w:type="character" w:customStyle="1" w:styleId="PiedepginaCar">
    <w:name w:val="Pie de página Car"/>
    <w:basedOn w:val="Fuentedeprrafopredeter"/>
    <w:link w:val="Piedepgina"/>
    <w:uiPriority w:val="99"/>
    <w:rsid w:val="009034B7"/>
    <w:rPr>
      <w:rFonts w:ascii="Times New Roman" w:eastAsia="MS Mincho" w:hAnsi="Times New Roman" w:cs="Times New Roman"/>
      <w:sz w:val="24"/>
      <w:szCs w:val="24"/>
      <w:lang w:val="es-CO"/>
    </w:rPr>
  </w:style>
  <w:style w:type="paragraph" w:styleId="Sinespaciado">
    <w:name w:val="No Spacing"/>
    <w:aliases w:val="Encabezado CCE"/>
    <w:link w:val="SinespaciadoCar"/>
    <w:uiPriority w:val="1"/>
    <w:qFormat/>
    <w:rsid w:val="009034B7"/>
    <w:pPr>
      <w:spacing w:after="0" w:line="240" w:lineRule="auto"/>
    </w:pPr>
    <w:rPr>
      <w:rFonts w:ascii="Times New Roman" w:eastAsia="MS Mincho" w:hAnsi="Times New Roman" w:cs="Times New Roman"/>
      <w:sz w:val="24"/>
      <w:szCs w:val="24"/>
    </w:rPr>
  </w:style>
  <w:style w:type="paragraph" w:customStyle="1" w:styleId="Normal11pt">
    <w:name w:val="Normal + 11 pt"/>
    <w:aliases w:val="Negro,Justificado,Izquierda:  -0,95 cm,Derecha:  0,04 cm"/>
    <w:basedOn w:val="Normal0"/>
    <w:rsid w:val="009034B7"/>
    <w:pPr>
      <w:spacing w:after="0"/>
      <w:ind w:left="-540"/>
    </w:pPr>
    <w:rPr>
      <w:rFonts w:ascii="Arial" w:eastAsia="Times New Roman" w:hAnsi="Arial" w:cs="Arial"/>
      <w:color w:val="000000"/>
      <w:lang w:val="es-ES_tradnl" w:eastAsia="es-ES"/>
    </w:rPr>
  </w:style>
  <w:style w:type="paragraph" w:styleId="Textonotapie">
    <w:name w:val="footnote text"/>
    <w:aliases w:val="Footnote Text Char Char Char Char Char,Footnote Text Char Char Char Char,Ref. de nota al pie1,FA Fu,texto de nota al pie,Footnote Text Char Char Char,Footnote Text Char,Car Car,Footnote reference,Car,ft Car, Car,Nota a pie/Bibliog,ft,Car1"/>
    <w:basedOn w:val="Normal0"/>
    <w:link w:val="TextonotapieCar"/>
    <w:uiPriority w:val="99"/>
    <w:unhideWhenUsed/>
    <w:qFormat/>
    <w:rsid w:val="009034B7"/>
    <w:pPr>
      <w:spacing w:after="0"/>
    </w:pPr>
    <w:rPr>
      <w:rFonts w:ascii="Times New Roman" w:eastAsia="MS Mincho" w:hAnsi="Times New Roman" w:cs="Times New Roman"/>
      <w:sz w:val="20"/>
      <w:szCs w:val="20"/>
      <w:lang w:val="es-CO"/>
    </w:rPr>
  </w:style>
  <w:style w:type="character" w:customStyle="1" w:styleId="TextonotapieCar">
    <w:name w:val="Texto nota pie Car"/>
    <w:aliases w:val="Footnote Text Char Char Char Char Char Car,Footnote Text Char Char Char Char Car,Ref. de nota al pie1 Car,FA Fu Car,texto de nota al pie Car,Footnote Text Char Char Char Car,Footnote Text Char Car,Car Car Car,Footnote reference Car"/>
    <w:basedOn w:val="Fuentedeprrafopredeter"/>
    <w:link w:val="Textonotapie"/>
    <w:uiPriority w:val="99"/>
    <w:qFormat/>
    <w:rsid w:val="009034B7"/>
    <w:rPr>
      <w:rFonts w:ascii="Times New Roman" w:eastAsia="MS Mincho" w:hAnsi="Times New Roman" w:cs="Times New Roman"/>
      <w:sz w:val="20"/>
      <w:szCs w:val="20"/>
      <w:lang w:val="es-CO"/>
    </w:rPr>
  </w:style>
  <w:style w:type="character" w:styleId="Refdenotaalpie">
    <w:name w:val="footnote reference"/>
    <w:aliases w:val="referencia nota al pie,Texto de nota al pie,Nota de pie,Texto nota al pie,Appel note de bas de page,Footnotes refss,Ref. de nota al pie2,Massilia Footnote Reference,Pie de pagina,Ref. de nota al pie 2,Footnote number,BVI fnr,f,16 Poi"/>
    <w:link w:val="Appelnotedebasde"/>
    <w:uiPriority w:val="99"/>
    <w:unhideWhenUsed/>
    <w:qFormat/>
    <w:rsid w:val="009034B7"/>
    <w:rPr>
      <w:vertAlign w:val="superscript"/>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List Paragraph1,Foot,H"/>
    <w:basedOn w:val="Normal0"/>
    <w:link w:val="PrrafodelistaCar"/>
    <w:uiPriority w:val="1"/>
    <w:qFormat/>
    <w:rsid w:val="009034B7"/>
    <w:pPr>
      <w:ind w:left="720"/>
      <w:contextualSpacing/>
    </w:pPr>
    <w:rPr>
      <w:rFonts w:cs="Times New Roman"/>
      <w:lang w:val="es-CO"/>
    </w:rPr>
  </w:style>
  <w:style w:type="paragraph" w:styleId="NormalWeb">
    <w:name w:val="Normal (Web)"/>
    <w:basedOn w:val="Normal0"/>
    <w:uiPriority w:val="99"/>
    <w:unhideWhenUsed/>
    <w:rsid w:val="009034B7"/>
    <w:pPr>
      <w:spacing w:before="100" w:beforeAutospacing="1" w:after="100" w:afterAutospacing="1"/>
    </w:pPr>
    <w:rPr>
      <w:rFonts w:ascii="Times New Roman" w:eastAsia="Times New Roman" w:hAnsi="Times New Roman" w:cs="Times New Roman"/>
      <w:sz w:val="24"/>
      <w:szCs w:val="24"/>
      <w:lang w:val="es-CO"/>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rsid w:val="009034B7"/>
    <w:rPr>
      <w:rFonts w:ascii="Calibri" w:eastAsia="Calibri" w:hAnsi="Calibri" w:cs="Times New Roman"/>
    </w:rPr>
  </w:style>
  <w:style w:type="character" w:styleId="Refdecomentario">
    <w:name w:val="annotation reference"/>
    <w:basedOn w:val="Fuentedeprrafopredeter"/>
    <w:uiPriority w:val="99"/>
    <w:unhideWhenUsed/>
    <w:rsid w:val="009034B7"/>
    <w:rPr>
      <w:sz w:val="16"/>
      <w:szCs w:val="16"/>
    </w:rPr>
  </w:style>
  <w:style w:type="paragraph" w:styleId="Textocomentario">
    <w:name w:val="annotation text"/>
    <w:basedOn w:val="Normal0"/>
    <w:link w:val="TextocomentarioCar"/>
    <w:uiPriority w:val="99"/>
    <w:unhideWhenUsed/>
    <w:rsid w:val="009034B7"/>
    <w:rPr>
      <w:sz w:val="20"/>
      <w:szCs w:val="20"/>
    </w:rPr>
  </w:style>
  <w:style w:type="character" w:customStyle="1" w:styleId="TextocomentarioCar">
    <w:name w:val="Texto comentario Car"/>
    <w:basedOn w:val="Fuentedeprrafopredeter"/>
    <w:link w:val="Textocomentario"/>
    <w:uiPriority w:val="99"/>
    <w:rsid w:val="009034B7"/>
    <w:rPr>
      <w:rFonts w:ascii="Geomanist Light" w:hAnsi="Geomanist Light"/>
      <w:sz w:val="20"/>
      <w:szCs w:val="20"/>
      <w:lang w:val="es-ES"/>
    </w:rPr>
  </w:style>
  <w:style w:type="character" w:styleId="Hipervnculo">
    <w:name w:val="Hyperlink"/>
    <w:basedOn w:val="Fuentedeprrafopredeter"/>
    <w:uiPriority w:val="99"/>
    <w:unhideWhenUsed/>
    <w:qFormat/>
    <w:rsid w:val="009034B7"/>
    <w:rPr>
      <w:color w:val="0000FF"/>
      <w:u w:val="single"/>
    </w:rPr>
  </w:style>
  <w:style w:type="paragraph" w:styleId="Textodeglobo">
    <w:name w:val="Balloon Text"/>
    <w:basedOn w:val="Normal0"/>
    <w:link w:val="TextodegloboCar"/>
    <w:uiPriority w:val="99"/>
    <w:semiHidden/>
    <w:unhideWhenUsed/>
    <w:rsid w:val="009034B7"/>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034B7"/>
    <w:rPr>
      <w:rFonts w:ascii="Segoe UI" w:hAnsi="Segoe UI" w:cs="Segoe UI"/>
      <w:sz w:val="18"/>
      <w:szCs w:val="18"/>
      <w:lang w:val="es-ES"/>
    </w:rPr>
  </w:style>
  <w:style w:type="paragraph" w:styleId="Asuntodelcomentario">
    <w:name w:val="annotation subject"/>
    <w:basedOn w:val="Textocomentario"/>
    <w:next w:val="Textocomentario"/>
    <w:link w:val="AsuntodelcomentarioCar"/>
    <w:uiPriority w:val="99"/>
    <w:semiHidden/>
    <w:unhideWhenUsed/>
    <w:rsid w:val="00822BB7"/>
    <w:rPr>
      <w:b/>
      <w:bCs/>
    </w:rPr>
  </w:style>
  <w:style w:type="character" w:customStyle="1" w:styleId="AsuntodelcomentarioCar">
    <w:name w:val="Asunto del comentario Car"/>
    <w:basedOn w:val="TextocomentarioCar"/>
    <w:link w:val="Asuntodelcomentario"/>
    <w:uiPriority w:val="99"/>
    <w:semiHidden/>
    <w:rsid w:val="00822BB7"/>
    <w:rPr>
      <w:rFonts w:ascii="Geomanist Light" w:hAnsi="Geomanist Light"/>
      <w:b/>
      <w:bCs/>
      <w:sz w:val="20"/>
      <w:szCs w:val="20"/>
      <w:lang w:val="es-ES"/>
    </w:rPr>
  </w:style>
  <w:style w:type="table" w:styleId="Tablaconcuadrcula">
    <w:name w:val="Table Grid"/>
    <w:basedOn w:val="NormalTable0"/>
    <w:uiPriority w:val="59"/>
    <w:rsid w:val="00A23A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nfasis21">
    <w:name w:val="Tabla con cuadrícula 2 - Énfasis 21"/>
    <w:basedOn w:val="NormalTable0"/>
    <w:uiPriority w:val="47"/>
    <w:rsid w:val="00B8091C"/>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lista3-nfasis31">
    <w:name w:val="Tabla de lista 3 - Énfasis 31"/>
    <w:basedOn w:val="NormalTable0"/>
    <w:uiPriority w:val="48"/>
    <w:rsid w:val="002D7398"/>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5oscura-nfasis31">
    <w:name w:val="Tabla con cuadrícula 5 oscura - Énfasis 31"/>
    <w:basedOn w:val="NormalTable0"/>
    <w:uiPriority w:val="50"/>
    <w:rsid w:val="006736D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4-nfasis31">
    <w:name w:val="Tabla con cuadrícula 4 - Énfasis 31"/>
    <w:basedOn w:val="NormalTable0"/>
    <w:uiPriority w:val="49"/>
    <w:rsid w:val="006736D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textrun">
    <w:name w:val="textrun"/>
    <w:basedOn w:val="Fuentedeprrafopredeter"/>
    <w:rsid w:val="00D3692F"/>
  </w:style>
  <w:style w:type="character" w:customStyle="1" w:styleId="normaltextrun">
    <w:name w:val="normaltextrun"/>
    <w:basedOn w:val="Fuentedeprrafopredeter"/>
    <w:rsid w:val="00D3692F"/>
  </w:style>
  <w:style w:type="character" w:customStyle="1" w:styleId="eop">
    <w:name w:val="eop"/>
    <w:basedOn w:val="Fuentedeprrafopredeter"/>
    <w:rsid w:val="00D3692F"/>
  </w:style>
  <w:style w:type="table" w:customStyle="1" w:styleId="Tablaconcuadrcula1">
    <w:name w:val="Tabla con cuadrícula1"/>
    <w:basedOn w:val="NormalTable0"/>
    <w:uiPriority w:val="59"/>
    <w:rsid w:val="002F1C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AB382B"/>
    <w:rPr>
      <w:color w:val="605E5C"/>
      <w:shd w:val="clear" w:color="auto" w:fill="E1DFDD"/>
    </w:rPr>
  </w:style>
  <w:style w:type="paragraph" w:styleId="Sangradetextonormal">
    <w:name w:val="Body Text Indent"/>
    <w:basedOn w:val="Normal0"/>
    <w:link w:val="SangradetextonormalCar"/>
    <w:uiPriority w:val="99"/>
    <w:semiHidden/>
    <w:unhideWhenUsed/>
    <w:rsid w:val="00407523"/>
    <w:pPr>
      <w:spacing w:before="100" w:beforeAutospacing="1" w:after="100" w:afterAutospacing="1"/>
    </w:pPr>
    <w:rPr>
      <w:rFonts w:ascii="Times New Roman" w:eastAsia="Times New Roman" w:hAnsi="Times New Roman" w:cs="Times New Roman"/>
      <w:sz w:val="24"/>
      <w:szCs w:val="24"/>
      <w:lang w:val="es-CO"/>
    </w:rPr>
  </w:style>
  <w:style w:type="character" w:customStyle="1" w:styleId="SangradetextonormalCar">
    <w:name w:val="Sangría de texto normal Car"/>
    <w:basedOn w:val="Fuentedeprrafopredeter"/>
    <w:link w:val="Sangradetextonormal"/>
    <w:uiPriority w:val="99"/>
    <w:semiHidden/>
    <w:rsid w:val="00407523"/>
    <w:rPr>
      <w:rFonts w:ascii="Times New Roman" w:eastAsia="Times New Roman" w:hAnsi="Times New Roman" w:cs="Times New Roman"/>
      <w:sz w:val="24"/>
      <w:szCs w:val="24"/>
      <w:lang w:val="es-CO"/>
    </w:rPr>
  </w:style>
  <w:style w:type="table" w:customStyle="1" w:styleId="Tablaconcuadrcula11">
    <w:name w:val="Tabla con cuadrícula11"/>
    <w:basedOn w:val="NormalTable0"/>
    <w:next w:val="Tablaconcuadrcula"/>
    <w:uiPriority w:val="59"/>
    <w:rsid w:val="00563DA4"/>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DF09F1"/>
    <w:rPr>
      <w:color w:val="954F72" w:themeColor="followedHyperlink"/>
      <w:u w:val="single"/>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3">
    <w:name w:val="3"/>
    <w:basedOn w:val="Tablanormal"/>
    <w:tblPr>
      <w:tblStyleRowBandSize w:val="1"/>
      <w:tblStyleColBandSize w:val="1"/>
      <w:tblCellMar>
        <w:left w:w="70" w:type="dxa"/>
        <w:right w:w="70" w:type="dxa"/>
      </w:tblCellMar>
    </w:tblPr>
  </w:style>
  <w:style w:type="table" w:customStyle="1" w:styleId="2">
    <w:name w:val="2"/>
    <w:basedOn w:val="Tablanormal"/>
    <w:pPr>
      <w:spacing w:after="0" w:line="240" w:lineRule="auto"/>
    </w:pPr>
    <w:tblPr>
      <w:tblStyleRowBandSize w:val="1"/>
      <w:tblStyleColBandSize w:val="1"/>
    </w:tblPr>
    <w:tcPr>
      <w:shd w:val="clear" w:color="auto" w:fill="EDEDED"/>
    </w:tcPr>
  </w:style>
  <w:style w:type="table" w:customStyle="1" w:styleId="1">
    <w:name w:val="1"/>
    <w:basedOn w:val="Tablanormal"/>
    <w:pPr>
      <w:spacing w:after="0" w:line="240" w:lineRule="auto"/>
    </w:pPr>
    <w:tblPr>
      <w:tblStyleRowBandSize w:val="1"/>
      <w:tblStyleColBandSize w:val="1"/>
    </w:tblPr>
    <w:tcPr>
      <w:shd w:val="clear" w:color="auto" w:fill="EDEDED"/>
    </w:tcPr>
  </w:style>
  <w:style w:type="character" w:customStyle="1" w:styleId="baj">
    <w:name w:val="b_aj"/>
    <w:basedOn w:val="Fuentedeprrafopredeter"/>
    <w:rsid w:val="009212FF"/>
  </w:style>
  <w:style w:type="paragraph" w:styleId="Revisin">
    <w:name w:val="Revision"/>
    <w:hidden/>
    <w:uiPriority w:val="99"/>
    <w:semiHidden/>
    <w:rsid w:val="00B10053"/>
    <w:pPr>
      <w:spacing w:after="0" w:line="240" w:lineRule="auto"/>
    </w:pPr>
    <w:rPr>
      <w:rFonts w:ascii="Times New Roman" w:eastAsia="Times New Roman" w:hAnsi="Times New Roman" w:cs="Times New Roman"/>
      <w:sz w:val="24"/>
      <w:szCs w:val="24"/>
      <w:lang w:val="es-CO" w:eastAsia="es-MX"/>
    </w:rPr>
  </w:style>
  <w:style w:type="paragraph" w:customStyle="1" w:styleId="Appelnotedebasde">
    <w:name w:val="Appel note de bas de..."/>
    <w:basedOn w:val="Normal"/>
    <w:link w:val="Refdenotaalpie"/>
    <w:uiPriority w:val="99"/>
    <w:semiHidden/>
    <w:rsid w:val="0003356C"/>
    <w:pPr>
      <w:spacing w:after="160" w:line="240" w:lineRule="exact"/>
    </w:pPr>
    <w:rPr>
      <w:rFonts w:ascii="Calibri" w:eastAsia="Calibri" w:hAnsi="Calibri" w:cs="Calibri"/>
      <w:sz w:val="22"/>
      <w:szCs w:val="22"/>
      <w:vertAlign w:val="superscript"/>
      <w:lang w:val="es-ES_tradnl" w:eastAsia="es-CO"/>
    </w:rPr>
  </w:style>
  <w:style w:type="paragraph" w:customStyle="1" w:styleId="Default">
    <w:name w:val="Default"/>
    <w:rsid w:val="008F0391"/>
    <w:pPr>
      <w:autoSpaceDE w:val="0"/>
      <w:autoSpaceDN w:val="0"/>
      <w:adjustRightInd w:val="0"/>
      <w:spacing w:after="0" w:line="240" w:lineRule="auto"/>
    </w:pPr>
    <w:rPr>
      <w:rFonts w:ascii="Arial" w:hAnsi="Arial" w:cs="Arial"/>
      <w:color w:val="000000"/>
      <w:sz w:val="24"/>
      <w:szCs w:val="24"/>
      <w:lang w:val="es-CO"/>
    </w:rPr>
  </w:style>
  <w:style w:type="character" w:customStyle="1" w:styleId="tooltiptext">
    <w:name w:val="tooltiptext"/>
    <w:basedOn w:val="Fuentedeprrafopredeter"/>
    <w:rsid w:val="00D603CD"/>
  </w:style>
  <w:style w:type="character" w:styleId="Textoennegrita">
    <w:name w:val="Strong"/>
    <w:basedOn w:val="Fuentedeprrafopredeter"/>
    <w:uiPriority w:val="22"/>
    <w:qFormat/>
    <w:rsid w:val="00C2312F"/>
    <w:rPr>
      <w:b/>
      <w:bCs/>
    </w:rPr>
  </w:style>
  <w:style w:type="paragraph" w:styleId="Textonotaalfinal">
    <w:name w:val="endnote text"/>
    <w:basedOn w:val="Normal"/>
    <w:link w:val="TextonotaalfinalCar"/>
    <w:uiPriority w:val="99"/>
    <w:semiHidden/>
    <w:unhideWhenUsed/>
    <w:rsid w:val="00002695"/>
    <w:rPr>
      <w:sz w:val="20"/>
      <w:szCs w:val="20"/>
    </w:rPr>
  </w:style>
  <w:style w:type="character" w:customStyle="1" w:styleId="TextonotaalfinalCar">
    <w:name w:val="Texto nota al final Car"/>
    <w:basedOn w:val="Fuentedeprrafopredeter"/>
    <w:link w:val="Textonotaalfinal"/>
    <w:uiPriority w:val="99"/>
    <w:semiHidden/>
    <w:rsid w:val="00002695"/>
    <w:rPr>
      <w:rFonts w:ascii="Times New Roman" w:eastAsia="Times New Roman" w:hAnsi="Times New Roman" w:cs="Times New Roman"/>
      <w:sz w:val="20"/>
      <w:szCs w:val="20"/>
      <w:lang w:val="es-CO" w:eastAsia="es-MX"/>
    </w:rPr>
  </w:style>
  <w:style w:type="character" w:styleId="Refdenotaalfinal">
    <w:name w:val="endnote reference"/>
    <w:basedOn w:val="Fuentedeprrafopredeter"/>
    <w:uiPriority w:val="99"/>
    <w:semiHidden/>
    <w:unhideWhenUsed/>
    <w:rsid w:val="00002695"/>
    <w:rPr>
      <w:vertAlign w:val="superscript"/>
    </w:rPr>
  </w:style>
  <w:style w:type="paragraph" w:customStyle="1" w:styleId="paragraph">
    <w:name w:val="paragraph"/>
    <w:basedOn w:val="Normal"/>
    <w:rsid w:val="00A02544"/>
    <w:pPr>
      <w:spacing w:before="100" w:beforeAutospacing="1" w:after="100" w:afterAutospacing="1"/>
    </w:pPr>
    <w:rPr>
      <w:lang w:eastAsia="es-CO"/>
    </w:rPr>
  </w:style>
  <w:style w:type="character" w:customStyle="1" w:styleId="mo">
    <w:name w:val="mo"/>
    <w:basedOn w:val="Fuentedeprrafopredeter"/>
    <w:rsid w:val="00A02544"/>
  </w:style>
  <w:style w:type="character" w:customStyle="1" w:styleId="mjxassistivemathml">
    <w:name w:val="mjx_assistive_mathml"/>
    <w:basedOn w:val="Fuentedeprrafopredeter"/>
    <w:rsid w:val="00A02544"/>
  </w:style>
  <w:style w:type="character" w:customStyle="1" w:styleId="mn">
    <w:name w:val="mn"/>
    <w:basedOn w:val="Fuentedeprrafopredeter"/>
    <w:rsid w:val="00A02544"/>
  </w:style>
  <w:style w:type="table" w:customStyle="1" w:styleId="Tablaconcuadrcula2">
    <w:name w:val="Tabla con cuadrícula2"/>
    <w:basedOn w:val="Tablanormal"/>
    <w:next w:val="Tablaconcuadrcula"/>
    <w:uiPriority w:val="59"/>
    <w:rsid w:val="00E01A49"/>
    <w:pPr>
      <w:spacing w:after="0" w:line="240" w:lineRule="auto"/>
    </w:pPr>
    <w:rPr>
      <w:rFonts w:ascii="Arial" w:eastAsia="Arial" w:hAnsi="Arial" w:cs="Times New Roman"/>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Fuentedeprrafopredeter"/>
    <w:uiPriority w:val="99"/>
    <w:unhideWhenUsed/>
    <w:rsid w:val="008621B8"/>
    <w:rPr>
      <w:color w:val="605E5C"/>
      <w:shd w:val="clear" w:color="auto" w:fill="E1DFDD"/>
    </w:rPr>
  </w:style>
  <w:style w:type="character" w:customStyle="1" w:styleId="Mention1">
    <w:name w:val="Mention1"/>
    <w:basedOn w:val="Fuentedeprrafopredeter"/>
    <w:uiPriority w:val="99"/>
    <w:unhideWhenUsed/>
    <w:rsid w:val="008621B8"/>
    <w:rPr>
      <w:color w:val="2B579A"/>
      <w:shd w:val="clear" w:color="auto" w:fill="E1DFDD"/>
    </w:rPr>
  </w:style>
  <w:style w:type="paragraph" w:styleId="Textoindependiente">
    <w:name w:val="Body Text"/>
    <w:basedOn w:val="Normal"/>
    <w:link w:val="TextoindependienteCar"/>
    <w:uiPriority w:val="99"/>
    <w:unhideWhenUsed/>
    <w:rsid w:val="0001635E"/>
    <w:pPr>
      <w:spacing w:after="120"/>
    </w:pPr>
  </w:style>
  <w:style w:type="character" w:customStyle="1" w:styleId="TextoindependienteCar">
    <w:name w:val="Texto independiente Car"/>
    <w:basedOn w:val="Fuentedeprrafopredeter"/>
    <w:link w:val="Textoindependiente"/>
    <w:uiPriority w:val="99"/>
    <w:rsid w:val="0001635E"/>
    <w:rPr>
      <w:rFonts w:ascii="Times New Roman" w:eastAsia="Times New Roman" w:hAnsi="Times New Roman" w:cs="Times New Roman"/>
      <w:sz w:val="24"/>
      <w:szCs w:val="24"/>
      <w:lang w:val="es-CO" w:eastAsia="es-MX"/>
    </w:rPr>
  </w:style>
  <w:style w:type="character" w:customStyle="1" w:styleId="Mencinsinresolver2">
    <w:name w:val="Mención sin resolver2"/>
    <w:basedOn w:val="Fuentedeprrafopredeter"/>
    <w:uiPriority w:val="99"/>
    <w:semiHidden/>
    <w:unhideWhenUsed/>
    <w:rsid w:val="003303AD"/>
    <w:rPr>
      <w:color w:val="605E5C"/>
      <w:shd w:val="clear" w:color="auto" w:fill="E1DFDD"/>
    </w:rPr>
  </w:style>
  <w:style w:type="character" w:customStyle="1" w:styleId="UnresolvedMention2">
    <w:name w:val="Unresolved Mention2"/>
    <w:basedOn w:val="Fuentedeprrafopredeter"/>
    <w:uiPriority w:val="99"/>
    <w:unhideWhenUsed/>
    <w:rsid w:val="008579DB"/>
    <w:rPr>
      <w:color w:val="605E5C"/>
      <w:shd w:val="clear" w:color="auto" w:fill="E1DFDD"/>
    </w:rPr>
  </w:style>
  <w:style w:type="character" w:customStyle="1" w:styleId="Mention2">
    <w:name w:val="Mention2"/>
    <w:basedOn w:val="Fuentedeprrafopredeter"/>
    <w:uiPriority w:val="99"/>
    <w:unhideWhenUsed/>
    <w:rsid w:val="008579DB"/>
    <w:rPr>
      <w:color w:val="2B579A"/>
      <w:shd w:val="clear" w:color="auto" w:fill="E1DFDD"/>
    </w:rPr>
  </w:style>
  <w:style w:type="character" w:customStyle="1" w:styleId="cf01">
    <w:name w:val="cf01"/>
    <w:basedOn w:val="Fuentedeprrafopredeter"/>
    <w:rsid w:val="004D16B5"/>
    <w:rPr>
      <w:rFonts w:ascii="Segoe UI" w:hAnsi="Segoe UI" w:cs="Segoe UI" w:hint="default"/>
      <w:sz w:val="18"/>
      <w:szCs w:val="18"/>
    </w:rPr>
  </w:style>
  <w:style w:type="character" w:customStyle="1" w:styleId="cf11">
    <w:name w:val="cf11"/>
    <w:basedOn w:val="Fuentedeprrafopredeter"/>
    <w:rsid w:val="004D16B5"/>
    <w:rPr>
      <w:rFonts w:ascii="Segoe UI" w:hAnsi="Segoe UI" w:cs="Segoe UI" w:hint="default"/>
      <w:sz w:val="18"/>
      <w:szCs w:val="18"/>
    </w:rPr>
  </w:style>
  <w:style w:type="paragraph" w:customStyle="1" w:styleId="Titulo1">
    <w:name w:val="Titulo 1"/>
    <w:qFormat/>
    <w:rsid w:val="00CA00BF"/>
    <w:rPr>
      <w:rFonts w:ascii="Geomanist Bold" w:hAnsi="Geomanist Bold"/>
      <w:color w:val="002060"/>
      <w:sz w:val="24"/>
      <w:lang w:val="es-ES"/>
    </w:rPr>
  </w:style>
  <w:style w:type="character" w:customStyle="1" w:styleId="Mencinsinresolver3">
    <w:name w:val="Mención sin resolver3"/>
    <w:basedOn w:val="Fuentedeprrafopredeter"/>
    <w:uiPriority w:val="99"/>
    <w:unhideWhenUsed/>
    <w:rsid w:val="00EF7A53"/>
    <w:rPr>
      <w:color w:val="605E5C"/>
      <w:shd w:val="clear" w:color="auto" w:fill="E1DFDD"/>
    </w:rPr>
  </w:style>
  <w:style w:type="character" w:customStyle="1" w:styleId="Mencionar1">
    <w:name w:val="Mencionar1"/>
    <w:basedOn w:val="Fuentedeprrafopredeter"/>
    <w:uiPriority w:val="99"/>
    <w:unhideWhenUsed/>
    <w:rsid w:val="00EF7A53"/>
    <w:rPr>
      <w:color w:val="2B579A"/>
      <w:shd w:val="clear" w:color="auto" w:fill="E1DFDD"/>
    </w:rPr>
  </w:style>
  <w:style w:type="character" w:customStyle="1" w:styleId="SinespaciadoCar">
    <w:name w:val="Sin espaciado Car"/>
    <w:aliases w:val="Encabezado CCE Car"/>
    <w:link w:val="Sinespaciado"/>
    <w:uiPriority w:val="1"/>
    <w:qFormat/>
    <w:rsid w:val="005E2179"/>
    <w:rPr>
      <w:rFonts w:ascii="Times New Roman" w:eastAsia="MS Mincho" w:hAnsi="Times New Roman" w:cs="Times New Roman"/>
      <w:sz w:val="24"/>
      <w:szCs w:val="24"/>
    </w:rPr>
  </w:style>
  <w:style w:type="paragraph" w:customStyle="1" w:styleId="TextodenotaalpieCar">
    <w:name w:val="Texto de nota al pie Car"/>
    <w:aliases w:val="referencia nota al pie Car,BVI fnr Car Char Car Char Car,BVI fnr Car Car Car Char Car Char Car,BVI fnr Car Car Char Car Char Car, BVI fnr Car Char Car Char Car, BVI fnr Car Car Car Char Car Char Car"/>
    <w:basedOn w:val="Normal"/>
    <w:uiPriority w:val="99"/>
    <w:qFormat/>
    <w:rsid w:val="005E2179"/>
    <w:pPr>
      <w:spacing w:after="160" w:line="240" w:lineRule="exact"/>
      <w:jc w:val="both"/>
    </w:pPr>
    <w:rPr>
      <w:rFonts w:asciiTheme="minorHAnsi" w:eastAsiaTheme="minorHAnsi" w:hAnsiTheme="minorHAnsi" w:cstheme="minorBidi"/>
      <w:kern w:val="2"/>
      <w:sz w:val="22"/>
      <w:szCs w:val="22"/>
      <w:vertAlign w:val="superscript"/>
      <w:lang w:eastAsia="en-US"/>
      <w14:ligatures w14:val="standardContextual"/>
    </w:rPr>
  </w:style>
  <w:style w:type="paragraph" w:styleId="Descripcin">
    <w:name w:val="caption"/>
    <w:basedOn w:val="Normal"/>
    <w:next w:val="Normal"/>
    <w:uiPriority w:val="35"/>
    <w:unhideWhenUsed/>
    <w:qFormat/>
    <w:rsid w:val="005E2179"/>
    <w:pPr>
      <w:spacing w:after="200" w:line="276" w:lineRule="auto"/>
    </w:pPr>
    <w:rPr>
      <w:rFonts w:ascii="Calibri" w:eastAsia="Calibri" w:hAnsi="Calibri"/>
      <w:b/>
      <w:bCs/>
      <w:sz w:val="20"/>
      <w:szCs w:val="20"/>
      <w:lang w:val="es-ES" w:eastAsia="en-US"/>
    </w:rPr>
  </w:style>
  <w:style w:type="paragraph" w:customStyle="1" w:styleId="Textoindependiente31">
    <w:name w:val="Texto independiente 31"/>
    <w:basedOn w:val="Normal"/>
    <w:uiPriority w:val="99"/>
    <w:rsid w:val="00B96FB8"/>
    <w:pPr>
      <w:jc w:val="both"/>
    </w:pPr>
    <w:rPr>
      <w:rFonts w:ascii="Arial" w:hAnsi="Arial"/>
      <w:sz w:val="22"/>
      <w:szCs w:val="20"/>
      <w:lang w:val="es-ES" w:eastAsia="es-ES"/>
    </w:rPr>
  </w:style>
  <w:style w:type="character" w:styleId="Mencinsinresolver">
    <w:name w:val="Unresolved Mention"/>
    <w:basedOn w:val="Fuentedeprrafopredeter"/>
    <w:uiPriority w:val="99"/>
    <w:semiHidden/>
    <w:unhideWhenUsed/>
    <w:rsid w:val="0061032C"/>
    <w:rPr>
      <w:color w:val="605E5C"/>
      <w:shd w:val="clear" w:color="auto" w:fill="E1DFDD"/>
    </w:rPr>
  </w:style>
  <w:style w:type="character" w:styleId="Mencionar">
    <w:name w:val="Mention"/>
    <w:basedOn w:val="Fuentedeprrafopredeter"/>
    <w:uiPriority w:val="99"/>
    <w:unhideWhenUsed/>
    <w:rsid w:val="00444827"/>
    <w:rPr>
      <w:color w:val="2B579A"/>
      <w:shd w:val="clear" w:color="auto" w:fill="E1DFDD"/>
    </w:rPr>
  </w:style>
  <w:style w:type="paragraph" w:styleId="TtuloTDC">
    <w:name w:val="TOC Heading"/>
    <w:basedOn w:val="Ttulo1"/>
    <w:next w:val="Normal"/>
    <w:uiPriority w:val="39"/>
    <w:unhideWhenUsed/>
    <w:qFormat/>
    <w:rsid w:val="006558F8"/>
    <w:pPr>
      <w:spacing w:before="240" w:after="0" w:line="259" w:lineRule="auto"/>
      <w:outlineLvl w:val="9"/>
    </w:pPr>
    <w:rPr>
      <w:rFonts w:asciiTheme="majorHAnsi" w:eastAsiaTheme="majorEastAsia" w:hAnsiTheme="majorHAnsi" w:cstheme="majorBidi"/>
      <w:b w:val="0"/>
      <w:color w:val="2F5496" w:themeColor="accent1" w:themeShade="BF"/>
      <w:sz w:val="32"/>
      <w:szCs w:val="32"/>
      <w:lang w:eastAsia="es-CO"/>
    </w:rPr>
  </w:style>
  <w:style w:type="paragraph" w:styleId="TDC1">
    <w:name w:val="toc 1"/>
    <w:basedOn w:val="Normal"/>
    <w:next w:val="Normal"/>
    <w:autoRedefine/>
    <w:uiPriority w:val="39"/>
    <w:unhideWhenUsed/>
    <w:rsid w:val="00094414"/>
    <w:pPr>
      <w:tabs>
        <w:tab w:val="left" w:pos="480"/>
        <w:tab w:val="right" w:leader="dot" w:pos="9629"/>
      </w:tabs>
      <w:spacing w:after="100"/>
    </w:pPr>
  </w:style>
  <w:style w:type="paragraph" w:styleId="TDC2">
    <w:name w:val="toc 2"/>
    <w:basedOn w:val="Normal"/>
    <w:next w:val="Normal"/>
    <w:autoRedefine/>
    <w:uiPriority w:val="39"/>
    <w:unhideWhenUsed/>
    <w:rsid w:val="006558F8"/>
    <w:pPr>
      <w:spacing w:after="100"/>
      <w:ind w:left="240"/>
    </w:pPr>
  </w:style>
  <w:style w:type="paragraph" w:styleId="TDC3">
    <w:name w:val="toc 3"/>
    <w:basedOn w:val="Normal"/>
    <w:next w:val="Normal"/>
    <w:autoRedefine/>
    <w:uiPriority w:val="39"/>
    <w:unhideWhenUsed/>
    <w:rsid w:val="006558F8"/>
    <w:pPr>
      <w:spacing w:after="100"/>
      <w:ind w:left="480"/>
    </w:pPr>
  </w:style>
  <w:style w:type="paragraph" w:customStyle="1" w:styleId="destacado">
    <w:name w:val="destacado"/>
    <w:basedOn w:val="Normal"/>
    <w:rsid w:val="000C6E1B"/>
    <w:pPr>
      <w:keepNext/>
      <w:spacing w:before="120" w:after="120" w:line="360" w:lineRule="auto"/>
    </w:pPr>
    <w:rPr>
      <w:rFonts w:ascii="Arial" w:hAnsi="Arial" w:cs="Arial"/>
      <w:sz w:val="22"/>
      <w:szCs w:val="20"/>
      <w:lang w:val="es-ES" w:eastAsia="en-US"/>
      <w14:ligatures w14:val="standardContextual"/>
    </w:rPr>
  </w:style>
  <w:style w:type="paragraph" w:styleId="Tabladeilustraciones">
    <w:name w:val="table of figures"/>
    <w:aliases w:val="verda"/>
    <w:basedOn w:val="Normal"/>
    <w:next w:val="Normal"/>
    <w:uiPriority w:val="99"/>
    <w:unhideWhenUsed/>
    <w:rsid w:val="00E5326C"/>
    <w:rPr>
      <w:rFonts w:ascii="Verdana" w:hAnsi="Verdana"/>
      <w:sz w:val="22"/>
    </w:rPr>
  </w:style>
  <w:style w:type="table" w:styleId="Tablaconcuadrcula5oscura-nfasis1">
    <w:name w:val="Grid Table 5 Dark Accent 1"/>
    <w:basedOn w:val="Tabla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7873">
      <w:bodyDiv w:val="1"/>
      <w:marLeft w:val="0"/>
      <w:marRight w:val="0"/>
      <w:marTop w:val="0"/>
      <w:marBottom w:val="0"/>
      <w:divBdr>
        <w:top w:val="none" w:sz="0" w:space="0" w:color="auto"/>
        <w:left w:val="none" w:sz="0" w:space="0" w:color="auto"/>
        <w:bottom w:val="none" w:sz="0" w:space="0" w:color="auto"/>
        <w:right w:val="none" w:sz="0" w:space="0" w:color="auto"/>
      </w:divBdr>
    </w:div>
    <w:div w:id="50931024">
      <w:bodyDiv w:val="1"/>
      <w:marLeft w:val="0"/>
      <w:marRight w:val="0"/>
      <w:marTop w:val="0"/>
      <w:marBottom w:val="0"/>
      <w:divBdr>
        <w:top w:val="none" w:sz="0" w:space="0" w:color="auto"/>
        <w:left w:val="none" w:sz="0" w:space="0" w:color="auto"/>
        <w:bottom w:val="none" w:sz="0" w:space="0" w:color="auto"/>
        <w:right w:val="none" w:sz="0" w:space="0" w:color="auto"/>
      </w:divBdr>
      <w:divsChild>
        <w:div w:id="475087">
          <w:marLeft w:val="0"/>
          <w:marRight w:val="0"/>
          <w:marTop w:val="0"/>
          <w:marBottom w:val="0"/>
          <w:divBdr>
            <w:top w:val="none" w:sz="0" w:space="0" w:color="auto"/>
            <w:left w:val="none" w:sz="0" w:space="0" w:color="auto"/>
            <w:bottom w:val="none" w:sz="0" w:space="0" w:color="auto"/>
            <w:right w:val="none" w:sz="0" w:space="0" w:color="auto"/>
          </w:divBdr>
        </w:div>
      </w:divsChild>
    </w:div>
    <w:div w:id="55056334">
      <w:bodyDiv w:val="1"/>
      <w:marLeft w:val="0"/>
      <w:marRight w:val="0"/>
      <w:marTop w:val="0"/>
      <w:marBottom w:val="0"/>
      <w:divBdr>
        <w:top w:val="none" w:sz="0" w:space="0" w:color="auto"/>
        <w:left w:val="none" w:sz="0" w:space="0" w:color="auto"/>
        <w:bottom w:val="none" w:sz="0" w:space="0" w:color="auto"/>
        <w:right w:val="none" w:sz="0" w:space="0" w:color="auto"/>
      </w:divBdr>
    </w:div>
    <w:div w:id="57479256">
      <w:bodyDiv w:val="1"/>
      <w:marLeft w:val="0"/>
      <w:marRight w:val="0"/>
      <w:marTop w:val="0"/>
      <w:marBottom w:val="0"/>
      <w:divBdr>
        <w:top w:val="none" w:sz="0" w:space="0" w:color="auto"/>
        <w:left w:val="none" w:sz="0" w:space="0" w:color="auto"/>
        <w:bottom w:val="none" w:sz="0" w:space="0" w:color="auto"/>
        <w:right w:val="none" w:sz="0" w:space="0" w:color="auto"/>
      </w:divBdr>
      <w:divsChild>
        <w:div w:id="657071813">
          <w:marLeft w:val="0"/>
          <w:marRight w:val="0"/>
          <w:marTop w:val="0"/>
          <w:marBottom w:val="0"/>
          <w:divBdr>
            <w:top w:val="none" w:sz="0" w:space="0" w:color="auto"/>
            <w:left w:val="none" w:sz="0" w:space="0" w:color="auto"/>
            <w:bottom w:val="none" w:sz="0" w:space="0" w:color="auto"/>
            <w:right w:val="none" w:sz="0" w:space="0" w:color="auto"/>
          </w:divBdr>
        </w:div>
      </w:divsChild>
    </w:div>
    <w:div w:id="85729264">
      <w:bodyDiv w:val="1"/>
      <w:marLeft w:val="0"/>
      <w:marRight w:val="0"/>
      <w:marTop w:val="0"/>
      <w:marBottom w:val="0"/>
      <w:divBdr>
        <w:top w:val="none" w:sz="0" w:space="0" w:color="auto"/>
        <w:left w:val="none" w:sz="0" w:space="0" w:color="auto"/>
        <w:bottom w:val="none" w:sz="0" w:space="0" w:color="auto"/>
        <w:right w:val="none" w:sz="0" w:space="0" w:color="auto"/>
      </w:divBdr>
    </w:div>
    <w:div w:id="110436845">
      <w:bodyDiv w:val="1"/>
      <w:marLeft w:val="0"/>
      <w:marRight w:val="0"/>
      <w:marTop w:val="0"/>
      <w:marBottom w:val="0"/>
      <w:divBdr>
        <w:top w:val="none" w:sz="0" w:space="0" w:color="auto"/>
        <w:left w:val="none" w:sz="0" w:space="0" w:color="auto"/>
        <w:bottom w:val="none" w:sz="0" w:space="0" w:color="auto"/>
        <w:right w:val="none" w:sz="0" w:space="0" w:color="auto"/>
      </w:divBdr>
    </w:div>
    <w:div w:id="127094171">
      <w:bodyDiv w:val="1"/>
      <w:marLeft w:val="0"/>
      <w:marRight w:val="0"/>
      <w:marTop w:val="0"/>
      <w:marBottom w:val="0"/>
      <w:divBdr>
        <w:top w:val="none" w:sz="0" w:space="0" w:color="auto"/>
        <w:left w:val="none" w:sz="0" w:space="0" w:color="auto"/>
        <w:bottom w:val="none" w:sz="0" w:space="0" w:color="auto"/>
        <w:right w:val="none" w:sz="0" w:space="0" w:color="auto"/>
      </w:divBdr>
    </w:div>
    <w:div w:id="129322874">
      <w:bodyDiv w:val="1"/>
      <w:marLeft w:val="0"/>
      <w:marRight w:val="0"/>
      <w:marTop w:val="0"/>
      <w:marBottom w:val="0"/>
      <w:divBdr>
        <w:top w:val="none" w:sz="0" w:space="0" w:color="auto"/>
        <w:left w:val="none" w:sz="0" w:space="0" w:color="auto"/>
        <w:bottom w:val="none" w:sz="0" w:space="0" w:color="auto"/>
        <w:right w:val="none" w:sz="0" w:space="0" w:color="auto"/>
      </w:divBdr>
    </w:div>
    <w:div w:id="135025213">
      <w:bodyDiv w:val="1"/>
      <w:marLeft w:val="0"/>
      <w:marRight w:val="0"/>
      <w:marTop w:val="0"/>
      <w:marBottom w:val="0"/>
      <w:divBdr>
        <w:top w:val="none" w:sz="0" w:space="0" w:color="auto"/>
        <w:left w:val="none" w:sz="0" w:space="0" w:color="auto"/>
        <w:bottom w:val="none" w:sz="0" w:space="0" w:color="auto"/>
        <w:right w:val="none" w:sz="0" w:space="0" w:color="auto"/>
      </w:divBdr>
    </w:div>
    <w:div w:id="143209333">
      <w:bodyDiv w:val="1"/>
      <w:marLeft w:val="0"/>
      <w:marRight w:val="0"/>
      <w:marTop w:val="0"/>
      <w:marBottom w:val="0"/>
      <w:divBdr>
        <w:top w:val="none" w:sz="0" w:space="0" w:color="auto"/>
        <w:left w:val="none" w:sz="0" w:space="0" w:color="auto"/>
        <w:bottom w:val="none" w:sz="0" w:space="0" w:color="auto"/>
        <w:right w:val="none" w:sz="0" w:space="0" w:color="auto"/>
      </w:divBdr>
    </w:div>
    <w:div w:id="170530619">
      <w:bodyDiv w:val="1"/>
      <w:marLeft w:val="0"/>
      <w:marRight w:val="0"/>
      <w:marTop w:val="0"/>
      <w:marBottom w:val="0"/>
      <w:divBdr>
        <w:top w:val="none" w:sz="0" w:space="0" w:color="auto"/>
        <w:left w:val="none" w:sz="0" w:space="0" w:color="auto"/>
        <w:bottom w:val="none" w:sz="0" w:space="0" w:color="auto"/>
        <w:right w:val="none" w:sz="0" w:space="0" w:color="auto"/>
      </w:divBdr>
    </w:div>
    <w:div w:id="171114537">
      <w:bodyDiv w:val="1"/>
      <w:marLeft w:val="0"/>
      <w:marRight w:val="0"/>
      <w:marTop w:val="0"/>
      <w:marBottom w:val="0"/>
      <w:divBdr>
        <w:top w:val="none" w:sz="0" w:space="0" w:color="auto"/>
        <w:left w:val="none" w:sz="0" w:space="0" w:color="auto"/>
        <w:bottom w:val="none" w:sz="0" w:space="0" w:color="auto"/>
        <w:right w:val="none" w:sz="0" w:space="0" w:color="auto"/>
      </w:divBdr>
    </w:div>
    <w:div w:id="178475639">
      <w:bodyDiv w:val="1"/>
      <w:marLeft w:val="0"/>
      <w:marRight w:val="0"/>
      <w:marTop w:val="0"/>
      <w:marBottom w:val="0"/>
      <w:divBdr>
        <w:top w:val="none" w:sz="0" w:space="0" w:color="auto"/>
        <w:left w:val="none" w:sz="0" w:space="0" w:color="auto"/>
        <w:bottom w:val="none" w:sz="0" w:space="0" w:color="auto"/>
        <w:right w:val="none" w:sz="0" w:space="0" w:color="auto"/>
      </w:divBdr>
    </w:div>
    <w:div w:id="194461348">
      <w:bodyDiv w:val="1"/>
      <w:marLeft w:val="0"/>
      <w:marRight w:val="0"/>
      <w:marTop w:val="0"/>
      <w:marBottom w:val="0"/>
      <w:divBdr>
        <w:top w:val="none" w:sz="0" w:space="0" w:color="auto"/>
        <w:left w:val="none" w:sz="0" w:space="0" w:color="auto"/>
        <w:bottom w:val="none" w:sz="0" w:space="0" w:color="auto"/>
        <w:right w:val="none" w:sz="0" w:space="0" w:color="auto"/>
      </w:divBdr>
      <w:divsChild>
        <w:div w:id="440151610">
          <w:marLeft w:val="0"/>
          <w:marRight w:val="0"/>
          <w:marTop w:val="0"/>
          <w:marBottom w:val="0"/>
          <w:divBdr>
            <w:top w:val="none" w:sz="0" w:space="0" w:color="auto"/>
            <w:left w:val="none" w:sz="0" w:space="0" w:color="auto"/>
            <w:bottom w:val="none" w:sz="0" w:space="0" w:color="auto"/>
            <w:right w:val="none" w:sz="0" w:space="0" w:color="auto"/>
          </w:divBdr>
        </w:div>
      </w:divsChild>
    </w:div>
    <w:div w:id="205878600">
      <w:bodyDiv w:val="1"/>
      <w:marLeft w:val="0"/>
      <w:marRight w:val="0"/>
      <w:marTop w:val="0"/>
      <w:marBottom w:val="0"/>
      <w:divBdr>
        <w:top w:val="none" w:sz="0" w:space="0" w:color="auto"/>
        <w:left w:val="none" w:sz="0" w:space="0" w:color="auto"/>
        <w:bottom w:val="none" w:sz="0" w:space="0" w:color="auto"/>
        <w:right w:val="none" w:sz="0" w:space="0" w:color="auto"/>
      </w:divBdr>
      <w:divsChild>
        <w:div w:id="501550738">
          <w:marLeft w:val="0"/>
          <w:marRight w:val="0"/>
          <w:marTop w:val="0"/>
          <w:marBottom w:val="0"/>
          <w:divBdr>
            <w:top w:val="none" w:sz="0" w:space="0" w:color="auto"/>
            <w:left w:val="none" w:sz="0" w:space="0" w:color="auto"/>
            <w:bottom w:val="none" w:sz="0" w:space="0" w:color="auto"/>
            <w:right w:val="none" w:sz="0" w:space="0" w:color="auto"/>
          </w:divBdr>
        </w:div>
      </w:divsChild>
    </w:div>
    <w:div w:id="230772941">
      <w:bodyDiv w:val="1"/>
      <w:marLeft w:val="0"/>
      <w:marRight w:val="0"/>
      <w:marTop w:val="0"/>
      <w:marBottom w:val="0"/>
      <w:divBdr>
        <w:top w:val="none" w:sz="0" w:space="0" w:color="auto"/>
        <w:left w:val="none" w:sz="0" w:space="0" w:color="auto"/>
        <w:bottom w:val="none" w:sz="0" w:space="0" w:color="auto"/>
        <w:right w:val="none" w:sz="0" w:space="0" w:color="auto"/>
      </w:divBdr>
      <w:divsChild>
        <w:div w:id="725881558">
          <w:marLeft w:val="0"/>
          <w:marRight w:val="0"/>
          <w:marTop w:val="0"/>
          <w:marBottom w:val="0"/>
          <w:divBdr>
            <w:top w:val="none" w:sz="0" w:space="0" w:color="auto"/>
            <w:left w:val="none" w:sz="0" w:space="0" w:color="auto"/>
            <w:bottom w:val="none" w:sz="0" w:space="0" w:color="auto"/>
            <w:right w:val="none" w:sz="0" w:space="0" w:color="auto"/>
          </w:divBdr>
        </w:div>
        <w:div w:id="963197322">
          <w:marLeft w:val="0"/>
          <w:marRight w:val="0"/>
          <w:marTop w:val="0"/>
          <w:marBottom w:val="0"/>
          <w:divBdr>
            <w:top w:val="none" w:sz="0" w:space="0" w:color="auto"/>
            <w:left w:val="none" w:sz="0" w:space="0" w:color="auto"/>
            <w:bottom w:val="none" w:sz="0" w:space="0" w:color="auto"/>
            <w:right w:val="none" w:sz="0" w:space="0" w:color="auto"/>
          </w:divBdr>
        </w:div>
      </w:divsChild>
    </w:div>
    <w:div w:id="244655567">
      <w:bodyDiv w:val="1"/>
      <w:marLeft w:val="0"/>
      <w:marRight w:val="0"/>
      <w:marTop w:val="0"/>
      <w:marBottom w:val="0"/>
      <w:divBdr>
        <w:top w:val="none" w:sz="0" w:space="0" w:color="auto"/>
        <w:left w:val="none" w:sz="0" w:space="0" w:color="auto"/>
        <w:bottom w:val="none" w:sz="0" w:space="0" w:color="auto"/>
        <w:right w:val="none" w:sz="0" w:space="0" w:color="auto"/>
      </w:divBdr>
      <w:divsChild>
        <w:div w:id="111287845">
          <w:marLeft w:val="0"/>
          <w:marRight w:val="0"/>
          <w:marTop w:val="0"/>
          <w:marBottom w:val="0"/>
          <w:divBdr>
            <w:top w:val="none" w:sz="0" w:space="0" w:color="auto"/>
            <w:left w:val="none" w:sz="0" w:space="0" w:color="auto"/>
            <w:bottom w:val="none" w:sz="0" w:space="0" w:color="auto"/>
            <w:right w:val="none" w:sz="0" w:space="0" w:color="auto"/>
          </w:divBdr>
        </w:div>
        <w:div w:id="246619490">
          <w:marLeft w:val="0"/>
          <w:marRight w:val="0"/>
          <w:marTop w:val="0"/>
          <w:marBottom w:val="0"/>
          <w:divBdr>
            <w:top w:val="none" w:sz="0" w:space="0" w:color="auto"/>
            <w:left w:val="none" w:sz="0" w:space="0" w:color="auto"/>
            <w:bottom w:val="none" w:sz="0" w:space="0" w:color="auto"/>
            <w:right w:val="none" w:sz="0" w:space="0" w:color="auto"/>
          </w:divBdr>
        </w:div>
        <w:div w:id="782967504">
          <w:marLeft w:val="0"/>
          <w:marRight w:val="0"/>
          <w:marTop w:val="0"/>
          <w:marBottom w:val="0"/>
          <w:divBdr>
            <w:top w:val="none" w:sz="0" w:space="0" w:color="auto"/>
            <w:left w:val="none" w:sz="0" w:space="0" w:color="auto"/>
            <w:bottom w:val="none" w:sz="0" w:space="0" w:color="auto"/>
            <w:right w:val="none" w:sz="0" w:space="0" w:color="auto"/>
          </w:divBdr>
        </w:div>
        <w:div w:id="1105466454">
          <w:marLeft w:val="0"/>
          <w:marRight w:val="0"/>
          <w:marTop w:val="0"/>
          <w:marBottom w:val="0"/>
          <w:divBdr>
            <w:top w:val="none" w:sz="0" w:space="0" w:color="auto"/>
            <w:left w:val="none" w:sz="0" w:space="0" w:color="auto"/>
            <w:bottom w:val="none" w:sz="0" w:space="0" w:color="auto"/>
            <w:right w:val="none" w:sz="0" w:space="0" w:color="auto"/>
          </w:divBdr>
        </w:div>
      </w:divsChild>
    </w:div>
    <w:div w:id="255133621">
      <w:bodyDiv w:val="1"/>
      <w:marLeft w:val="0"/>
      <w:marRight w:val="0"/>
      <w:marTop w:val="0"/>
      <w:marBottom w:val="0"/>
      <w:divBdr>
        <w:top w:val="none" w:sz="0" w:space="0" w:color="auto"/>
        <w:left w:val="none" w:sz="0" w:space="0" w:color="auto"/>
        <w:bottom w:val="none" w:sz="0" w:space="0" w:color="auto"/>
        <w:right w:val="none" w:sz="0" w:space="0" w:color="auto"/>
      </w:divBdr>
    </w:div>
    <w:div w:id="262882328">
      <w:bodyDiv w:val="1"/>
      <w:marLeft w:val="0"/>
      <w:marRight w:val="0"/>
      <w:marTop w:val="0"/>
      <w:marBottom w:val="0"/>
      <w:divBdr>
        <w:top w:val="none" w:sz="0" w:space="0" w:color="auto"/>
        <w:left w:val="none" w:sz="0" w:space="0" w:color="auto"/>
        <w:bottom w:val="none" w:sz="0" w:space="0" w:color="auto"/>
        <w:right w:val="none" w:sz="0" w:space="0" w:color="auto"/>
      </w:divBdr>
    </w:div>
    <w:div w:id="273680088">
      <w:bodyDiv w:val="1"/>
      <w:marLeft w:val="0"/>
      <w:marRight w:val="0"/>
      <w:marTop w:val="0"/>
      <w:marBottom w:val="0"/>
      <w:divBdr>
        <w:top w:val="none" w:sz="0" w:space="0" w:color="auto"/>
        <w:left w:val="none" w:sz="0" w:space="0" w:color="auto"/>
        <w:bottom w:val="none" w:sz="0" w:space="0" w:color="auto"/>
        <w:right w:val="none" w:sz="0" w:space="0" w:color="auto"/>
      </w:divBdr>
    </w:div>
    <w:div w:id="282926712">
      <w:bodyDiv w:val="1"/>
      <w:marLeft w:val="0"/>
      <w:marRight w:val="0"/>
      <w:marTop w:val="0"/>
      <w:marBottom w:val="0"/>
      <w:divBdr>
        <w:top w:val="none" w:sz="0" w:space="0" w:color="auto"/>
        <w:left w:val="none" w:sz="0" w:space="0" w:color="auto"/>
        <w:bottom w:val="none" w:sz="0" w:space="0" w:color="auto"/>
        <w:right w:val="none" w:sz="0" w:space="0" w:color="auto"/>
      </w:divBdr>
    </w:div>
    <w:div w:id="287324427">
      <w:bodyDiv w:val="1"/>
      <w:marLeft w:val="0"/>
      <w:marRight w:val="0"/>
      <w:marTop w:val="0"/>
      <w:marBottom w:val="0"/>
      <w:divBdr>
        <w:top w:val="none" w:sz="0" w:space="0" w:color="auto"/>
        <w:left w:val="none" w:sz="0" w:space="0" w:color="auto"/>
        <w:bottom w:val="none" w:sz="0" w:space="0" w:color="auto"/>
        <w:right w:val="none" w:sz="0" w:space="0" w:color="auto"/>
      </w:divBdr>
    </w:div>
    <w:div w:id="300112409">
      <w:bodyDiv w:val="1"/>
      <w:marLeft w:val="0"/>
      <w:marRight w:val="0"/>
      <w:marTop w:val="0"/>
      <w:marBottom w:val="0"/>
      <w:divBdr>
        <w:top w:val="none" w:sz="0" w:space="0" w:color="auto"/>
        <w:left w:val="none" w:sz="0" w:space="0" w:color="auto"/>
        <w:bottom w:val="none" w:sz="0" w:space="0" w:color="auto"/>
        <w:right w:val="none" w:sz="0" w:space="0" w:color="auto"/>
      </w:divBdr>
    </w:div>
    <w:div w:id="323313913">
      <w:bodyDiv w:val="1"/>
      <w:marLeft w:val="0"/>
      <w:marRight w:val="0"/>
      <w:marTop w:val="0"/>
      <w:marBottom w:val="0"/>
      <w:divBdr>
        <w:top w:val="none" w:sz="0" w:space="0" w:color="auto"/>
        <w:left w:val="none" w:sz="0" w:space="0" w:color="auto"/>
        <w:bottom w:val="none" w:sz="0" w:space="0" w:color="auto"/>
        <w:right w:val="none" w:sz="0" w:space="0" w:color="auto"/>
      </w:divBdr>
    </w:div>
    <w:div w:id="327639432">
      <w:bodyDiv w:val="1"/>
      <w:marLeft w:val="0"/>
      <w:marRight w:val="0"/>
      <w:marTop w:val="0"/>
      <w:marBottom w:val="0"/>
      <w:divBdr>
        <w:top w:val="none" w:sz="0" w:space="0" w:color="auto"/>
        <w:left w:val="none" w:sz="0" w:space="0" w:color="auto"/>
        <w:bottom w:val="none" w:sz="0" w:space="0" w:color="auto"/>
        <w:right w:val="none" w:sz="0" w:space="0" w:color="auto"/>
      </w:divBdr>
      <w:divsChild>
        <w:div w:id="2121410419">
          <w:marLeft w:val="0"/>
          <w:marRight w:val="0"/>
          <w:marTop w:val="0"/>
          <w:marBottom w:val="0"/>
          <w:divBdr>
            <w:top w:val="none" w:sz="0" w:space="0" w:color="auto"/>
            <w:left w:val="none" w:sz="0" w:space="0" w:color="auto"/>
            <w:bottom w:val="none" w:sz="0" w:space="0" w:color="auto"/>
            <w:right w:val="none" w:sz="0" w:space="0" w:color="auto"/>
          </w:divBdr>
          <w:divsChild>
            <w:div w:id="83847389">
              <w:marLeft w:val="0"/>
              <w:marRight w:val="0"/>
              <w:marTop w:val="0"/>
              <w:marBottom w:val="0"/>
              <w:divBdr>
                <w:top w:val="none" w:sz="0" w:space="0" w:color="auto"/>
                <w:left w:val="none" w:sz="0" w:space="0" w:color="auto"/>
                <w:bottom w:val="none" w:sz="0" w:space="0" w:color="auto"/>
                <w:right w:val="none" w:sz="0" w:space="0" w:color="auto"/>
              </w:divBdr>
            </w:div>
            <w:div w:id="1765879588">
              <w:marLeft w:val="0"/>
              <w:marRight w:val="0"/>
              <w:marTop w:val="0"/>
              <w:marBottom w:val="0"/>
              <w:divBdr>
                <w:top w:val="none" w:sz="0" w:space="0" w:color="auto"/>
                <w:left w:val="none" w:sz="0" w:space="0" w:color="auto"/>
                <w:bottom w:val="none" w:sz="0" w:space="0" w:color="auto"/>
                <w:right w:val="none" w:sz="0" w:space="0" w:color="auto"/>
              </w:divBdr>
            </w:div>
            <w:div w:id="2125683495">
              <w:marLeft w:val="0"/>
              <w:marRight w:val="0"/>
              <w:marTop w:val="0"/>
              <w:marBottom w:val="0"/>
              <w:divBdr>
                <w:top w:val="none" w:sz="0" w:space="0" w:color="auto"/>
                <w:left w:val="none" w:sz="0" w:space="0" w:color="auto"/>
                <w:bottom w:val="none" w:sz="0" w:space="0" w:color="auto"/>
                <w:right w:val="none" w:sz="0" w:space="0" w:color="auto"/>
              </w:divBdr>
            </w:div>
          </w:divsChild>
        </w:div>
        <w:div w:id="769811458">
          <w:marLeft w:val="0"/>
          <w:marRight w:val="0"/>
          <w:marTop w:val="0"/>
          <w:marBottom w:val="0"/>
          <w:divBdr>
            <w:top w:val="none" w:sz="0" w:space="0" w:color="auto"/>
            <w:left w:val="none" w:sz="0" w:space="0" w:color="auto"/>
            <w:bottom w:val="none" w:sz="0" w:space="0" w:color="auto"/>
            <w:right w:val="none" w:sz="0" w:space="0" w:color="auto"/>
          </w:divBdr>
          <w:divsChild>
            <w:div w:id="172571653">
              <w:marLeft w:val="0"/>
              <w:marRight w:val="0"/>
              <w:marTop w:val="0"/>
              <w:marBottom w:val="0"/>
              <w:divBdr>
                <w:top w:val="none" w:sz="0" w:space="0" w:color="auto"/>
                <w:left w:val="none" w:sz="0" w:space="0" w:color="auto"/>
                <w:bottom w:val="none" w:sz="0" w:space="0" w:color="auto"/>
                <w:right w:val="none" w:sz="0" w:space="0" w:color="auto"/>
              </w:divBdr>
            </w:div>
          </w:divsChild>
        </w:div>
        <w:div w:id="1699311326">
          <w:marLeft w:val="0"/>
          <w:marRight w:val="0"/>
          <w:marTop w:val="0"/>
          <w:marBottom w:val="0"/>
          <w:divBdr>
            <w:top w:val="none" w:sz="0" w:space="0" w:color="auto"/>
            <w:left w:val="none" w:sz="0" w:space="0" w:color="auto"/>
            <w:bottom w:val="none" w:sz="0" w:space="0" w:color="auto"/>
            <w:right w:val="none" w:sz="0" w:space="0" w:color="auto"/>
          </w:divBdr>
          <w:divsChild>
            <w:div w:id="235866132">
              <w:marLeft w:val="0"/>
              <w:marRight w:val="0"/>
              <w:marTop w:val="0"/>
              <w:marBottom w:val="0"/>
              <w:divBdr>
                <w:top w:val="none" w:sz="0" w:space="0" w:color="auto"/>
                <w:left w:val="none" w:sz="0" w:space="0" w:color="auto"/>
                <w:bottom w:val="none" w:sz="0" w:space="0" w:color="auto"/>
                <w:right w:val="none" w:sz="0" w:space="0" w:color="auto"/>
              </w:divBdr>
            </w:div>
          </w:divsChild>
        </w:div>
        <w:div w:id="280233991">
          <w:marLeft w:val="0"/>
          <w:marRight w:val="0"/>
          <w:marTop w:val="0"/>
          <w:marBottom w:val="0"/>
          <w:divBdr>
            <w:top w:val="none" w:sz="0" w:space="0" w:color="auto"/>
            <w:left w:val="none" w:sz="0" w:space="0" w:color="auto"/>
            <w:bottom w:val="none" w:sz="0" w:space="0" w:color="auto"/>
            <w:right w:val="none" w:sz="0" w:space="0" w:color="auto"/>
          </w:divBdr>
          <w:divsChild>
            <w:div w:id="1055659320">
              <w:marLeft w:val="0"/>
              <w:marRight w:val="0"/>
              <w:marTop w:val="0"/>
              <w:marBottom w:val="0"/>
              <w:divBdr>
                <w:top w:val="none" w:sz="0" w:space="0" w:color="auto"/>
                <w:left w:val="none" w:sz="0" w:space="0" w:color="auto"/>
                <w:bottom w:val="none" w:sz="0" w:space="0" w:color="auto"/>
                <w:right w:val="none" w:sz="0" w:space="0" w:color="auto"/>
              </w:divBdr>
            </w:div>
          </w:divsChild>
        </w:div>
        <w:div w:id="316693763">
          <w:marLeft w:val="0"/>
          <w:marRight w:val="0"/>
          <w:marTop w:val="0"/>
          <w:marBottom w:val="0"/>
          <w:divBdr>
            <w:top w:val="none" w:sz="0" w:space="0" w:color="auto"/>
            <w:left w:val="none" w:sz="0" w:space="0" w:color="auto"/>
            <w:bottom w:val="none" w:sz="0" w:space="0" w:color="auto"/>
            <w:right w:val="none" w:sz="0" w:space="0" w:color="auto"/>
          </w:divBdr>
          <w:divsChild>
            <w:div w:id="1435248877">
              <w:marLeft w:val="0"/>
              <w:marRight w:val="0"/>
              <w:marTop w:val="0"/>
              <w:marBottom w:val="0"/>
              <w:divBdr>
                <w:top w:val="none" w:sz="0" w:space="0" w:color="auto"/>
                <w:left w:val="none" w:sz="0" w:space="0" w:color="auto"/>
                <w:bottom w:val="none" w:sz="0" w:space="0" w:color="auto"/>
                <w:right w:val="none" w:sz="0" w:space="0" w:color="auto"/>
              </w:divBdr>
            </w:div>
          </w:divsChild>
        </w:div>
        <w:div w:id="991178991">
          <w:marLeft w:val="0"/>
          <w:marRight w:val="0"/>
          <w:marTop w:val="0"/>
          <w:marBottom w:val="0"/>
          <w:divBdr>
            <w:top w:val="none" w:sz="0" w:space="0" w:color="auto"/>
            <w:left w:val="none" w:sz="0" w:space="0" w:color="auto"/>
            <w:bottom w:val="none" w:sz="0" w:space="0" w:color="auto"/>
            <w:right w:val="none" w:sz="0" w:space="0" w:color="auto"/>
          </w:divBdr>
          <w:divsChild>
            <w:div w:id="367603420">
              <w:marLeft w:val="0"/>
              <w:marRight w:val="0"/>
              <w:marTop w:val="0"/>
              <w:marBottom w:val="0"/>
              <w:divBdr>
                <w:top w:val="none" w:sz="0" w:space="0" w:color="auto"/>
                <w:left w:val="none" w:sz="0" w:space="0" w:color="auto"/>
                <w:bottom w:val="none" w:sz="0" w:space="0" w:color="auto"/>
                <w:right w:val="none" w:sz="0" w:space="0" w:color="auto"/>
              </w:divBdr>
            </w:div>
          </w:divsChild>
        </w:div>
        <w:div w:id="1398821453">
          <w:marLeft w:val="0"/>
          <w:marRight w:val="0"/>
          <w:marTop w:val="0"/>
          <w:marBottom w:val="0"/>
          <w:divBdr>
            <w:top w:val="none" w:sz="0" w:space="0" w:color="auto"/>
            <w:left w:val="none" w:sz="0" w:space="0" w:color="auto"/>
            <w:bottom w:val="none" w:sz="0" w:space="0" w:color="auto"/>
            <w:right w:val="none" w:sz="0" w:space="0" w:color="auto"/>
          </w:divBdr>
          <w:divsChild>
            <w:div w:id="771321789">
              <w:marLeft w:val="0"/>
              <w:marRight w:val="0"/>
              <w:marTop w:val="0"/>
              <w:marBottom w:val="0"/>
              <w:divBdr>
                <w:top w:val="none" w:sz="0" w:space="0" w:color="auto"/>
                <w:left w:val="none" w:sz="0" w:space="0" w:color="auto"/>
                <w:bottom w:val="none" w:sz="0" w:space="0" w:color="auto"/>
                <w:right w:val="none" w:sz="0" w:space="0" w:color="auto"/>
              </w:divBdr>
            </w:div>
            <w:div w:id="976955487">
              <w:marLeft w:val="0"/>
              <w:marRight w:val="0"/>
              <w:marTop w:val="0"/>
              <w:marBottom w:val="0"/>
              <w:divBdr>
                <w:top w:val="none" w:sz="0" w:space="0" w:color="auto"/>
                <w:left w:val="none" w:sz="0" w:space="0" w:color="auto"/>
                <w:bottom w:val="none" w:sz="0" w:space="0" w:color="auto"/>
                <w:right w:val="none" w:sz="0" w:space="0" w:color="auto"/>
              </w:divBdr>
            </w:div>
            <w:div w:id="1296374220">
              <w:marLeft w:val="0"/>
              <w:marRight w:val="0"/>
              <w:marTop w:val="0"/>
              <w:marBottom w:val="0"/>
              <w:divBdr>
                <w:top w:val="none" w:sz="0" w:space="0" w:color="auto"/>
                <w:left w:val="none" w:sz="0" w:space="0" w:color="auto"/>
                <w:bottom w:val="none" w:sz="0" w:space="0" w:color="auto"/>
                <w:right w:val="none" w:sz="0" w:space="0" w:color="auto"/>
              </w:divBdr>
            </w:div>
            <w:div w:id="1484195800">
              <w:marLeft w:val="0"/>
              <w:marRight w:val="0"/>
              <w:marTop w:val="0"/>
              <w:marBottom w:val="0"/>
              <w:divBdr>
                <w:top w:val="none" w:sz="0" w:space="0" w:color="auto"/>
                <w:left w:val="none" w:sz="0" w:space="0" w:color="auto"/>
                <w:bottom w:val="none" w:sz="0" w:space="0" w:color="auto"/>
                <w:right w:val="none" w:sz="0" w:space="0" w:color="auto"/>
              </w:divBdr>
            </w:div>
            <w:div w:id="1620409531">
              <w:marLeft w:val="0"/>
              <w:marRight w:val="0"/>
              <w:marTop w:val="0"/>
              <w:marBottom w:val="0"/>
              <w:divBdr>
                <w:top w:val="none" w:sz="0" w:space="0" w:color="auto"/>
                <w:left w:val="none" w:sz="0" w:space="0" w:color="auto"/>
                <w:bottom w:val="none" w:sz="0" w:space="0" w:color="auto"/>
                <w:right w:val="none" w:sz="0" w:space="0" w:color="auto"/>
              </w:divBdr>
            </w:div>
          </w:divsChild>
        </w:div>
        <w:div w:id="1123889794">
          <w:marLeft w:val="0"/>
          <w:marRight w:val="0"/>
          <w:marTop w:val="0"/>
          <w:marBottom w:val="0"/>
          <w:divBdr>
            <w:top w:val="none" w:sz="0" w:space="0" w:color="auto"/>
            <w:left w:val="none" w:sz="0" w:space="0" w:color="auto"/>
            <w:bottom w:val="none" w:sz="0" w:space="0" w:color="auto"/>
            <w:right w:val="none" w:sz="0" w:space="0" w:color="auto"/>
          </w:divBdr>
          <w:divsChild>
            <w:div w:id="1184712137">
              <w:marLeft w:val="0"/>
              <w:marRight w:val="0"/>
              <w:marTop w:val="0"/>
              <w:marBottom w:val="0"/>
              <w:divBdr>
                <w:top w:val="none" w:sz="0" w:space="0" w:color="auto"/>
                <w:left w:val="none" w:sz="0" w:space="0" w:color="auto"/>
                <w:bottom w:val="none" w:sz="0" w:space="0" w:color="auto"/>
                <w:right w:val="none" w:sz="0" w:space="0" w:color="auto"/>
              </w:divBdr>
            </w:div>
          </w:divsChild>
        </w:div>
        <w:div w:id="1548757993">
          <w:marLeft w:val="0"/>
          <w:marRight w:val="0"/>
          <w:marTop w:val="0"/>
          <w:marBottom w:val="0"/>
          <w:divBdr>
            <w:top w:val="none" w:sz="0" w:space="0" w:color="auto"/>
            <w:left w:val="none" w:sz="0" w:space="0" w:color="auto"/>
            <w:bottom w:val="none" w:sz="0" w:space="0" w:color="auto"/>
            <w:right w:val="none" w:sz="0" w:space="0" w:color="auto"/>
          </w:divBdr>
          <w:divsChild>
            <w:div w:id="1489322044">
              <w:marLeft w:val="0"/>
              <w:marRight w:val="0"/>
              <w:marTop w:val="0"/>
              <w:marBottom w:val="0"/>
              <w:divBdr>
                <w:top w:val="none" w:sz="0" w:space="0" w:color="auto"/>
                <w:left w:val="none" w:sz="0" w:space="0" w:color="auto"/>
                <w:bottom w:val="none" w:sz="0" w:space="0" w:color="auto"/>
                <w:right w:val="none" w:sz="0" w:space="0" w:color="auto"/>
              </w:divBdr>
            </w:div>
          </w:divsChild>
        </w:div>
        <w:div w:id="1996569920">
          <w:marLeft w:val="0"/>
          <w:marRight w:val="0"/>
          <w:marTop w:val="0"/>
          <w:marBottom w:val="0"/>
          <w:divBdr>
            <w:top w:val="none" w:sz="0" w:space="0" w:color="auto"/>
            <w:left w:val="none" w:sz="0" w:space="0" w:color="auto"/>
            <w:bottom w:val="none" w:sz="0" w:space="0" w:color="auto"/>
            <w:right w:val="none" w:sz="0" w:space="0" w:color="auto"/>
          </w:divBdr>
          <w:divsChild>
            <w:div w:id="211447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353274">
      <w:bodyDiv w:val="1"/>
      <w:marLeft w:val="0"/>
      <w:marRight w:val="0"/>
      <w:marTop w:val="0"/>
      <w:marBottom w:val="0"/>
      <w:divBdr>
        <w:top w:val="none" w:sz="0" w:space="0" w:color="auto"/>
        <w:left w:val="none" w:sz="0" w:space="0" w:color="auto"/>
        <w:bottom w:val="none" w:sz="0" w:space="0" w:color="auto"/>
        <w:right w:val="none" w:sz="0" w:space="0" w:color="auto"/>
      </w:divBdr>
    </w:div>
    <w:div w:id="365644457">
      <w:bodyDiv w:val="1"/>
      <w:marLeft w:val="0"/>
      <w:marRight w:val="0"/>
      <w:marTop w:val="0"/>
      <w:marBottom w:val="0"/>
      <w:divBdr>
        <w:top w:val="none" w:sz="0" w:space="0" w:color="auto"/>
        <w:left w:val="none" w:sz="0" w:space="0" w:color="auto"/>
        <w:bottom w:val="none" w:sz="0" w:space="0" w:color="auto"/>
        <w:right w:val="none" w:sz="0" w:space="0" w:color="auto"/>
      </w:divBdr>
    </w:div>
    <w:div w:id="406730770">
      <w:bodyDiv w:val="1"/>
      <w:marLeft w:val="0"/>
      <w:marRight w:val="0"/>
      <w:marTop w:val="0"/>
      <w:marBottom w:val="0"/>
      <w:divBdr>
        <w:top w:val="none" w:sz="0" w:space="0" w:color="auto"/>
        <w:left w:val="none" w:sz="0" w:space="0" w:color="auto"/>
        <w:bottom w:val="none" w:sz="0" w:space="0" w:color="auto"/>
        <w:right w:val="none" w:sz="0" w:space="0" w:color="auto"/>
      </w:divBdr>
      <w:divsChild>
        <w:div w:id="42875347">
          <w:marLeft w:val="0"/>
          <w:marRight w:val="0"/>
          <w:marTop w:val="0"/>
          <w:marBottom w:val="0"/>
          <w:divBdr>
            <w:top w:val="none" w:sz="0" w:space="0" w:color="auto"/>
            <w:left w:val="none" w:sz="0" w:space="0" w:color="auto"/>
            <w:bottom w:val="none" w:sz="0" w:space="0" w:color="auto"/>
            <w:right w:val="none" w:sz="0" w:space="0" w:color="auto"/>
          </w:divBdr>
          <w:divsChild>
            <w:div w:id="1249730603">
              <w:marLeft w:val="0"/>
              <w:marRight w:val="0"/>
              <w:marTop w:val="0"/>
              <w:marBottom w:val="0"/>
              <w:divBdr>
                <w:top w:val="none" w:sz="0" w:space="0" w:color="auto"/>
                <w:left w:val="none" w:sz="0" w:space="0" w:color="auto"/>
                <w:bottom w:val="none" w:sz="0" w:space="0" w:color="auto"/>
                <w:right w:val="none" w:sz="0" w:space="0" w:color="auto"/>
              </w:divBdr>
            </w:div>
          </w:divsChild>
        </w:div>
        <w:div w:id="99961459">
          <w:marLeft w:val="0"/>
          <w:marRight w:val="0"/>
          <w:marTop w:val="0"/>
          <w:marBottom w:val="0"/>
          <w:divBdr>
            <w:top w:val="none" w:sz="0" w:space="0" w:color="auto"/>
            <w:left w:val="none" w:sz="0" w:space="0" w:color="auto"/>
            <w:bottom w:val="none" w:sz="0" w:space="0" w:color="auto"/>
            <w:right w:val="none" w:sz="0" w:space="0" w:color="auto"/>
          </w:divBdr>
          <w:divsChild>
            <w:div w:id="1655522372">
              <w:marLeft w:val="0"/>
              <w:marRight w:val="0"/>
              <w:marTop w:val="0"/>
              <w:marBottom w:val="0"/>
              <w:divBdr>
                <w:top w:val="none" w:sz="0" w:space="0" w:color="auto"/>
                <w:left w:val="none" w:sz="0" w:space="0" w:color="auto"/>
                <w:bottom w:val="none" w:sz="0" w:space="0" w:color="auto"/>
                <w:right w:val="none" w:sz="0" w:space="0" w:color="auto"/>
              </w:divBdr>
            </w:div>
          </w:divsChild>
        </w:div>
        <w:div w:id="157693598">
          <w:marLeft w:val="0"/>
          <w:marRight w:val="0"/>
          <w:marTop w:val="0"/>
          <w:marBottom w:val="0"/>
          <w:divBdr>
            <w:top w:val="none" w:sz="0" w:space="0" w:color="auto"/>
            <w:left w:val="none" w:sz="0" w:space="0" w:color="auto"/>
            <w:bottom w:val="none" w:sz="0" w:space="0" w:color="auto"/>
            <w:right w:val="none" w:sz="0" w:space="0" w:color="auto"/>
          </w:divBdr>
          <w:divsChild>
            <w:div w:id="1831867650">
              <w:marLeft w:val="0"/>
              <w:marRight w:val="0"/>
              <w:marTop w:val="0"/>
              <w:marBottom w:val="0"/>
              <w:divBdr>
                <w:top w:val="none" w:sz="0" w:space="0" w:color="auto"/>
                <w:left w:val="none" w:sz="0" w:space="0" w:color="auto"/>
                <w:bottom w:val="none" w:sz="0" w:space="0" w:color="auto"/>
                <w:right w:val="none" w:sz="0" w:space="0" w:color="auto"/>
              </w:divBdr>
            </w:div>
          </w:divsChild>
        </w:div>
        <w:div w:id="198707152">
          <w:marLeft w:val="0"/>
          <w:marRight w:val="0"/>
          <w:marTop w:val="0"/>
          <w:marBottom w:val="0"/>
          <w:divBdr>
            <w:top w:val="none" w:sz="0" w:space="0" w:color="auto"/>
            <w:left w:val="none" w:sz="0" w:space="0" w:color="auto"/>
            <w:bottom w:val="none" w:sz="0" w:space="0" w:color="auto"/>
            <w:right w:val="none" w:sz="0" w:space="0" w:color="auto"/>
          </w:divBdr>
          <w:divsChild>
            <w:div w:id="1616214375">
              <w:marLeft w:val="0"/>
              <w:marRight w:val="0"/>
              <w:marTop w:val="0"/>
              <w:marBottom w:val="0"/>
              <w:divBdr>
                <w:top w:val="none" w:sz="0" w:space="0" w:color="auto"/>
                <w:left w:val="none" w:sz="0" w:space="0" w:color="auto"/>
                <w:bottom w:val="none" w:sz="0" w:space="0" w:color="auto"/>
                <w:right w:val="none" w:sz="0" w:space="0" w:color="auto"/>
              </w:divBdr>
            </w:div>
          </w:divsChild>
        </w:div>
        <w:div w:id="246961263">
          <w:marLeft w:val="0"/>
          <w:marRight w:val="0"/>
          <w:marTop w:val="0"/>
          <w:marBottom w:val="0"/>
          <w:divBdr>
            <w:top w:val="none" w:sz="0" w:space="0" w:color="auto"/>
            <w:left w:val="none" w:sz="0" w:space="0" w:color="auto"/>
            <w:bottom w:val="none" w:sz="0" w:space="0" w:color="auto"/>
            <w:right w:val="none" w:sz="0" w:space="0" w:color="auto"/>
          </w:divBdr>
          <w:divsChild>
            <w:div w:id="1569535967">
              <w:marLeft w:val="0"/>
              <w:marRight w:val="0"/>
              <w:marTop w:val="0"/>
              <w:marBottom w:val="0"/>
              <w:divBdr>
                <w:top w:val="none" w:sz="0" w:space="0" w:color="auto"/>
                <w:left w:val="none" w:sz="0" w:space="0" w:color="auto"/>
                <w:bottom w:val="none" w:sz="0" w:space="0" w:color="auto"/>
                <w:right w:val="none" w:sz="0" w:space="0" w:color="auto"/>
              </w:divBdr>
            </w:div>
          </w:divsChild>
        </w:div>
        <w:div w:id="304168870">
          <w:marLeft w:val="0"/>
          <w:marRight w:val="0"/>
          <w:marTop w:val="0"/>
          <w:marBottom w:val="0"/>
          <w:divBdr>
            <w:top w:val="none" w:sz="0" w:space="0" w:color="auto"/>
            <w:left w:val="none" w:sz="0" w:space="0" w:color="auto"/>
            <w:bottom w:val="none" w:sz="0" w:space="0" w:color="auto"/>
            <w:right w:val="none" w:sz="0" w:space="0" w:color="auto"/>
          </w:divBdr>
          <w:divsChild>
            <w:div w:id="1702365318">
              <w:marLeft w:val="0"/>
              <w:marRight w:val="0"/>
              <w:marTop w:val="0"/>
              <w:marBottom w:val="0"/>
              <w:divBdr>
                <w:top w:val="none" w:sz="0" w:space="0" w:color="auto"/>
                <w:left w:val="none" w:sz="0" w:space="0" w:color="auto"/>
                <w:bottom w:val="none" w:sz="0" w:space="0" w:color="auto"/>
                <w:right w:val="none" w:sz="0" w:space="0" w:color="auto"/>
              </w:divBdr>
            </w:div>
          </w:divsChild>
        </w:div>
        <w:div w:id="355617463">
          <w:marLeft w:val="0"/>
          <w:marRight w:val="0"/>
          <w:marTop w:val="0"/>
          <w:marBottom w:val="0"/>
          <w:divBdr>
            <w:top w:val="none" w:sz="0" w:space="0" w:color="auto"/>
            <w:left w:val="none" w:sz="0" w:space="0" w:color="auto"/>
            <w:bottom w:val="none" w:sz="0" w:space="0" w:color="auto"/>
            <w:right w:val="none" w:sz="0" w:space="0" w:color="auto"/>
          </w:divBdr>
          <w:divsChild>
            <w:div w:id="532114834">
              <w:marLeft w:val="0"/>
              <w:marRight w:val="0"/>
              <w:marTop w:val="0"/>
              <w:marBottom w:val="0"/>
              <w:divBdr>
                <w:top w:val="none" w:sz="0" w:space="0" w:color="auto"/>
                <w:left w:val="none" w:sz="0" w:space="0" w:color="auto"/>
                <w:bottom w:val="none" w:sz="0" w:space="0" w:color="auto"/>
                <w:right w:val="none" w:sz="0" w:space="0" w:color="auto"/>
              </w:divBdr>
            </w:div>
          </w:divsChild>
        </w:div>
        <w:div w:id="381369602">
          <w:marLeft w:val="0"/>
          <w:marRight w:val="0"/>
          <w:marTop w:val="0"/>
          <w:marBottom w:val="0"/>
          <w:divBdr>
            <w:top w:val="none" w:sz="0" w:space="0" w:color="auto"/>
            <w:left w:val="none" w:sz="0" w:space="0" w:color="auto"/>
            <w:bottom w:val="none" w:sz="0" w:space="0" w:color="auto"/>
            <w:right w:val="none" w:sz="0" w:space="0" w:color="auto"/>
          </w:divBdr>
          <w:divsChild>
            <w:div w:id="686323534">
              <w:marLeft w:val="0"/>
              <w:marRight w:val="0"/>
              <w:marTop w:val="0"/>
              <w:marBottom w:val="0"/>
              <w:divBdr>
                <w:top w:val="none" w:sz="0" w:space="0" w:color="auto"/>
                <w:left w:val="none" w:sz="0" w:space="0" w:color="auto"/>
                <w:bottom w:val="none" w:sz="0" w:space="0" w:color="auto"/>
                <w:right w:val="none" w:sz="0" w:space="0" w:color="auto"/>
              </w:divBdr>
            </w:div>
          </w:divsChild>
        </w:div>
        <w:div w:id="495652266">
          <w:marLeft w:val="0"/>
          <w:marRight w:val="0"/>
          <w:marTop w:val="0"/>
          <w:marBottom w:val="0"/>
          <w:divBdr>
            <w:top w:val="none" w:sz="0" w:space="0" w:color="auto"/>
            <w:left w:val="none" w:sz="0" w:space="0" w:color="auto"/>
            <w:bottom w:val="none" w:sz="0" w:space="0" w:color="auto"/>
            <w:right w:val="none" w:sz="0" w:space="0" w:color="auto"/>
          </w:divBdr>
          <w:divsChild>
            <w:div w:id="1080443255">
              <w:marLeft w:val="0"/>
              <w:marRight w:val="0"/>
              <w:marTop w:val="0"/>
              <w:marBottom w:val="0"/>
              <w:divBdr>
                <w:top w:val="none" w:sz="0" w:space="0" w:color="auto"/>
                <w:left w:val="none" w:sz="0" w:space="0" w:color="auto"/>
                <w:bottom w:val="none" w:sz="0" w:space="0" w:color="auto"/>
                <w:right w:val="none" w:sz="0" w:space="0" w:color="auto"/>
              </w:divBdr>
            </w:div>
          </w:divsChild>
        </w:div>
        <w:div w:id="754671529">
          <w:marLeft w:val="0"/>
          <w:marRight w:val="0"/>
          <w:marTop w:val="0"/>
          <w:marBottom w:val="0"/>
          <w:divBdr>
            <w:top w:val="none" w:sz="0" w:space="0" w:color="auto"/>
            <w:left w:val="none" w:sz="0" w:space="0" w:color="auto"/>
            <w:bottom w:val="none" w:sz="0" w:space="0" w:color="auto"/>
            <w:right w:val="none" w:sz="0" w:space="0" w:color="auto"/>
          </w:divBdr>
          <w:divsChild>
            <w:div w:id="676268521">
              <w:marLeft w:val="0"/>
              <w:marRight w:val="0"/>
              <w:marTop w:val="0"/>
              <w:marBottom w:val="0"/>
              <w:divBdr>
                <w:top w:val="none" w:sz="0" w:space="0" w:color="auto"/>
                <w:left w:val="none" w:sz="0" w:space="0" w:color="auto"/>
                <w:bottom w:val="none" w:sz="0" w:space="0" w:color="auto"/>
                <w:right w:val="none" w:sz="0" w:space="0" w:color="auto"/>
              </w:divBdr>
            </w:div>
          </w:divsChild>
        </w:div>
        <w:div w:id="760182804">
          <w:marLeft w:val="0"/>
          <w:marRight w:val="0"/>
          <w:marTop w:val="0"/>
          <w:marBottom w:val="0"/>
          <w:divBdr>
            <w:top w:val="none" w:sz="0" w:space="0" w:color="auto"/>
            <w:left w:val="none" w:sz="0" w:space="0" w:color="auto"/>
            <w:bottom w:val="none" w:sz="0" w:space="0" w:color="auto"/>
            <w:right w:val="none" w:sz="0" w:space="0" w:color="auto"/>
          </w:divBdr>
          <w:divsChild>
            <w:div w:id="1414401393">
              <w:marLeft w:val="0"/>
              <w:marRight w:val="0"/>
              <w:marTop w:val="0"/>
              <w:marBottom w:val="0"/>
              <w:divBdr>
                <w:top w:val="none" w:sz="0" w:space="0" w:color="auto"/>
                <w:left w:val="none" w:sz="0" w:space="0" w:color="auto"/>
                <w:bottom w:val="none" w:sz="0" w:space="0" w:color="auto"/>
                <w:right w:val="none" w:sz="0" w:space="0" w:color="auto"/>
              </w:divBdr>
            </w:div>
          </w:divsChild>
        </w:div>
        <w:div w:id="813179091">
          <w:marLeft w:val="0"/>
          <w:marRight w:val="0"/>
          <w:marTop w:val="0"/>
          <w:marBottom w:val="0"/>
          <w:divBdr>
            <w:top w:val="none" w:sz="0" w:space="0" w:color="auto"/>
            <w:left w:val="none" w:sz="0" w:space="0" w:color="auto"/>
            <w:bottom w:val="none" w:sz="0" w:space="0" w:color="auto"/>
            <w:right w:val="none" w:sz="0" w:space="0" w:color="auto"/>
          </w:divBdr>
          <w:divsChild>
            <w:div w:id="471794970">
              <w:marLeft w:val="0"/>
              <w:marRight w:val="0"/>
              <w:marTop w:val="0"/>
              <w:marBottom w:val="0"/>
              <w:divBdr>
                <w:top w:val="none" w:sz="0" w:space="0" w:color="auto"/>
                <w:left w:val="none" w:sz="0" w:space="0" w:color="auto"/>
                <w:bottom w:val="none" w:sz="0" w:space="0" w:color="auto"/>
                <w:right w:val="none" w:sz="0" w:space="0" w:color="auto"/>
              </w:divBdr>
            </w:div>
          </w:divsChild>
        </w:div>
        <w:div w:id="949780154">
          <w:marLeft w:val="0"/>
          <w:marRight w:val="0"/>
          <w:marTop w:val="0"/>
          <w:marBottom w:val="0"/>
          <w:divBdr>
            <w:top w:val="none" w:sz="0" w:space="0" w:color="auto"/>
            <w:left w:val="none" w:sz="0" w:space="0" w:color="auto"/>
            <w:bottom w:val="none" w:sz="0" w:space="0" w:color="auto"/>
            <w:right w:val="none" w:sz="0" w:space="0" w:color="auto"/>
          </w:divBdr>
          <w:divsChild>
            <w:div w:id="220334762">
              <w:marLeft w:val="0"/>
              <w:marRight w:val="0"/>
              <w:marTop w:val="0"/>
              <w:marBottom w:val="0"/>
              <w:divBdr>
                <w:top w:val="none" w:sz="0" w:space="0" w:color="auto"/>
                <w:left w:val="none" w:sz="0" w:space="0" w:color="auto"/>
                <w:bottom w:val="none" w:sz="0" w:space="0" w:color="auto"/>
                <w:right w:val="none" w:sz="0" w:space="0" w:color="auto"/>
              </w:divBdr>
            </w:div>
          </w:divsChild>
        </w:div>
        <w:div w:id="1024552165">
          <w:marLeft w:val="0"/>
          <w:marRight w:val="0"/>
          <w:marTop w:val="0"/>
          <w:marBottom w:val="0"/>
          <w:divBdr>
            <w:top w:val="none" w:sz="0" w:space="0" w:color="auto"/>
            <w:left w:val="none" w:sz="0" w:space="0" w:color="auto"/>
            <w:bottom w:val="none" w:sz="0" w:space="0" w:color="auto"/>
            <w:right w:val="none" w:sz="0" w:space="0" w:color="auto"/>
          </w:divBdr>
          <w:divsChild>
            <w:div w:id="880635243">
              <w:marLeft w:val="0"/>
              <w:marRight w:val="0"/>
              <w:marTop w:val="0"/>
              <w:marBottom w:val="0"/>
              <w:divBdr>
                <w:top w:val="none" w:sz="0" w:space="0" w:color="auto"/>
                <w:left w:val="none" w:sz="0" w:space="0" w:color="auto"/>
                <w:bottom w:val="none" w:sz="0" w:space="0" w:color="auto"/>
                <w:right w:val="none" w:sz="0" w:space="0" w:color="auto"/>
              </w:divBdr>
            </w:div>
          </w:divsChild>
        </w:div>
        <w:div w:id="1127311569">
          <w:marLeft w:val="0"/>
          <w:marRight w:val="0"/>
          <w:marTop w:val="0"/>
          <w:marBottom w:val="0"/>
          <w:divBdr>
            <w:top w:val="none" w:sz="0" w:space="0" w:color="auto"/>
            <w:left w:val="none" w:sz="0" w:space="0" w:color="auto"/>
            <w:bottom w:val="none" w:sz="0" w:space="0" w:color="auto"/>
            <w:right w:val="none" w:sz="0" w:space="0" w:color="auto"/>
          </w:divBdr>
          <w:divsChild>
            <w:div w:id="127864574">
              <w:marLeft w:val="0"/>
              <w:marRight w:val="0"/>
              <w:marTop w:val="0"/>
              <w:marBottom w:val="0"/>
              <w:divBdr>
                <w:top w:val="none" w:sz="0" w:space="0" w:color="auto"/>
                <w:left w:val="none" w:sz="0" w:space="0" w:color="auto"/>
                <w:bottom w:val="none" w:sz="0" w:space="0" w:color="auto"/>
                <w:right w:val="none" w:sz="0" w:space="0" w:color="auto"/>
              </w:divBdr>
            </w:div>
          </w:divsChild>
        </w:div>
        <w:div w:id="1176730398">
          <w:marLeft w:val="0"/>
          <w:marRight w:val="0"/>
          <w:marTop w:val="0"/>
          <w:marBottom w:val="0"/>
          <w:divBdr>
            <w:top w:val="none" w:sz="0" w:space="0" w:color="auto"/>
            <w:left w:val="none" w:sz="0" w:space="0" w:color="auto"/>
            <w:bottom w:val="none" w:sz="0" w:space="0" w:color="auto"/>
            <w:right w:val="none" w:sz="0" w:space="0" w:color="auto"/>
          </w:divBdr>
          <w:divsChild>
            <w:div w:id="2038121312">
              <w:marLeft w:val="0"/>
              <w:marRight w:val="0"/>
              <w:marTop w:val="0"/>
              <w:marBottom w:val="0"/>
              <w:divBdr>
                <w:top w:val="none" w:sz="0" w:space="0" w:color="auto"/>
                <w:left w:val="none" w:sz="0" w:space="0" w:color="auto"/>
                <w:bottom w:val="none" w:sz="0" w:space="0" w:color="auto"/>
                <w:right w:val="none" w:sz="0" w:space="0" w:color="auto"/>
              </w:divBdr>
            </w:div>
          </w:divsChild>
        </w:div>
        <w:div w:id="1189415699">
          <w:marLeft w:val="0"/>
          <w:marRight w:val="0"/>
          <w:marTop w:val="0"/>
          <w:marBottom w:val="0"/>
          <w:divBdr>
            <w:top w:val="none" w:sz="0" w:space="0" w:color="auto"/>
            <w:left w:val="none" w:sz="0" w:space="0" w:color="auto"/>
            <w:bottom w:val="none" w:sz="0" w:space="0" w:color="auto"/>
            <w:right w:val="none" w:sz="0" w:space="0" w:color="auto"/>
          </w:divBdr>
          <w:divsChild>
            <w:div w:id="167721446">
              <w:marLeft w:val="0"/>
              <w:marRight w:val="0"/>
              <w:marTop w:val="0"/>
              <w:marBottom w:val="0"/>
              <w:divBdr>
                <w:top w:val="none" w:sz="0" w:space="0" w:color="auto"/>
                <w:left w:val="none" w:sz="0" w:space="0" w:color="auto"/>
                <w:bottom w:val="none" w:sz="0" w:space="0" w:color="auto"/>
                <w:right w:val="none" w:sz="0" w:space="0" w:color="auto"/>
              </w:divBdr>
            </w:div>
          </w:divsChild>
        </w:div>
        <w:div w:id="1193110095">
          <w:marLeft w:val="0"/>
          <w:marRight w:val="0"/>
          <w:marTop w:val="0"/>
          <w:marBottom w:val="0"/>
          <w:divBdr>
            <w:top w:val="none" w:sz="0" w:space="0" w:color="auto"/>
            <w:left w:val="none" w:sz="0" w:space="0" w:color="auto"/>
            <w:bottom w:val="none" w:sz="0" w:space="0" w:color="auto"/>
            <w:right w:val="none" w:sz="0" w:space="0" w:color="auto"/>
          </w:divBdr>
          <w:divsChild>
            <w:div w:id="802968867">
              <w:marLeft w:val="0"/>
              <w:marRight w:val="0"/>
              <w:marTop w:val="0"/>
              <w:marBottom w:val="0"/>
              <w:divBdr>
                <w:top w:val="none" w:sz="0" w:space="0" w:color="auto"/>
                <w:left w:val="none" w:sz="0" w:space="0" w:color="auto"/>
                <w:bottom w:val="none" w:sz="0" w:space="0" w:color="auto"/>
                <w:right w:val="none" w:sz="0" w:space="0" w:color="auto"/>
              </w:divBdr>
            </w:div>
          </w:divsChild>
        </w:div>
        <w:div w:id="1228876295">
          <w:marLeft w:val="0"/>
          <w:marRight w:val="0"/>
          <w:marTop w:val="0"/>
          <w:marBottom w:val="0"/>
          <w:divBdr>
            <w:top w:val="none" w:sz="0" w:space="0" w:color="auto"/>
            <w:left w:val="none" w:sz="0" w:space="0" w:color="auto"/>
            <w:bottom w:val="none" w:sz="0" w:space="0" w:color="auto"/>
            <w:right w:val="none" w:sz="0" w:space="0" w:color="auto"/>
          </w:divBdr>
          <w:divsChild>
            <w:div w:id="1021978001">
              <w:marLeft w:val="0"/>
              <w:marRight w:val="0"/>
              <w:marTop w:val="0"/>
              <w:marBottom w:val="0"/>
              <w:divBdr>
                <w:top w:val="none" w:sz="0" w:space="0" w:color="auto"/>
                <w:left w:val="none" w:sz="0" w:space="0" w:color="auto"/>
                <w:bottom w:val="none" w:sz="0" w:space="0" w:color="auto"/>
                <w:right w:val="none" w:sz="0" w:space="0" w:color="auto"/>
              </w:divBdr>
            </w:div>
          </w:divsChild>
        </w:div>
        <w:div w:id="1301962475">
          <w:marLeft w:val="0"/>
          <w:marRight w:val="0"/>
          <w:marTop w:val="0"/>
          <w:marBottom w:val="0"/>
          <w:divBdr>
            <w:top w:val="none" w:sz="0" w:space="0" w:color="auto"/>
            <w:left w:val="none" w:sz="0" w:space="0" w:color="auto"/>
            <w:bottom w:val="none" w:sz="0" w:space="0" w:color="auto"/>
            <w:right w:val="none" w:sz="0" w:space="0" w:color="auto"/>
          </w:divBdr>
          <w:divsChild>
            <w:div w:id="1910992322">
              <w:marLeft w:val="0"/>
              <w:marRight w:val="0"/>
              <w:marTop w:val="0"/>
              <w:marBottom w:val="0"/>
              <w:divBdr>
                <w:top w:val="none" w:sz="0" w:space="0" w:color="auto"/>
                <w:left w:val="none" w:sz="0" w:space="0" w:color="auto"/>
                <w:bottom w:val="none" w:sz="0" w:space="0" w:color="auto"/>
                <w:right w:val="none" w:sz="0" w:space="0" w:color="auto"/>
              </w:divBdr>
            </w:div>
          </w:divsChild>
        </w:div>
        <w:div w:id="1341275120">
          <w:marLeft w:val="0"/>
          <w:marRight w:val="0"/>
          <w:marTop w:val="0"/>
          <w:marBottom w:val="0"/>
          <w:divBdr>
            <w:top w:val="none" w:sz="0" w:space="0" w:color="auto"/>
            <w:left w:val="none" w:sz="0" w:space="0" w:color="auto"/>
            <w:bottom w:val="none" w:sz="0" w:space="0" w:color="auto"/>
            <w:right w:val="none" w:sz="0" w:space="0" w:color="auto"/>
          </w:divBdr>
          <w:divsChild>
            <w:div w:id="1669869463">
              <w:marLeft w:val="0"/>
              <w:marRight w:val="0"/>
              <w:marTop w:val="0"/>
              <w:marBottom w:val="0"/>
              <w:divBdr>
                <w:top w:val="none" w:sz="0" w:space="0" w:color="auto"/>
                <w:left w:val="none" w:sz="0" w:space="0" w:color="auto"/>
                <w:bottom w:val="none" w:sz="0" w:space="0" w:color="auto"/>
                <w:right w:val="none" w:sz="0" w:space="0" w:color="auto"/>
              </w:divBdr>
            </w:div>
          </w:divsChild>
        </w:div>
        <w:div w:id="1395203470">
          <w:marLeft w:val="0"/>
          <w:marRight w:val="0"/>
          <w:marTop w:val="0"/>
          <w:marBottom w:val="0"/>
          <w:divBdr>
            <w:top w:val="none" w:sz="0" w:space="0" w:color="auto"/>
            <w:left w:val="none" w:sz="0" w:space="0" w:color="auto"/>
            <w:bottom w:val="none" w:sz="0" w:space="0" w:color="auto"/>
            <w:right w:val="none" w:sz="0" w:space="0" w:color="auto"/>
          </w:divBdr>
          <w:divsChild>
            <w:div w:id="107480266">
              <w:marLeft w:val="0"/>
              <w:marRight w:val="0"/>
              <w:marTop w:val="0"/>
              <w:marBottom w:val="0"/>
              <w:divBdr>
                <w:top w:val="none" w:sz="0" w:space="0" w:color="auto"/>
                <w:left w:val="none" w:sz="0" w:space="0" w:color="auto"/>
                <w:bottom w:val="none" w:sz="0" w:space="0" w:color="auto"/>
                <w:right w:val="none" w:sz="0" w:space="0" w:color="auto"/>
              </w:divBdr>
            </w:div>
          </w:divsChild>
        </w:div>
        <w:div w:id="1470709511">
          <w:marLeft w:val="0"/>
          <w:marRight w:val="0"/>
          <w:marTop w:val="0"/>
          <w:marBottom w:val="0"/>
          <w:divBdr>
            <w:top w:val="none" w:sz="0" w:space="0" w:color="auto"/>
            <w:left w:val="none" w:sz="0" w:space="0" w:color="auto"/>
            <w:bottom w:val="none" w:sz="0" w:space="0" w:color="auto"/>
            <w:right w:val="none" w:sz="0" w:space="0" w:color="auto"/>
          </w:divBdr>
          <w:divsChild>
            <w:div w:id="326398506">
              <w:marLeft w:val="0"/>
              <w:marRight w:val="0"/>
              <w:marTop w:val="0"/>
              <w:marBottom w:val="0"/>
              <w:divBdr>
                <w:top w:val="none" w:sz="0" w:space="0" w:color="auto"/>
                <w:left w:val="none" w:sz="0" w:space="0" w:color="auto"/>
                <w:bottom w:val="none" w:sz="0" w:space="0" w:color="auto"/>
                <w:right w:val="none" w:sz="0" w:space="0" w:color="auto"/>
              </w:divBdr>
            </w:div>
          </w:divsChild>
        </w:div>
        <w:div w:id="1489201127">
          <w:marLeft w:val="0"/>
          <w:marRight w:val="0"/>
          <w:marTop w:val="0"/>
          <w:marBottom w:val="0"/>
          <w:divBdr>
            <w:top w:val="none" w:sz="0" w:space="0" w:color="auto"/>
            <w:left w:val="none" w:sz="0" w:space="0" w:color="auto"/>
            <w:bottom w:val="none" w:sz="0" w:space="0" w:color="auto"/>
            <w:right w:val="none" w:sz="0" w:space="0" w:color="auto"/>
          </w:divBdr>
          <w:divsChild>
            <w:div w:id="1938975113">
              <w:marLeft w:val="0"/>
              <w:marRight w:val="0"/>
              <w:marTop w:val="0"/>
              <w:marBottom w:val="0"/>
              <w:divBdr>
                <w:top w:val="none" w:sz="0" w:space="0" w:color="auto"/>
                <w:left w:val="none" w:sz="0" w:space="0" w:color="auto"/>
                <w:bottom w:val="none" w:sz="0" w:space="0" w:color="auto"/>
                <w:right w:val="none" w:sz="0" w:space="0" w:color="auto"/>
              </w:divBdr>
            </w:div>
          </w:divsChild>
        </w:div>
        <w:div w:id="1490174711">
          <w:marLeft w:val="0"/>
          <w:marRight w:val="0"/>
          <w:marTop w:val="0"/>
          <w:marBottom w:val="0"/>
          <w:divBdr>
            <w:top w:val="none" w:sz="0" w:space="0" w:color="auto"/>
            <w:left w:val="none" w:sz="0" w:space="0" w:color="auto"/>
            <w:bottom w:val="none" w:sz="0" w:space="0" w:color="auto"/>
            <w:right w:val="none" w:sz="0" w:space="0" w:color="auto"/>
          </w:divBdr>
          <w:divsChild>
            <w:div w:id="1060904531">
              <w:marLeft w:val="0"/>
              <w:marRight w:val="0"/>
              <w:marTop w:val="0"/>
              <w:marBottom w:val="0"/>
              <w:divBdr>
                <w:top w:val="none" w:sz="0" w:space="0" w:color="auto"/>
                <w:left w:val="none" w:sz="0" w:space="0" w:color="auto"/>
                <w:bottom w:val="none" w:sz="0" w:space="0" w:color="auto"/>
                <w:right w:val="none" w:sz="0" w:space="0" w:color="auto"/>
              </w:divBdr>
            </w:div>
          </w:divsChild>
        </w:div>
        <w:div w:id="1552695864">
          <w:marLeft w:val="0"/>
          <w:marRight w:val="0"/>
          <w:marTop w:val="0"/>
          <w:marBottom w:val="0"/>
          <w:divBdr>
            <w:top w:val="none" w:sz="0" w:space="0" w:color="auto"/>
            <w:left w:val="none" w:sz="0" w:space="0" w:color="auto"/>
            <w:bottom w:val="none" w:sz="0" w:space="0" w:color="auto"/>
            <w:right w:val="none" w:sz="0" w:space="0" w:color="auto"/>
          </w:divBdr>
          <w:divsChild>
            <w:div w:id="1443182078">
              <w:marLeft w:val="0"/>
              <w:marRight w:val="0"/>
              <w:marTop w:val="0"/>
              <w:marBottom w:val="0"/>
              <w:divBdr>
                <w:top w:val="none" w:sz="0" w:space="0" w:color="auto"/>
                <w:left w:val="none" w:sz="0" w:space="0" w:color="auto"/>
                <w:bottom w:val="none" w:sz="0" w:space="0" w:color="auto"/>
                <w:right w:val="none" w:sz="0" w:space="0" w:color="auto"/>
              </w:divBdr>
            </w:div>
          </w:divsChild>
        </w:div>
        <w:div w:id="1709527222">
          <w:marLeft w:val="0"/>
          <w:marRight w:val="0"/>
          <w:marTop w:val="0"/>
          <w:marBottom w:val="0"/>
          <w:divBdr>
            <w:top w:val="none" w:sz="0" w:space="0" w:color="auto"/>
            <w:left w:val="none" w:sz="0" w:space="0" w:color="auto"/>
            <w:bottom w:val="none" w:sz="0" w:space="0" w:color="auto"/>
            <w:right w:val="none" w:sz="0" w:space="0" w:color="auto"/>
          </w:divBdr>
          <w:divsChild>
            <w:div w:id="852692649">
              <w:marLeft w:val="0"/>
              <w:marRight w:val="0"/>
              <w:marTop w:val="0"/>
              <w:marBottom w:val="0"/>
              <w:divBdr>
                <w:top w:val="none" w:sz="0" w:space="0" w:color="auto"/>
                <w:left w:val="none" w:sz="0" w:space="0" w:color="auto"/>
                <w:bottom w:val="none" w:sz="0" w:space="0" w:color="auto"/>
                <w:right w:val="none" w:sz="0" w:space="0" w:color="auto"/>
              </w:divBdr>
            </w:div>
          </w:divsChild>
        </w:div>
        <w:div w:id="1838417874">
          <w:marLeft w:val="0"/>
          <w:marRight w:val="0"/>
          <w:marTop w:val="0"/>
          <w:marBottom w:val="0"/>
          <w:divBdr>
            <w:top w:val="none" w:sz="0" w:space="0" w:color="auto"/>
            <w:left w:val="none" w:sz="0" w:space="0" w:color="auto"/>
            <w:bottom w:val="none" w:sz="0" w:space="0" w:color="auto"/>
            <w:right w:val="none" w:sz="0" w:space="0" w:color="auto"/>
          </w:divBdr>
          <w:divsChild>
            <w:div w:id="1997491989">
              <w:marLeft w:val="0"/>
              <w:marRight w:val="0"/>
              <w:marTop w:val="0"/>
              <w:marBottom w:val="0"/>
              <w:divBdr>
                <w:top w:val="none" w:sz="0" w:space="0" w:color="auto"/>
                <w:left w:val="none" w:sz="0" w:space="0" w:color="auto"/>
                <w:bottom w:val="none" w:sz="0" w:space="0" w:color="auto"/>
                <w:right w:val="none" w:sz="0" w:space="0" w:color="auto"/>
              </w:divBdr>
            </w:div>
          </w:divsChild>
        </w:div>
        <w:div w:id="1919056839">
          <w:marLeft w:val="0"/>
          <w:marRight w:val="0"/>
          <w:marTop w:val="0"/>
          <w:marBottom w:val="0"/>
          <w:divBdr>
            <w:top w:val="none" w:sz="0" w:space="0" w:color="auto"/>
            <w:left w:val="none" w:sz="0" w:space="0" w:color="auto"/>
            <w:bottom w:val="none" w:sz="0" w:space="0" w:color="auto"/>
            <w:right w:val="none" w:sz="0" w:space="0" w:color="auto"/>
          </w:divBdr>
          <w:divsChild>
            <w:div w:id="1878352299">
              <w:marLeft w:val="0"/>
              <w:marRight w:val="0"/>
              <w:marTop w:val="0"/>
              <w:marBottom w:val="0"/>
              <w:divBdr>
                <w:top w:val="none" w:sz="0" w:space="0" w:color="auto"/>
                <w:left w:val="none" w:sz="0" w:space="0" w:color="auto"/>
                <w:bottom w:val="none" w:sz="0" w:space="0" w:color="auto"/>
                <w:right w:val="none" w:sz="0" w:space="0" w:color="auto"/>
              </w:divBdr>
            </w:div>
          </w:divsChild>
        </w:div>
        <w:div w:id="1921674250">
          <w:marLeft w:val="0"/>
          <w:marRight w:val="0"/>
          <w:marTop w:val="0"/>
          <w:marBottom w:val="0"/>
          <w:divBdr>
            <w:top w:val="none" w:sz="0" w:space="0" w:color="auto"/>
            <w:left w:val="none" w:sz="0" w:space="0" w:color="auto"/>
            <w:bottom w:val="none" w:sz="0" w:space="0" w:color="auto"/>
            <w:right w:val="none" w:sz="0" w:space="0" w:color="auto"/>
          </w:divBdr>
          <w:divsChild>
            <w:div w:id="1213299997">
              <w:marLeft w:val="0"/>
              <w:marRight w:val="0"/>
              <w:marTop w:val="0"/>
              <w:marBottom w:val="0"/>
              <w:divBdr>
                <w:top w:val="none" w:sz="0" w:space="0" w:color="auto"/>
                <w:left w:val="none" w:sz="0" w:space="0" w:color="auto"/>
                <w:bottom w:val="none" w:sz="0" w:space="0" w:color="auto"/>
                <w:right w:val="none" w:sz="0" w:space="0" w:color="auto"/>
              </w:divBdr>
            </w:div>
          </w:divsChild>
        </w:div>
        <w:div w:id="1993874441">
          <w:marLeft w:val="0"/>
          <w:marRight w:val="0"/>
          <w:marTop w:val="0"/>
          <w:marBottom w:val="0"/>
          <w:divBdr>
            <w:top w:val="none" w:sz="0" w:space="0" w:color="auto"/>
            <w:left w:val="none" w:sz="0" w:space="0" w:color="auto"/>
            <w:bottom w:val="none" w:sz="0" w:space="0" w:color="auto"/>
            <w:right w:val="none" w:sz="0" w:space="0" w:color="auto"/>
          </w:divBdr>
          <w:divsChild>
            <w:div w:id="2033527957">
              <w:marLeft w:val="0"/>
              <w:marRight w:val="0"/>
              <w:marTop w:val="0"/>
              <w:marBottom w:val="0"/>
              <w:divBdr>
                <w:top w:val="none" w:sz="0" w:space="0" w:color="auto"/>
                <w:left w:val="none" w:sz="0" w:space="0" w:color="auto"/>
                <w:bottom w:val="none" w:sz="0" w:space="0" w:color="auto"/>
                <w:right w:val="none" w:sz="0" w:space="0" w:color="auto"/>
              </w:divBdr>
            </w:div>
          </w:divsChild>
        </w:div>
        <w:div w:id="2053537442">
          <w:marLeft w:val="0"/>
          <w:marRight w:val="0"/>
          <w:marTop w:val="0"/>
          <w:marBottom w:val="0"/>
          <w:divBdr>
            <w:top w:val="none" w:sz="0" w:space="0" w:color="auto"/>
            <w:left w:val="none" w:sz="0" w:space="0" w:color="auto"/>
            <w:bottom w:val="none" w:sz="0" w:space="0" w:color="auto"/>
            <w:right w:val="none" w:sz="0" w:space="0" w:color="auto"/>
          </w:divBdr>
          <w:divsChild>
            <w:div w:id="2006321589">
              <w:marLeft w:val="0"/>
              <w:marRight w:val="0"/>
              <w:marTop w:val="0"/>
              <w:marBottom w:val="0"/>
              <w:divBdr>
                <w:top w:val="none" w:sz="0" w:space="0" w:color="auto"/>
                <w:left w:val="none" w:sz="0" w:space="0" w:color="auto"/>
                <w:bottom w:val="none" w:sz="0" w:space="0" w:color="auto"/>
                <w:right w:val="none" w:sz="0" w:space="0" w:color="auto"/>
              </w:divBdr>
            </w:div>
          </w:divsChild>
        </w:div>
        <w:div w:id="2073656276">
          <w:marLeft w:val="0"/>
          <w:marRight w:val="0"/>
          <w:marTop w:val="0"/>
          <w:marBottom w:val="0"/>
          <w:divBdr>
            <w:top w:val="none" w:sz="0" w:space="0" w:color="auto"/>
            <w:left w:val="none" w:sz="0" w:space="0" w:color="auto"/>
            <w:bottom w:val="none" w:sz="0" w:space="0" w:color="auto"/>
            <w:right w:val="none" w:sz="0" w:space="0" w:color="auto"/>
          </w:divBdr>
          <w:divsChild>
            <w:div w:id="109326386">
              <w:marLeft w:val="0"/>
              <w:marRight w:val="0"/>
              <w:marTop w:val="0"/>
              <w:marBottom w:val="0"/>
              <w:divBdr>
                <w:top w:val="none" w:sz="0" w:space="0" w:color="auto"/>
                <w:left w:val="none" w:sz="0" w:space="0" w:color="auto"/>
                <w:bottom w:val="none" w:sz="0" w:space="0" w:color="auto"/>
                <w:right w:val="none" w:sz="0" w:space="0" w:color="auto"/>
              </w:divBdr>
            </w:div>
          </w:divsChild>
        </w:div>
        <w:div w:id="2083601174">
          <w:marLeft w:val="0"/>
          <w:marRight w:val="0"/>
          <w:marTop w:val="0"/>
          <w:marBottom w:val="0"/>
          <w:divBdr>
            <w:top w:val="none" w:sz="0" w:space="0" w:color="auto"/>
            <w:left w:val="none" w:sz="0" w:space="0" w:color="auto"/>
            <w:bottom w:val="none" w:sz="0" w:space="0" w:color="auto"/>
            <w:right w:val="none" w:sz="0" w:space="0" w:color="auto"/>
          </w:divBdr>
          <w:divsChild>
            <w:div w:id="1234003078">
              <w:marLeft w:val="0"/>
              <w:marRight w:val="0"/>
              <w:marTop w:val="0"/>
              <w:marBottom w:val="0"/>
              <w:divBdr>
                <w:top w:val="none" w:sz="0" w:space="0" w:color="auto"/>
                <w:left w:val="none" w:sz="0" w:space="0" w:color="auto"/>
                <w:bottom w:val="none" w:sz="0" w:space="0" w:color="auto"/>
                <w:right w:val="none" w:sz="0" w:space="0" w:color="auto"/>
              </w:divBdr>
            </w:div>
          </w:divsChild>
        </w:div>
        <w:div w:id="2126651971">
          <w:marLeft w:val="0"/>
          <w:marRight w:val="0"/>
          <w:marTop w:val="0"/>
          <w:marBottom w:val="0"/>
          <w:divBdr>
            <w:top w:val="none" w:sz="0" w:space="0" w:color="auto"/>
            <w:left w:val="none" w:sz="0" w:space="0" w:color="auto"/>
            <w:bottom w:val="none" w:sz="0" w:space="0" w:color="auto"/>
            <w:right w:val="none" w:sz="0" w:space="0" w:color="auto"/>
          </w:divBdr>
          <w:divsChild>
            <w:div w:id="59140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373139">
      <w:bodyDiv w:val="1"/>
      <w:marLeft w:val="0"/>
      <w:marRight w:val="0"/>
      <w:marTop w:val="0"/>
      <w:marBottom w:val="0"/>
      <w:divBdr>
        <w:top w:val="none" w:sz="0" w:space="0" w:color="auto"/>
        <w:left w:val="none" w:sz="0" w:space="0" w:color="auto"/>
        <w:bottom w:val="none" w:sz="0" w:space="0" w:color="auto"/>
        <w:right w:val="none" w:sz="0" w:space="0" w:color="auto"/>
      </w:divBdr>
    </w:div>
    <w:div w:id="437721871">
      <w:bodyDiv w:val="1"/>
      <w:marLeft w:val="0"/>
      <w:marRight w:val="0"/>
      <w:marTop w:val="0"/>
      <w:marBottom w:val="0"/>
      <w:divBdr>
        <w:top w:val="none" w:sz="0" w:space="0" w:color="auto"/>
        <w:left w:val="none" w:sz="0" w:space="0" w:color="auto"/>
        <w:bottom w:val="none" w:sz="0" w:space="0" w:color="auto"/>
        <w:right w:val="none" w:sz="0" w:space="0" w:color="auto"/>
      </w:divBdr>
    </w:div>
    <w:div w:id="445664011">
      <w:bodyDiv w:val="1"/>
      <w:marLeft w:val="0"/>
      <w:marRight w:val="0"/>
      <w:marTop w:val="0"/>
      <w:marBottom w:val="0"/>
      <w:divBdr>
        <w:top w:val="none" w:sz="0" w:space="0" w:color="auto"/>
        <w:left w:val="none" w:sz="0" w:space="0" w:color="auto"/>
        <w:bottom w:val="none" w:sz="0" w:space="0" w:color="auto"/>
        <w:right w:val="none" w:sz="0" w:space="0" w:color="auto"/>
      </w:divBdr>
    </w:div>
    <w:div w:id="445924375">
      <w:bodyDiv w:val="1"/>
      <w:marLeft w:val="0"/>
      <w:marRight w:val="0"/>
      <w:marTop w:val="0"/>
      <w:marBottom w:val="0"/>
      <w:divBdr>
        <w:top w:val="none" w:sz="0" w:space="0" w:color="auto"/>
        <w:left w:val="none" w:sz="0" w:space="0" w:color="auto"/>
        <w:bottom w:val="none" w:sz="0" w:space="0" w:color="auto"/>
        <w:right w:val="none" w:sz="0" w:space="0" w:color="auto"/>
      </w:divBdr>
    </w:div>
    <w:div w:id="452333595">
      <w:bodyDiv w:val="1"/>
      <w:marLeft w:val="0"/>
      <w:marRight w:val="0"/>
      <w:marTop w:val="0"/>
      <w:marBottom w:val="0"/>
      <w:divBdr>
        <w:top w:val="none" w:sz="0" w:space="0" w:color="auto"/>
        <w:left w:val="none" w:sz="0" w:space="0" w:color="auto"/>
        <w:bottom w:val="none" w:sz="0" w:space="0" w:color="auto"/>
        <w:right w:val="none" w:sz="0" w:space="0" w:color="auto"/>
      </w:divBdr>
    </w:div>
    <w:div w:id="480460244">
      <w:bodyDiv w:val="1"/>
      <w:marLeft w:val="0"/>
      <w:marRight w:val="0"/>
      <w:marTop w:val="0"/>
      <w:marBottom w:val="0"/>
      <w:divBdr>
        <w:top w:val="none" w:sz="0" w:space="0" w:color="auto"/>
        <w:left w:val="none" w:sz="0" w:space="0" w:color="auto"/>
        <w:bottom w:val="none" w:sz="0" w:space="0" w:color="auto"/>
        <w:right w:val="none" w:sz="0" w:space="0" w:color="auto"/>
      </w:divBdr>
    </w:div>
    <w:div w:id="492186169">
      <w:bodyDiv w:val="1"/>
      <w:marLeft w:val="0"/>
      <w:marRight w:val="0"/>
      <w:marTop w:val="0"/>
      <w:marBottom w:val="0"/>
      <w:divBdr>
        <w:top w:val="none" w:sz="0" w:space="0" w:color="auto"/>
        <w:left w:val="none" w:sz="0" w:space="0" w:color="auto"/>
        <w:bottom w:val="none" w:sz="0" w:space="0" w:color="auto"/>
        <w:right w:val="none" w:sz="0" w:space="0" w:color="auto"/>
      </w:divBdr>
    </w:div>
    <w:div w:id="499124059">
      <w:bodyDiv w:val="1"/>
      <w:marLeft w:val="0"/>
      <w:marRight w:val="0"/>
      <w:marTop w:val="0"/>
      <w:marBottom w:val="0"/>
      <w:divBdr>
        <w:top w:val="none" w:sz="0" w:space="0" w:color="auto"/>
        <w:left w:val="none" w:sz="0" w:space="0" w:color="auto"/>
        <w:bottom w:val="none" w:sz="0" w:space="0" w:color="auto"/>
        <w:right w:val="none" w:sz="0" w:space="0" w:color="auto"/>
      </w:divBdr>
    </w:div>
    <w:div w:id="504051293">
      <w:bodyDiv w:val="1"/>
      <w:marLeft w:val="0"/>
      <w:marRight w:val="0"/>
      <w:marTop w:val="0"/>
      <w:marBottom w:val="0"/>
      <w:divBdr>
        <w:top w:val="none" w:sz="0" w:space="0" w:color="auto"/>
        <w:left w:val="none" w:sz="0" w:space="0" w:color="auto"/>
        <w:bottom w:val="none" w:sz="0" w:space="0" w:color="auto"/>
        <w:right w:val="none" w:sz="0" w:space="0" w:color="auto"/>
      </w:divBdr>
    </w:div>
    <w:div w:id="515849944">
      <w:bodyDiv w:val="1"/>
      <w:marLeft w:val="0"/>
      <w:marRight w:val="0"/>
      <w:marTop w:val="0"/>
      <w:marBottom w:val="0"/>
      <w:divBdr>
        <w:top w:val="none" w:sz="0" w:space="0" w:color="auto"/>
        <w:left w:val="none" w:sz="0" w:space="0" w:color="auto"/>
        <w:bottom w:val="none" w:sz="0" w:space="0" w:color="auto"/>
        <w:right w:val="none" w:sz="0" w:space="0" w:color="auto"/>
      </w:divBdr>
    </w:div>
    <w:div w:id="516776098">
      <w:bodyDiv w:val="1"/>
      <w:marLeft w:val="0"/>
      <w:marRight w:val="0"/>
      <w:marTop w:val="0"/>
      <w:marBottom w:val="0"/>
      <w:divBdr>
        <w:top w:val="none" w:sz="0" w:space="0" w:color="auto"/>
        <w:left w:val="none" w:sz="0" w:space="0" w:color="auto"/>
        <w:bottom w:val="none" w:sz="0" w:space="0" w:color="auto"/>
        <w:right w:val="none" w:sz="0" w:space="0" w:color="auto"/>
      </w:divBdr>
    </w:div>
    <w:div w:id="529103489">
      <w:bodyDiv w:val="1"/>
      <w:marLeft w:val="0"/>
      <w:marRight w:val="0"/>
      <w:marTop w:val="0"/>
      <w:marBottom w:val="0"/>
      <w:divBdr>
        <w:top w:val="none" w:sz="0" w:space="0" w:color="auto"/>
        <w:left w:val="none" w:sz="0" w:space="0" w:color="auto"/>
        <w:bottom w:val="none" w:sz="0" w:space="0" w:color="auto"/>
        <w:right w:val="none" w:sz="0" w:space="0" w:color="auto"/>
      </w:divBdr>
    </w:div>
    <w:div w:id="540628517">
      <w:bodyDiv w:val="1"/>
      <w:marLeft w:val="0"/>
      <w:marRight w:val="0"/>
      <w:marTop w:val="0"/>
      <w:marBottom w:val="0"/>
      <w:divBdr>
        <w:top w:val="none" w:sz="0" w:space="0" w:color="auto"/>
        <w:left w:val="none" w:sz="0" w:space="0" w:color="auto"/>
        <w:bottom w:val="none" w:sz="0" w:space="0" w:color="auto"/>
        <w:right w:val="none" w:sz="0" w:space="0" w:color="auto"/>
      </w:divBdr>
    </w:div>
    <w:div w:id="543102278">
      <w:bodyDiv w:val="1"/>
      <w:marLeft w:val="0"/>
      <w:marRight w:val="0"/>
      <w:marTop w:val="0"/>
      <w:marBottom w:val="0"/>
      <w:divBdr>
        <w:top w:val="none" w:sz="0" w:space="0" w:color="auto"/>
        <w:left w:val="none" w:sz="0" w:space="0" w:color="auto"/>
        <w:bottom w:val="none" w:sz="0" w:space="0" w:color="auto"/>
        <w:right w:val="none" w:sz="0" w:space="0" w:color="auto"/>
      </w:divBdr>
    </w:div>
    <w:div w:id="545333928">
      <w:bodyDiv w:val="1"/>
      <w:marLeft w:val="0"/>
      <w:marRight w:val="0"/>
      <w:marTop w:val="0"/>
      <w:marBottom w:val="0"/>
      <w:divBdr>
        <w:top w:val="none" w:sz="0" w:space="0" w:color="auto"/>
        <w:left w:val="none" w:sz="0" w:space="0" w:color="auto"/>
        <w:bottom w:val="none" w:sz="0" w:space="0" w:color="auto"/>
        <w:right w:val="none" w:sz="0" w:space="0" w:color="auto"/>
      </w:divBdr>
    </w:div>
    <w:div w:id="555818947">
      <w:bodyDiv w:val="1"/>
      <w:marLeft w:val="0"/>
      <w:marRight w:val="0"/>
      <w:marTop w:val="0"/>
      <w:marBottom w:val="0"/>
      <w:divBdr>
        <w:top w:val="none" w:sz="0" w:space="0" w:color="auto"/>
        <w:left w:val="none" w:sz="0" w:space="0" w:color="auto"/>
        <w:bottom w:val="none" w:sz="0" w:space="0" w:color="auto"/>
        <w:right w:val="none" w:sz="0" w:space="0" w:color="auto"/>
      </w:divBdr>
    </w:div>
    <w:div w:id="558324082">
      <w:bodyDiv w:val="1"/>
      <w:marLeft w:val="0"/>
      <w:marRight w:val="0"/>
      <w:marTop w:val="0"/>
      <w:marBottom w:val="0"/>
      <w:divBdr>
        <w:top w:val="none" w:sz="0" w:space="0" w:color="auto"/>
        <w:left w:val="none" w:sz="0" w:space="0" w:color="auto"/>
        <w:bottom w:val="none" w:sz="0" w:space="0" w:color="auto"/>
        <w:right w:val="none" w:sz="0" w:space="0" w:color="auto"/>
      </w:divBdr>
      <w:divsChild>
        <w:div w:id="1825655999">
          <w:marLeft w:val="0"/>
          <w:marRight w:val="0"/>
          <w:marTop w:val="0"/>
          <w:marBottom w:val="0"/>
          <w:divBdr>
            <w:top w:val="none" w:sz="0" w:space="0" w:color="auto"/>
            <w:left w:val="none" w:sz="0" w:space="0" w:color="auto"/>
            <w:bottom w:val="none" w:sz="0" w:space="0" w:color="auto"/>
            <w:right w:val="none" w:sz="0" w:space="0" w:color="auto"/>
          </w:divBdr>
          <w:divsChild>
            <w:div w:id="1061563625">
              <w:marLeft w:val="-75"/>
              <w:marRight w:val="0"/>
              <w:marTop w:val="30"/>
              <w:marBottom w:val="30"/>
              <w:divBdr>
                <w:top w:val="none" w:sz="0" w:space="0" w:color="auto"/>
                <w:left w:val="none" w:sz="0" w:space="0" w:color="auto"/>
                <w:bottom w:val="none" w:sz="0" w:space="0" w:color="auto"/>
                <w:right w:val="none" w:sz="0" w:space="0" w:color="auto"/>
              </w:divBdr>
              <w:divsChild>
                <w:div w:id="1254321283">
                  <w:marLeft w:val="0"/>
                  <w:marRight w:val="0"/>
                  <w:marTop w:val="0"/>
                  <w:marBottom w:val="0"/>
                  <w:divBdr>
                    <w:top w:val="none" w:sz="0" w:space="0" w:color="auto"/>
                    <w:left w:val="none" w:sz="0" w:space="0" w:color="auto"/>
                    <w:bottom w:val="none" w:sz="0" w:space="0" w:color="auto"/>
                    <w:right w:val="none" w:sz="0" w:space="0" w:color="auto"/>
                  </w:divBdr>
                  <w:divsChild>
                    <w:div w:id="2512961">
                      <w:marLeft w:val="0"/>
                      <w:marRight w:val="0"/>
                      <w:marTop w:val="0"/>
                      <w:marBottom w:val="0"/>
                      <w:divBdr>
                        <w:top w:val="none" w:sz="0" w:space="0" w:color="auto"/>
                        <w:left w:val="none" w:sz="0" w:space="0" w:color="auto"/>
                        <w:bottom w:val="none" w:sz="0" w:space="0" w:color="auto"/>
                        <w:right w:val="none" w:sz="0" w:space="0" w:color="auto"/>
                      </w:divBdr>
                    </w:div>
                  </w:divsChild>
                </w:div>
                <w:div w:id="1583294992">
                  <w:marLeft w:val="0"/>
                  <w:marRight w:val="0"/>
                  <w:marTop w:val="0"/>
                  <w:marBottom w:val="0"/>
                  <w:divBdr>
                    <w:top w:val="none" w:sz="0" w:space="0" w:color="auto"/>
                    <w:left w:val="none" w:sz="0" w:space="0" w:color="auto"/>
                    <w:bottom w:val="none" w:sz="0" w:space="0" w:color="auto"/>
                    <w:right w:val="none" w:sz="0" w:space="0" w:color="auto"/>
                  </w:divBdr>
                  <w:divsChild>
                    <w:div w:id="4987131">
                      <w:marLeft w:val="0"/>
                      <w:marRight w:val="0"/>
                      <w:marTop w:val="0"/>
                      <w:marBottom w:val="0"/>
                      <w:divBdr>
                        <w:top w:val="none" w:sz="0" w:space="0" w:color="auto"/>
                        <w:left w:val="none" w:sz="0" w:space="0" w:color="auto"/>
                        <w:bottom w:val="none" w:sz="0" w:space="0" w:color="auto"/>
                        <w:right w:val="none" w:sz="0" w:space="0" w:color="auto"/>
                      </w:divBdr>
                    </w:div>
                  </w:divsChild>
                </w:div>
                <w:div w:id="79447148">
                  <w:marLeft w:val="0"/>
                  <w:marRight w:val="0"/>
                  <w:marTop w:val="0"/>
                  <w:marBottom w:val="0"/>
                  <w:divBdr>
                    <w:top w:val="none" w:sz="0" w:space="0" w:color="auto"/>
                    <w:left w:val="none" w:sz="0" w:space="0" w:color="auto"/>
                    <w:bottom w:val="none" w:sz="0" w:space="0" w:color="auto"/>
                    <w:right w:val="none" w:sz="0" w:space="0" w:color="auto"/>
                  </w:divBdr>
                  <w:divsChild>
                    <w:div w:id="147215082">
                      <w:marLeft w:val="0"/>
                      <w:marRight w:val="0"/>
                      <w:marTop w:val="0"/>
                      <w:marBottom w:val="0"/>
                      <w:divBdr>
                        <w:top w:val="none" w:sz="0" w:space="0" w:color="auto"/>
                        <w:left w:val="none" w:sz="0" w:space="0" w:color="auto"/>
                        <w:bottom w:val="none" w:sz="0" w:space="0" w:color="auto"/>
                        <w:right w:val="none" w:sz="0" w:space="0" w:color="auto"/>
                      </w:divBdr>
                    </w:div>
                  </w:divsChild>
                </w:div>
                <w:div w:id="106195942">
                  <w:marLeft w:val="0"/>
                  <w:marRight w:val="0"/>
                  <w:marTop w:val="0"/>
                  <w:marBottom w:val="0"/>
                  <w:divBdr>
                    <w:top w:val="none" w:sz="0" w:space="0" w:color="auto"/>
                    <w:left w:val="none" w:sz="0" w:space="0" w:color="auto"/>
                    <w:bottom w:val="none" w:sz="0" w:space="0" w:color="auto"/>
                    <w:right w:val="none" w:sz="0" w:space="0" w:color="auto"/>
                  </w:divBdr>
                  <w:divsChild>
                    <w:div w:id="1171021110">
                      <w:marLeft w:val="0"/>
                      <w:marRight w:val="0"/>
                      <w:marTop w:val="0"/>
                      <w:marBottom w:val="0"/>
                      <w:divBdr>
                        <w:top w:val="none" w:sz="0" w:space="0" w:color="auto"/>
                        <w:left w:val="none" w:sz="0" w:space="0" w:color="auto"/>
                        <w:bottom w:val="none" w:sz="0" w:space="0" w:color="auto"/>
                        <w:right w:val="none" w:sz="0" w:space="0" w:color="auto"/>
                      </w:divBdr>
                    </w:div>
                  </w:divsChild>
                </w:div>
                <w:div w:id="1164199568">
                  <w:marLeft w:val="0"/>
                  <w:marRight w:val="0"/>
                  <w:marTop w:val="0"/>
                  <w:marBottom w:val="0"/>
                  <w:divBdr>
                    <w:top w:val="none" w:sz="0" w:space="0" w:color="auto"/>
                    <w:left w:val="none" w:sz="0" w:space="0" w:color="auto"/>
                    <w:bottom w:val="none" w:sz="0" w:space="0" w:color="auto"/>
                    <w:right w:val="none" w:sz="0" w:space="0" w:color="auto"/>
                  </w:divBdr>
                  <w:divsChild>
                    <w:div w:id="117140262">
                      <w:marLeft w:val="0"/>
                      <w:marRight w:val="0"/>
                      <w:marTop w:val="0"/>
                      <w:marBottom w:val="0"/>
                      <w:divBdr>
                        <w:top w:val="none" w:sz="0" w:space="0" w:color="auto"/>
                        <w:left w:val="none" w:sz="0" w:space="0" w:color="auto"/>
                        <w:bottom w:val="none" w:sz="0" w:space="0" w:color="auto"/>
                        <w:right w:val="none" w:sz="0" w:space="0" w:color="auto"/>
                      </w:divBdr>
                    </w:div>
                  </w:divsChild>
                </w:div>
                <w:div w:id="125860915">
                  <w:marLeft w:val="0"/>
                  <w:marRight w:val="0"/>
                  <w:marTop w:val="0"/>
                  <w:marBottom w:val="0"/>
                  <w:divBdr>
                    <w:top w:val="none" w:sz="0" w:space="0" w:color="auto"/>
                    <w:left w:val="none" w:sz="0" w:space="0" w:color="auto"/>
                    <w:bottom w:val="none" w:sz="0" w:space="0" w:color="auto"/>
                    <w:right w:val="none" w:sz="0" w:space="0" w:color="auto"/>
                  </w:divBdr>
                  <w:divsChild>
                    <w:div w:id="1247036578">
                      <w:marLeft w:val="0"/>
                      <w:marRight w:val="0"/>
                      <w:marTop w:val="0"/>
                      <w:marBottom w:val="0"/>
                      <w:divBdr>
                        <w:top w:val="none" w:sz="0" w:space="0" w:color="auto"/>
                        <w:left w:val="none" w:sz="0" w:space="0" w:color="auto"/>
                        <w:bottom w:val="none" w:sz="0" w:space="0" w:color="auto"/>
                        <w:right w:val="none" w:sz="0" w:space="0" w:color="auto"/>
                      </w:divBdr>
                    </w:div>
                  </w:divsChild>
                </w:div>
                <w:div w:id="139544317">
                  <w:marLeft w:val="0"/>
                  <w:marRight w:val="0"/>
                  <w:marTop w:val="0"/>
                  <w:marBottom w:val="0"/>
                  <w:divBdr>
                    <w:top w:val="none" w:sz="0" w:space="0" w:color="auto"/>
                    <w:left w:val="none" w:sz="0" w:space="0" w:color="auto"/>
                    <w:bottom w:val="none" w:sz="0" w:space="0" w:color="auto"/>
                    <w:right w:val="none" w:sz="0" w:space="0" w:color="auto"/>
                  </w:divBdr>
                  <w:divsChild>
                    <w:div w:id="1346323271">
                      <w:marLeft w:val="0"/>
                      <w:marRight w:val="0"/>
                      <w:marTop w:val="0"/>
                      <w:marBottom w:val="0"/>
                      <w:divBdr>
                        <w:top w:val="none" w:sz="0" w:space="0" w:color="auto"/>
                        <w:left w:val="none" w:sz="0" w:space="0" w:color="auto"/>
                        <w:bottom w:val="none" w:sz="0" w:space="0" w:color="auto"/>
                        <w:right w:val="none" w:sz="0" w:space="0" w:color="auto"/>
                      </w:divBdr>
                    </w:div>
                  </w:divsChild>
                </w:div>
                <w:div w:id="1070153541">
                  <w:marLeft w:val="0"/>
                  <w:marRight w:val="0"/>
                  <w:marTop w:val="0"/>
                  <w:marBottom w:val="0"/>
                  <w:divBdr>
                    <w:top w:val="none" w:sz="0" w:space="0" w:color="auto"/>
                    <w:left w:val="none" w:sz="0" w:space="0" w:color="auto"/>
                    <w:bottom w:val="none" w:sz="0" w:space="0" w:color="auto"/>
                    <w:right w:val="none" w:sz="0" w:space="0" w:color="auto"/>
                  </w:divBdr>
                  <w:divsChild>
                    <w:div w:id="242838470">
                      <w:marLeft w:val="0"/>
                      <w:marRight w:val="0"/>
                      <w:marTop w:val="0"/>
                      <w:marBottom w:val="0"/>
                      <w:divBdr>
                        <w:top w:val="none" w:sz="0" w:space="0" w:color="auto"/>
                        <w:left w:val="none" w:sz="0" w:space="0" w:color="auto"/>
                        <w:bottom w:val="none" w:sz="0" w:space="0" w:color="auto"/>
                        <w:right w:val="none" w:sz="0" w:space="0" w:color="auto"/>
                      </w:divBdr>
                    </w:div>
                    <w:div w:id="401367477">
                      <w:marLeft w:val="0"/>
                      <w:marRight w:val="0"/>
                      <w:marTop w:val="0"/>
                      <w:marBottom w:val="0"/>
                      <w:divBdr>
                        <w:top w:val="none" w:sz="0" w:space="0" w:color="auto"/>
                        <w:left w:val="none" w:sz="0" w:space="0" w:color="auto"/>
                        <w:bottom w:val="none" w:sz="0" w:space="0" w:color="auto"/>
                        <w:right w:val="none" w:sz="0" w:space="0" w:color="auto"/>
                      </w:divBdr>
                    </w:div>
                  </w:divsChild>
                </w:div>
                <w:div w:id="1205829216">
                  <w:marLeft w:val="0"/>
                  <w:marRight w:val="0"/>
                  <w:marTop w:val="0"/>
                  <w:marBottom w:val="0"/>
                  <w:divBdr>
                    <w:top w:val="none" w:sz="0" w:space="0" w:color="auto"/>
                    <w:left w:val="none" w:sz="0" w:space="0" w:color="auto"/>
                    <w:bottom w:val="none" w:sz="0" w:space="0" w:color="auto"/>
                    <w:right w:val="none" w:sz="0" w:space="0" w:color="auto"/>
                  </w:divBdr>
                  <w:divsChild>
                    <w:div w:id="243877131">
                      <w:marLeft w:val="0"/>
                      <w:marRight w:val="0"/>
                      <w:marTop w:val="0"/>
                      <w:marBottom w:val="0"/>
                      <w:divBdr>
                        <w:top w:val="none" w:sz="0" w:space="0" w:color="auto"/>
                        <w:left w:val="none" w:sz="0" w:space="0" w:color="auto"/>
                        <w:bottom w:val="none" w:sz="0" w:space="0" w:color="auto"/>
                        <w:right w:val="none" w:sz="0" w:space="0" w:color="auto"/>
                      </w:divBdr>
                    </w:div>
                  </w:divsChild>
                </w:div>
                <w:div w:id="267012378">
                  <w:marLeft w:val="0"/>
                  <w:marRight w:val="0"/>
                  <w:marTop w:val="0"/>
                  <w:marBottom w:val="0"/>
                  <w:divBdr>
                    <w:top w:val="none" w:sz="0" w:space="0" w:color="auto"/>
                    <w:left w:val="none" w:sz="0" w:space="0" w:color="auto"/>
                    <w:bottom w:val="none" w:sz="0" w:space="0" w:color="auto"/>
                    <w:right w:val="none" w:sz="0" w:space="0" w:color="auto"/>
                  </w:divBdr>
                  <w:divsChild>
                    <w:div w:id="883978699">
                      <w:marLeft w:val="0"/>
                      <w:marRight w:val="0"/>
                      <w:marTop w:val="0"/>
                      <w:marBottom w:val="0"/>
                      <w:divBdr>
                        <w:top w:val="none" w:sz="0" w:space="0" w:color="auto"/>
                        <w:left w:val="none" w:sz="0" w:space="0" w:color="auto"/>
                        <w:bottom w:val="none" w:sz="0" w:space="0" w:color="auto"/>
                        <w:right w:val="none" w:sz="0" w:space="0" w:color="auto"/>
                      </w:divBdr>
                    </w:div>
                  </w:divsChild>
                </w:div>
                <w:div w:id="824590878">
                  <w:marLeft w:val="0"/>
                  <w:marRight w:val="0"/>
                  <w:marTop w:val="0"/>
                  <w:marBottom w:val="0"/>
                  <w:divBdr>
                    <w:top w:val="none" w:sz="0" w:space="0" w:color="auto"/>
                    <w:left w:val="none" w:sz="0" w:space="0" w:color="auto"/>
                    <w:bottom w:val="none" w:sz="0" w:space="0" w:color="auto"/>
                    <w:right w:val="none" w:sz="0" w:space="0" w:color="auto"/>
                  </w:divBdr>
                  <w:divsChild>
                    <w:div w:id="604461612">
                      <w:marLeft w:val="0"/>
                      <w:marRight w:val="0"/>
                      <w:marTop w:val="0"/>
                      <w:marBottom w:val="0"/>
                      <w:divBdr>
                        <w:top w:val="none" w:sz="0" w:space="0" w:color="auto"/>
                        <w:left w:val="none" w:sz="0" w:space="0" w:color="auto"/>
                        <w:bottom w:val="none" w:sz="0" w:space="0" w:color="auto"/>
                        <w:right w:val="none" w:sz="0" w:space="0" w:color="auto"/>
                      </w:divBdr>
                    </w:div>
                    <w:div w:id="2058045583">
                      <w:marLeft w:val="0"/>
                      <w:marRight w:val="0"/>
                      <w:marTop w:val="0"/>
                      <w:marBottom w:val="0"/>
                      <w:divBdr>
                        <w:top w:val="none" w:sz="0" w:space="0" w:color="auto"/>
                        <w:left w:val="none" w:sz="0" w:space="0" w:color="auto"/>
                        <w:bottom w:val="none" w:sz="0" w:space="0" w:color="auto"/>
                        <w:right w:val="none" w:sz="0" w:space="0" w:color="auto"/>
                      </w:divBdr>
                    </w:div>
                  </w:divsChild>
                </w:div>
                <w:div w:id="1947692850">
                  <w:marLeft w:val="0"/>
                  <w:marRight w:val="0"/>
                  <w:marTop w:val="0"/>
                  <w:marBottom w:val="0"/>
                  <w:divBdr>
                    <w:top w:val="none" w:sz="0" w:space="0" w:color="auto"/>
                    <w:left w:val="none" w:sz="0" w:space="0" w:color="auto"/>
                    <w:bottom w:val="none" w:sz="0" w:space="0" w:color="auto"/>
                    <w:right w:val="none" w:sz="0" w:space="0" w:color="auto"/>
                  </w:divBdr>
                  <w:divsChild>
                    <w:div w:id="633025216">
                      <w:marLeft w:val="0"/>
                      <w:marRight w:val="0"/>
                      <w:marTop w:val="0"/>
                      <w:marBottom w:val="0"/>
                      <w:divBdr>
                        <w:top w:val="none" w:sz="0" w:space="0" w:color="auto"/>
                        <w:left w:val="none" w:sz="0" w:space="0" w:color="auto"/>
                        <w:bottom w:val="none" w:sz="0" w:space="0" w:color="auto"/>
                        <w:right w:val="none" w:sz="0" w:space="0" w:color="auto"/>
                      </w:divBdr>
                    </w:div>
                  </w:divsChild>
                </w:div>
                <w:div w:id="700789475">
                  <w:marLeft w:val="0"/>
                  <w:marRight w:val="0"/>
                  <w:marTop w:val="0"/>
                  <w:marBottom w:val="0"/>
                  <w:divBdr>
                    <w:top w:val="none" w:sz="0" w:space="0" w:color="auto"/>
                    <w:left w:val="none" w:sz="0" w:space="0" w:color="auto"/>
                    <w:bottom w:val="none" w:sz="0" w:space="0" w:color="auto"/>
                    <w:right w:val="none" w:sz="0" w:space="0" w:color="auto"/>
                  </w:divBdr>
                  <w:divsChild>
                    <w:div w:id="1443500428">
                      <w:marLeft w:val="0"/>
                      <w:marRight w:val="0"/>
                      <w:marTop w:val="0"/>
                      <w:marBottom w:val="0"/>
                      <w:divBdr>
                        <w:top w:val="none" w:sz="0" w:space="0" w:color="auto"/>
                        <w:left w:val="none" w:sz="0" w:space="0" w:color="auto"/>
                        <w:bottom w:val="none" w:sz="0" w:space="0" w:color="auto"/>
                        <w:right w:val="none" w:sz="0" w:space="0" w:color="auto"/>
                      </w:divBdr>
                    </w:div>
                  </w:divsChild>
                </w:div>
                <w:div w:id="797576195">
                  <w:marLeft w:val="0"/>
                  <w:marRight w:val="0"/>
                  <w:marTop w:val="0"/>
                  <w:marBottom w:val="0"/>
                  <w:divBdr>
                    <w:top w:val="none" w:sz="0" w:space="0" w:color="auto"/>
                    <w:left w:val="none" w:sz="0" w:space="0" w:color="auto"/>
                    <w:bottom w:val="none" w:sz="0" w:space="0" w:color="auto"/>
                    <w:right w:val="none" w:sz="0" w:space="0" w:color="auto"/>
                  </w:divBdr>
                  <w:divsChild>
                    <w:div w:id="1837723083">
                      <w:marLeft w:val="0"/>
                      <w:marRight w:val="0"/>
                      <w:marTop w:val="0"/>
                      <w:marBottom w:val="0"/>
                      <w:divBdr>
                        <w:top w:val="none" w:sz="0" w:space="0" w:color="auto"/>
                        <w:left w:val="none" w:sz="0" w:space="0" w:color="auto"/>
                        <w:bottom w:val="none" w:sz="0" w:space="0" w:color="auto"/>
                        <w:right w:val="none" w:sz="0" w:space="0" w:color="auto"/>
                      </w:divBdr>
                    </w:div>
                  </w:divsChild>
                </w:div>
                <w:div w:id="848299611">
                  <w:marLeft w:val="0"/>
                  <w:marRight w:val="0"/>
                  <w:marTop w:val="0"/>
                  <w:marBottom w:val="0"/>
                  <w:divBdr>
                    <w:top w:val="none" w:sz="0" w:space="0" w:color="auto"/>
                    <w:left w:val="none" w:sz="0" w:space="0" w:color="auto"/>
                    <w:bottom w:val="none" w:sz="0" w:space="0" w:color="auto"/>
                    <w:right w:val="none" w:sz="0" w:space="0" w:color="auto"/>
                  </w:divBdr>
                  <w:divsChild>
                    <w:div w:id="1266035633">
                      <w:marLeft w:val="0"/>
                      <w:marRight w:val="0"/>
                      <w:marTop w:val="0"/>
                      <w:marBottom w:val="0"/>
                      <w:divBdr>
                        <w:top w:val="none" w:sz="0" w:space="0" w:color="auto"/>
                        <w:left w:val="none" w:sz="0" w:space="0" w:color="auto"/>
                        <w:bottom w:val="none" w:sz="0" w:space="0" w:color="auto"/>
                        <w:right w:val="none" w:sz="0" w:space="0" w:color="auto"/>
                      </w:divBdr>
                    </w:div>
                  </w:divsChild>
                </w:div>
                <w:div w:id="1546914483">
                  <w:marLeft w:val="0"/>
                  <w:marRight w:val="0"/>
                  <w:marTop w:val="0"/>
                  <w:marBottom w:val="0"/>
                  <w:divBdr>
                    <w:top w:val="none" w:sz="0" w:space="0" w:color="auto"/>
                    <w:left w:val="none" w:sz="0" w:space="0" w:color="auto"/>
                    <w:bottom w:val="none" w:sz="0" w:space="0" w:color="auto"/>
                    <w:right w:val="none" w:sz="0" w:space="0" w:color="auto"/>
                  </w:divBdr>
                  <w:divsChild>
                    <w:div w:id="972755915">
                      <w:marLeft w:val="0"/>
                      <w:marRight w:val="0"/>
                      <w:marTop w:val="0"/>
                      <w:marBottom w:val="0"/>
                      <w:divBdr>
                        <w:top w:val="none" w:sz="0" w:space="0" w:color="auto"/>
                        <w:left w:val="none" w:sz="0" w:space="0" w:color="auto"/>
                        <w:bottom w:val="none" w:sz="0" w:space="0" w:color="auto"/>
                        <w:right w:val="none" w:sz="0" w:space="0" w:color="auto"/>
                      </w:divBdr>
                    </w:div>
                  </w:divsChild>
                </w:div>
                <w:div w:id="1624116581">
                  <w:marLeft w:val="0"/>
                  <w:marRight w:val="0"/>
                  <w:marTop w:val="0"/>
                  <w:marBottom w:val="0"/>
                  <w:divBdr>
                    <w:top w:val="none" w:sz="0" w:space="0" w:color="auto"/>
                    <w:left w:val="none" w:sz="0" w:space="0" w:color="auto"/>
                    <w:bottom w:val="none" w:sz="0" w:space="0" w:color="auto"/>
                    <w:right w:val="none" w:sz="0" w:space="0" w:color="auto"/>
                  </w:divBdr>
                  <w:divsChild>
                    <w:div w:id="1395856221">
                      <w:marLeft w:val="0"/>
                      <w:marRight w:val="0"/>
                      <w:marTop w:val="0"/>
                      <w:marBottom w:val="0"/>
                      <w:divBdr>
                        <w:top w:val="none" w:sz="0" w:space="0" w:color="auto"/>
                        <w:left w:val="none" w:sz="0" w:space="0" w:color="auto"/>
                        <w:bottom w:val="none" w:sz="0" w:space="0" w:color="auto"/>
                        <w:right w:val="none" w:sz="0" w:space="0" w:color="auto"/>
                      </w:divBdr>
                    </w:div>
                  </w:divsChild>
                </w:div>
                <w:div w:id="1442414094">
                  <w:marLeft w:val="0"/>
                  <w:marRight w:val="0"/>
                  <w:marTop w:val="0"/>
                  <w:marBottom w:val="0"/>
                  <w:divBdr>
                    <w:top w:val="none" w:sz="0" w:space="0" w:color="auto"/>
                    <w:left w:val="none" w:sz="0" w:space="0" w:color="auto"/>
                    <w:bottom w:val="none" w:sz="0" w:space="0" w:color="auto"/>
                    <w:right w:val="none" w:sz="0" w:space="0" w:color="auto"/>
                  </w:divBdr>
                  <w:divsChild>
                    <w:div w:id="1897087727">
                      <w:marLeft w:val="0"/>
                      <w:marRight w:val="0"/>
                      <w:marTop w:val="0"/>
                      <w:marBottom w:val="0"/>
                      <w:divBdr>
                        <w:top w:val="none" w:sz="0" w:space="0" w:color="auto"/>
                        <w:left w:val="none" w:sz="0" w:space="0" w:color="auto"/>
                        <w:bottom w:val="none" w:sz="0" w:space="0" w:color="auto"/>
                        <w:right w:val="none" w:sz="0" w:space="0" w:color="auto"/>
                      </w:divBdr>
                    </w:div>
                  </w:divsChild>
                </w:div>
                <w:div w:id="1488746837">
                  <w:marLeft w:val="0"/>
                  <w:marRight w:val="0"/>
                  <w:marTop w:val="0"/>
                  <w:marBottom w:val="0"/>
                  <w:divBdr>
                    <w:top w:val="none" w:sz="0" w:space="0" w:color="auto"/>
                    <w:left w:val="none" w:sz="0" w:space="0" w:color="auto"/>
                    <w:bottom w:val="none" w:sz="0" w:space="0" w:color="auto"/>
                    <w:right w:val="none" w:sz="0" w:space="0" w:color="auto"/>
                  </w:divBdr>
                  <w:divsChild>
                    <w:div w:id="1948926009">
                      <w:marLeft w:val="0"/>
                      <w:marRight w:val="0"/>
                      <w:marTop w:val="0"/>
                      <w:marBottom w:val="0"/>
                      <w:divBdr>
                        <w:top w:val="none" w:sz="0" w:space="0" w:color="auto"/>
                        <w:left w:val="none" w:sz="0" w:space="0" w:color="auto"/>
                        <w:bottom w:val="none" w:sz="0" w:space="0" w:color="auto"/>
                        <w:right w:val="none" w:sz="0" w:space="0" w:color="auto"/>
                      </w:divBdr>
                    </w:div>
                  </w:divsChild>
                </w:div>
                <w:div w:id="1988779146">
                  <w:marLeft w:val="0"/>
                  <w:marRight w:val="0"/>
                  <w:marTop w:val="0"/>
                  <w:marBottom w:val="0"/>
                  <w:divBdr>
                    <w:top w:val="none" w:sz="0" w:space="0" w:color="auto"/>
                    <w:left w:val="none" w:sz="0" w:space="0" w:color="auto"/>
                    <w:bottom w:val="none" w:sz="0" w:space="0" w:color="auto"/>
                    <w:right w:val="none" w:sz="0" w:space="0" w:color="auto"/>
                  </w:divBdr>
                  <w:divsChild>
                    <w:div w:id="1594699128">
                      <w:marLeft w:val="0"/>
                      <w:marRight w:val="0"/>
                      <w:marTop w:val="0"/>
                      <w:marBottom w:val="0"/>
                      <w:divBdr>
                        <w:top w:val="none" w:sz="0" w:space="0" w:color="auto"/>
                        <w:left w:val="none" w:sz="0" w:space="0" w:color="auto"/>
                        <w:bottom w:val="none" w:sz="0" w:space="0" w:color="auto"/>
                        <w:right w:val="none" w:sz="0" w:space="0" w:color="auto"/>
                      </w:divBdr>
                    </w:div>
                  </w:divsChild>
                </w:div>
                <w:div w:id="2050566078">
                  <w:marLeft w:val="0"/>
                  <w:marRight w:val="0"/>
                  <w:marTop w:val="0"/>
                  <w:marBottom w:val="0"/>
                  <w:divBdr>
                    <w:top w:val="none" w:sz="0" w:space="0" w:color="auto"/>
                    <w:left w:val="none" w:sz="0" w:space="0" w:color="auto"/>
                    <w:bottom w:val="none" w:sz="0" w:space="0" w:color="auto"/>
                    <w:right w:val="none" w:sz="0" w:space="0" w:color="auto"/>
                  </w:divBdr>
                  <w:divsChild>
                    <w:div w:id="205823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615992">
          <w:marLeft w:val="0"/>
          <w:marRight w:val="0"/>
          <w:marTop w:val="0"/>
          <w:marBottom w:val="0"/>
          <w:divBdr>
            <w:top w:val="none" w:sz="0" w:space="0" w:color="auto"/>
            <w:left w:val="none" w:sz="0" w:space="0" w:color="auto"/>
            <w:bottom w:val="none" w:sz="0" w:space="0" w:color="auto"/>
            <w:right w:val="none" w:sz="0" w:space="0" w:color="auto"/>
          </w:divBdr>
          <w:divsChild>
            <w:div w:id="757946546">
              <w:marLeft w:val="-75"/>
              <w:marRight w:val="0"/>
              <w:marTop w:val="30"/>
              <w:marBottom w:val="30"/>
              <w:divBdr>
                <w:top w:val="none" w:sz="0" w:space="0" w:color="auto"/>
                <w:left w:val="none" w:sz="0" w:space="0" w:color="auto"/>
                <w:bottom w:val="none" w:sz="0" w:space="0" w:color="auto"/>
                <w:right w:val="none" w:sz="0" w:space="0" w:color="auto"/>
              </w:divBdr>
              <w:divsChild>
                <w:div w:id="105126959">
                  <w:marLeft w:val="0"/>
                  <w:marRight w:val="0"/>
                  <w:marTop w:val="0"/>
                  <w:marBottom w:val="0"/>
                  <w:divBdr>
                    <w:top w:val="none" w:sz="0" w:space="0" w:color="auto"/>
                    <w:left w:val="none" w:sz="0" w:space="0" w:color="auto"/>
                    <w:bottom w:val="none" w:sz="0" w:space="0" w:color="auto"/>
                    <w:right w:val="none" w:sz="0" w:space="0" w:color="auto"/>
                  </w:divBdr>
                  <w:divsChild>
                    <w:div w:id="10180614">
                      <w:marLeft w:val="0"/>
                      <w:marRight w:val="0"/>
                      <w:marTop w:val="0"/>
                      <w:marBottom w:val="0"/>
                      <w:divBdr>
                        <w:top w:val="none" w:sz="0" w:space="0" w:color="auto"/>
                        <w:left w:val="none" w:sz="0" w:space="0" w:color="auto"/>
                        <w:bottom w:val="none" w:sz="0" w:space="0" w:color="auto"/>
                        <w:right w:val="none" w:sz="0" w:space="0" w:color="auto"/>
                      </w:divBdr>
                    </w:div>
                  </w:divsChild>
                </w:div>
                <w:div w:id="1123619971">
                  <w:marLeft w:val="0"/>
                  <w:marRight w:val="0"/>
                  <w:marTop w:val="0"/>
                  <w:marBottom w:val="0"/>
                  <w:divBdr>
                    <w:top w:val="none" w:sz="0" w:space="0" w:color="auto"/>
                    <w:left w:val="none" w:sz="0" w:space="0" w:color="auto"/>
                    <w:bottom w:val="none" w:sz="0" w:space="0" w:color="auto"/>
                    <w:right w:val="none" w:sz="0" w:space="0" w:color="auto"/>
                  </w:divBdr>
                  <w:divsChild>
                    <w:div w:id="27223939">
                      <w:marLeft w:val="0"/>
                      <w:marRight w:val="0"/>
                      <w:marTop w:val="0"/>
                      <w:marBottom w:val="0"/>
                      <w:divBdr>
                        <w:top w:val="none" w:sz="0" w:space="0" w:color="auto"/>
                        <w:left w:val="none" w:sz="0" w:space="0" w:color="auto"/>
                        <w:bottom w:val="none" w:sz="0" w:space="0" w:color="auto"/>
                        <w:right w:val="none" w:sz="0" w:space="0" w:color="auto"/>
                      </w:divBdr>
                    </w:div>
                  </w:divsChild>
                </w:div>
                <w:div w:id="813643715">
                  <w:marLeft w:val="0"/>
                  <w:marRight w:val="0"/>
                  <w:marTop w:val="0"/>
                  <w:marBottom w:val="0"/>
                  <w:divBdr>
                    <w:top w:val="none" w:sz="0" w:space="0" w:color="auto"/>
                    <w:left w:val="none" w:sz="0" w:space="0" w:color="auto"/>
                    <w:bottom w:val="none" w:sz="0" w:space="0" w:color="auto"/>
                    <w:right w:val="none" w:sz="0" w:space="0" w:color="auto"/>
                  </w:divBdr>
                  <w:divsChild>
                    <w:div w:id="71240262">
                      <w:marLeft w:val="0"/>
                      <w:marRight w:val="0"/>
                      <w:marTop w:val="0"/>
                      <w:marBottom w:val="0"/>
                      <w:divBdr>
                        <w:top w:val="none" w:sz="0" w:space="0" w:color="auto"/>
                        <w:left w:val="none" w:sz="0" w:space="0" w:color="auto"/>
                        <w:bottom w:val="none" w:sz="0" w:space="0" w:color="auto"/>
                        <w:right w:val="none" w:sz="0" w:space="0" w:color="auto"/>
                      </w:divBdr>
                    </w:div>
                    <w:div w:id="1698696847">
                      <w:marLeft w:val="0"/>
                      <w:marRight w:val="0"/>
                      <w:marTop w:val="0"/>
                      <w:marBottom w:val="0"/>
                      <w:divBdr>
                        <w:top w:val="none" w:sz="0" w:space="0" w:color="auto"/>
                        <w:left w:val="none" w:sz="0" w:space="0" w:color="auto"/>
                        <w:bottom w:val="none" w:sz="0" w:space="0" w:color="auto"/>
                        <w:right w:val="none" w:sz="0" w:space="0" w:color="auto"/>
                      </w:divBdr>
                    </w:div>
                  </w:divsChild>
                </w:div>
                <w:div w:id="78524609">
                  <w:marLeft w:val="0"/>
                  <w:marRight w:val="0"/>
                  <w:marTop w:val="0"/>
                  <w:marBottom w:val="0"/>
                  <w:divBdr>
                    <w:top w:val="none" w:sz="0" w:space="0" w:color="auto"/>
                    <w:left w:val="none" w:sz="0" w:space="0" w:color="auto"/>
                    <w:bottom w:val="none" w:sz="0" w:space="0" w:color="auto"/>
                    <w:right w:val="none" w:sz="0" w:space="0" w:color="auto"/>
                  </w:divBdr>
                  <w:divsChild>
                    <w:div w:id="1473448557">
                      <w:marLeft w:val="0"/>
                      <w:marRight w:val="0"/>
                      <w:marTop w:val="0"/>
                      <w:marBottom w:val="0"/>
                      <w:divBdr>
                        <w:top w:val="none" w:sz="0" w:space="0" w:color="auto"/>
                        <w:left w:val="none" w:sz="0" w:space="0" w:color="auto"/>
                        <w:bottom w:val="none" w:sz="0" w:space="0" w:color="auto"/>
                        <w:right w:val="none" w:sz="0" w:space="0" w:color="auto"/>
                      </w:divBdr>
                    </w:div>
                  </w:divsChild>
                </w:div>
                <w:div w:id="1448962279">
                  <w:marLeft w:val="0"/>
                  <w:marRight w:val="0"/>
                  <w:marTop w:val="0"/>
                  <w:marBottom w:val="0"/>
                  <w:divBdr>
                    <w:top w:val="none" w:sz="0" w:space="0" w:color="auto"/>
                    <w:left w:val="none" w:sz="0" w:space="0" w:color="auto"/>
                    <w:bottom w:val="none" w:sz="0" w:space="0" w:color="auto"/>
                    <w:right w:val="none" w:sz="0" w:space="0" w:color="auto"/>
                  </w:divBdr>
                  <w:divsChild>
                    <w:div w:id="210964163">
                      <w:marLeft w:val="0"/>
                      <w:marRight w:val="0"/>
                      <w:marTop w:val="0"/>
                      <w:marBottom w:val="0"/>
                      <w:divBdr>
                        <w:top w:val="none" w:sz="0" w:space="0" w:color="auto"/>
                        <w:left w:val="none" w:sz="0" w:space="0" w:color="auto"/>
                        <w:bottom w:val="none" w:sz="0" w:space="0" w:color="auto"/>
                        <w:right w:val="none" w:sz="0" w:space="0" w:color="auto"/>
                      </w:divBdr>
                    </w:div>
                    <w:div w:id="1999652419">
                      <w:marLeft w:val="0"/>
                      <w:marRight w:val="0"/>
                      <w:marTop w:val="0"/>
                      <w:marBottom w:val="0"/>
                      <w:divBdr>
                        <w:top w:val="none" w:sz="0" w:space="0" w:color="auto"/>
                        <w:left w:val="none" w:sz="0" w:space="0" w:color="auto"/>
                        <w:bottom w:val="none" w:sz="0" w:space="0" w:color="auto"/>
                        <w:right w:val="none" w:sz="0" w:space="0" w:color="auto"/>
                      </w:divBdr>
                    </w:div>
                  </w:divsChild>
                </w:div>
                <w:div w:id="295842714">
                  <w:marLeft w:val="0"/>
                  <w:marRight w:val="0"/>
                  <w:marTop w:val="0"/>
                  <w:marBottom w:val="0"/>
                  <w:divBdr>
                    <w:top w:val="none" w:sz="0" w:space="0" w:color="auto"/>
                    <w:left w:val="none" w:sz="0" w:space="0" w:color="auto"/>
                    <w:bottom w:val="none" w:sz="0" w:space="0" w:color="auto"/>
                    <w:right w:val="none" w:sz="0" w:space="0" w:color="auto"/>
                  </w:divBdr>
                  <w:divsChild>
                    <w:div w:id="1453402235">
                      <w:marLeft w:val="0"/>
                      <w:marRight w:val="0"/>
                      <w:marTop w:val="0"/>
                      <w:marBottom w:val="0"/>
                      <w:divBdr>
                        <w:top w:val="none" w:sz="0" w:space="0" w:color="auto"/>
                        <w:left w:val="none" w:sz="0" w:space="0" w:color="auto"/>
                        <w:bottom w:val="none" w:sz="0" w:space="0" w:color="auto"/>
                        <w:right w:val="none" w:sz="0" w:space="0" w:color="auto"/>
                      </w:divBdr>
                    </w:div>
                    <w:div w:id="2112771267">
                      <w:marLeft w:val="0"/>
                      <w:marRight w:val="0"/>
                      <w:marTop w:val="0"/>
                      <w:marBottom w:val="0"/>
                      <w:divBdr>
                        <w:top w:val="none" w:sz="0" w:space="0" w:color="auto"/>
                        <w:left w:val="none" w:sz="0" w:space="0" w:color="auto"/>
                        <w:bottom w:val="none" w:sz="0" w:space="0" w:color="auto"/>
                        <w:right w:val="none" w:sz="0" w:space="0" w:color="auto"/>
                      </w:divBdr>
                    </w:div>
                  </w:divsChild>
                </w:div>
                <w:div w:id="357776830">
                  <w:marLeft w:val="0"/>
                  <w:marRight w:val="0"/>
                  <w:marTop w:val="0"/>
                  <w:marBottom w:val="0"/>
                  <w:divBdr>
                    <w:top w:val="none" w:sz="0" w:space="0" w:color="auto"/>
                    <w:left w:val="none" w:sz="0" w:space="0" w:color="auto"/>
                    <w:bottom w:val="none" w:sz="0" w:space="0" w:color="auto"/>
                    <w:right w:val="none" w:sz="0" w:space="0" w:color="auto"/>
                  </w:divBdr>
                  <w:divsChild>
                    <w:div w:id="1418600584">
                      <w:marLeft w:val="0"/>
                      <w:marRight w:val="0"/>
                      <w:marTop w:val="0"/>
                      <w:marBottom w:val="0"/>
                      <w:divBdr>
                        <w:top w:val="none" w:sz="0" w:space="0" w:color="auto"/>
                        <w:left w:val="none" w:sz="0" w:space="0" w:color="auto"/>
                        <w:bottom w:val="none" w:sz="0" w:space="0" w:color="auto"/>
                        <w:right w:val="none" w:sz="0" w:space="0" w:color="auto"/>
                      </w:divBdr>
                    </w:div>
                  </w:divsChild>
                </w:div>
                <w:div w:id="627901739">
                  <w:marLeft w:val="0"/>
                  <w:marRight w:val="0"/>
                  <w:marTop w:val="0"/>
                  <w:marBottom w:val="0"/>
                  <w:divBdr>
                    <w:top w:val="none" w:sz="0" w:space="0" w:color="auto"/>
                    <w:left w:val="none" w:sz="0" w:space="0" w:color="auto"/>
                    <w:bottom w:val="none" w:sz="0" w:space="0" w:color="auto"/>
                    <w:right w:val="none" w:sz="0" w:space="0" w:color="auto"/>
                  </w:divBdr>
                  <w:divsChild>
                    <w:div w:id="373509793">
                      <w:marLeft w:val="0"/>
                      <w:marRight w:val="0"/>
                      <w:marTop w:val="0"/>
                      <w:marBottom w:val="0"/>
                      <w:divBdr>
                        <w:top w:val="none" w:sz="0" w:space="0" w:color="auto"/>
                        <w:left w:val="none" w:sz="0" w:space="0" w:color="auto"/>
                        <w:bottom w:val="none" w:sz="0" w:space="0" w:color="auto"/>
                        <w:right w:val="none" w:sz="0" w:space="0" w:color="auto"/>
                      </w:divBdr>
                    </w:div>
                  </w:divsChild>
                </w:div>
                <w:div w:id="476458351">
                  <w:marLeft w:val="0"/>
                  <w:marRight w:val="0"/>
                  <w:marTop w:val="0"/>
                  <w:marBottom w:val="0"/>
                  <w:divBdr>
                    <w:top w:val="none" w:sz="0" w:space="0" w:color="auto"/>
                    <w:left w:val="none" w:sz="0" w:space="0" w:color="auto"/>
                    <w:bottom w:val="none" w:sz="0" w:space="0" w:color="auto"/>
                    <w:right w:val="none" w:sz="0" w:space="0" w:color="auto"/>
                  </w:divBdr>
                  <w:divsChild>
                    <w:div w:id="581960948">
                      <w:marLeft w:val="0"/>
                      <w:marRight w:val="0"/>
                      <w:marTop w:val="0"/>
                      <w:marBottom w:val="0"/>
                      <w:divBdr>
                        <w:top w:val="none" w:sz="0" w:space="0" w:color="auto"/>
                        <w:left w:val="none" w:sz="0" w:space="0" w:color="auto"/>
                        <w:bottom w:val="none" w:sz="0" w:space="0" w:color="auto"/>
                        <w:right w:val="none" w:sz="0" w:space="0" w:color="auto"/>
                      </w:divBdr>
                    </w:div>
                  </w:divsChild>
                </w:div>
                <w:div w:id="1420981016">
                  <w:marLeft w:val="0"/>
                  <w:marRight w:val="0"/>
                  <w:marTop w:val="0"/>
                  <w:marBottom w:val="0"/>
                  <w:divBdr>
                    <w:top w:val="none" w:sz="0" w:space="0" w:color="auto"/>
                    <w:left w:val="none" w:sz="0" w:space="0" w:color="auto"/>
                    <w:bottom w:val="none" w:sz="0" w:space="0" w:color="auto"/>
                    <w:right w:val="none" w:sz="0" w:space="0" w:color="auto"/>
                  </w:divBdr>
                  <w:divsChild>
                    <w:div w:id="504637665">
                      <w:marLeft w:val="0"/>
                      <w:marRight w:val="0"/>
                      <w:marTop w:val="0"/>
                      <w:marBottom w:val="0"/>
                      <w:divBdr>
                        <w:top w:val="none" w:sz="0" w:space="0" w:color="auto"/>
                        <w:left w:val="none" w:sz="0" w:space="0" w:color="auto"/>
                        <w:bottom w:val="none" w:sz="0" w:space="0" w:color="auto"/>
                        <w:right w:val="none" w:sz="0" w:space="0" w:color="auto"/>
                      </w:divBdr>
                    </w:div>
                  </w:divsChild>
                </w:div>
                <w:div w:id="607129501">
                  <w:marLeft w:val="0"/>
                  <w:marRight w:val="0"/>
                  <w:marTop w:val="0"/>
                  <w:marBottom w:val="0"/>
                  <w:divBdr>
                    <w:top w:val="none" w:sz="0" w:space="0" w:color="auto"/>
                    <w:left w:val="none" w:sz="0" w:space="0" w:color="auto"/>
                    <w:bottom w:val="none" w:sz="0" w:space="0" w:color="auto"/>
                    <w:right w:val="none" w:sz="0" w:space="0" w:color="auto"/>
                  </w:divBdr>
                  <w:divsChild>
                    <w:div w:id="1020817240">
                      <w:marLeft w:val="0"/>
                      <w:marRight w:val="0"/>
                      <w:marTop w:val="0"/>
                      <w:marBottom w:val="0"/>
                      <w:divBdr>
                        <w:top w:val="none" w:sz="0" w:space="0" w:color="auto"/>
                        <w:left w:val="none" w:sz="0" w:space="0" w:color="auto"/>
                        <w:bottom w:val="none" w:sz="0" w:space="0" w:color="auto"/>
                        <w:right w:val="none" w:sz="0" w:space="0" w:color="auto"/>
                      </w:divBdr>
                    </w:div>
                  </w:divsChild>
                </w:div>
                <w:div w:id="1265843159">
                  <w:marLeft w:val="0"/>
                  <w:marRight w:val="0"/>
                  <w:marTop w:val="0"/>
                  <w:marBottom w:val="0"/>
                  <w:divBdr>
                    <w:top w:val="none" w:sz="0" w:space="0" w:color="auto"/>
                    <w:left w:val="none" w:sz="0" w:space="0" w:color="auto"/>
                    <w:bottom w:val="none" w:sz="0" w:space="0" w:color="auto"/>
                    <w:right w:val="none" w:sz="0" w:space="0" w:color="auto"/>
                  </w:divBdr>
                  <w:divsChild>
                    <w:div w:id="640502975">
                      <w:marLeft w:val="0"/>
                      <w:marRight w:val="0"/>
                      <w:marTop w:val="0"/>
                      <w:marBottom w:val="0"/>
                      <w:divBdr>
                        <w:top w:val="none" w:sz="0" w:space="0" w:color="auto"/>
                        <w:left w:val="none" w:sz="0" w:space="0" w:color="auto"/>
                        <w:bottom w:val="none" w:sz="0" w:space="0" w:color="auto"/>
                        <w:right w:val="none" w:sz="0" w:space="0" w:color="auto"/>
                      </w:divBdr>
                    </w:div>
                  </w:divsChild>
                </w:div>
                <w:div w:id="681707208">
                  <w:marLeft w:val="0"/>
                  <w:marRight w:val="0"/>
                  <w:marTop w:val="0"/>
                  <w:marBottom w:val="0"/>
                  <w:divBdr>
                    <w:top w:val="none" w:sz="0" w:space="0" w:color="auto"/>
                    <w:left w:val="none" w:sz="0" w:space="0" w:color="auto"/>
                    <w:bottom w:val="none" w:sz="0" w:space="0" w:color="auto"/>
                    <w:right w:val="none" w:sz="0" w:space="0" w:color="auto"/>
                  </w:divBdr>
                  <w:divsChild>
                    <w:div w:id="1990134759">
                      <w:marLeft w:val="0"/>
                      <w:marRight w:val="0"/>
                      <w:marTop w:val="0"/>
                      <w:marBottom w:val="0"/>
                      <w:divBdr>
                        <w:top w:val="none" w:sz="0" w:space="0" w:color="auto"/>
                        <w:left w:val="none" w:sz="0" w:space="0" w:color="auto"/>
                        <w:bottom w:val="none" w:sz="0" w:space="0" w:color="auto"/>
                        <w:right w:val="none" w:sz="0" w:space="0" w:color="auto"/>
                      </w:divBdr>
                    </w:div>
                  </w:divsChild>
                </w:div>
                <w:div w:id="735401457">
                  <w:marLeft w:val="0"/>
                  <w:marRight w:val="0"/>
                  <w:marTop w:val="0"/>
                  <w:marBottom w:val="0"/>
                  <w:divBdr>
                    <w:top w:val="none" w:sz="0" w:space="0" w:color="auto"/>
                    <w:left w:val="none" w:sz="0" w:space="0" w:color="auto"/>
                    <w:bottom w:val="none" w:sz="0" w:space="0" w:color="auto"/>
                    <w:right w:val="none" w:sz="0" w:space="0" w:color="auto"/>
                  </w:divBdr>
                  <w:divsChild>
                    <w:div w:id="777677996">
                      <w:marLeft w:val="0"/>
                      <w:marRight w:val="0"/>
                      <w:marTop w:val="0"/>
                      <w:marBottom w:val="0"/>
                      <w:divBdr>
                        <w:top w:val="none" w:sz="0" w:space="0" w:color="auto"/>
                        <w:left w:val="none" w:sz="0" w:space="0" w:color="auto"/>
                        <w:bottom w:val="none" w:sz="0" w:space="0" w:color="auto"/>
                        <w:right w:val="none" w:sz="0" w:space="0" w:color="auto"/>
                      </w:divBdr>
                    </w:div>
                  </w:divsChild>
                </w:div>
                <w:div w:id="959072007">
                  <w:marLeft w:val="0"/>
                  <w:marRight w:val="0"/>
                  <w:marTop w:val="0"/>
                  <w:marBottom w:val="0"/>
                  <w:divBdr>
                    <w:top w:val="none" w:sz="0" w:space="0" w:color="auto"/>
                    <w:left w:val="none" w:sz="0" w:space="0" w:color="auto"/>
                    <w:bottom w:val="none" w:sz="0" w:space="0" w:color="auto"/>
                    <w:right w:val="none" w:sz="0" w:space="0" w:color="auto"/>
                  </w:divBdr>
                  <w:divsChild>
                    <w:div w:id="1832064363">
                      <w:marLeft w:val="0"/>
                      <w:marRight w:val="0"/>
                      <w:marTop w:val="0"/>
                      <w:marBottom w:val="0"/>
                      <w:divBdr>
                        <w:top w:val="none" w:sz="0" w:space="0" w:color="auto"/>
                        <w:left w:val="none" w:sz="0" w:space="0" w:color="auto"/>
                        <w:bottom w:val="none" w:sz="0" w:space="0" w:color="auto"/>
                        <w:right w:val="none" w:sz="0" w:space="0" w:color="auto"/>
                      </w:divBdr>
                    </w:div>
                  </w:divsChild>
                </w:div>
                <w:div w:id="1059091007">
                  <w:marLeft w:val="0"/>
                  <w:marRight w:val="0"/>
                  <w:marTop w:val="0"/>
                  <w:marBottom w:val="0"/>
                  <w:divBdr>
                    <w:top w:val="none" w:sz="0" w:space="0" w:color="auto"/>
                    <w:left w:val="none" w:sz="0" w:space="0" w:color="auto"/>
                    <w:bottom w:val="none" w:sz="0" w:space="0" w:color="auto"/>
                    <w:right w:val="none" w:sz="0" w:space="0" w:color="auto"/>
                  </w:divBdr>
                  <w:divsChild>
                    <w:div w:id="1533152432">
                      <w:marLeft w:val="0"/>
                      <w:marRight w:val="0"/>
                      <w:marTop w:val="0"/>
                      <w:marBottom w:val="0"/>
                      <w:divBdr>
                        <w:top w:val="none" w:sz="0" w:space="0" w:color="auto"/>
                        <w:left w:val="none" w:sz="0" w:space="0" w:color="auto"/>
                        <w:bottom w:val="none" w:sz="0" w:space="0" w:color="auto"/>
                        <w:right w:val="none" w:sz="0" w:space="0" w:color="auto"/>
                      </w:divBdr>
                    </w:div>
                  </w:divsChild>
                </w:div>
                <w:div w:id="1063797968">
                  <w:marLeft w:val="0"/>
                  <w:marRight w:val="0"/>
                  <w:marTop w:val="0"/>
                  <w:marBottom w:val="0"/>
                  <w:divBdr>
                    <w:top w:val="none" w:sz="0" w:space="0" w:color="auto"/>
                    <w:left w:val="none" w:sz="0" w:space="0" w:color="auto"/>
                    <w:bottom w:val="none" w:sz="0" w:space="0" w:color="auto"/>
                    <w:right w:val="none" w:sz="0" w:space="0" w:color="auto"/>
                  </w:divBdr>
                  <w:divsChild>
                    <w:div w:id="1433936978">
                      <w:marLeft w:val="0"/>
                      <w:marRight w:val="0"/>
                      <w:marTop w:val="0"/>
                      <w:marBottom w:val="0"/>
                      <w:divBdr>
                        <w:top w:val="none" w:sz="0" w:space="0" w:color="auto"/>
                        <w:left w:val="none" w:sz="0" w:space="0" w:color="auto"/>
                        <w:bottom w:val="none" w:sz="0" w:space="0" w:color="auto"/>
                        <w:right w:val="none" w:sz="0" w:space="0" w:color="auto"/>
                      </w:divBdr>
                    </w:div>
                    <w:div w:id="1963530697">
                      <w:marLeft w:val="0"/>
                      <w:marRight w:val="0"/>
                      <w:marTop w:val="0"/>
                      <w:marBottom w:val="0"/>
                      <w:divBdr>
                        <w:top w:val="none" w:sz="0" w:space="0" w:color="auto"/>
                        <w:left w:val="none" w:sz="0" w:space="0" w:color="auto"/>
                        <w:bottom w:val="none" w:sz="0" w:space="0" w:color="auto"/>
                        <w:right w:val="none" w:sz="0" w:space="0" w:color="auto"/>
                      </w:divBdr>
                    </w:div>
                  </w:divsChild>
                </w:div>
                <w:div w:id="1804889642">
                  <w:marLeft w:val="0"/>
                  <w:marRight w:val="0"/>
                  <w:marTop w:val="0"/>
                  <w:marBottom w:val="0"/>
                  <w:divBdr>
                    <w:top w:val="none" w:sz="0" w:space="0" w:color="auto"/>
                    <w:left w:val="none" w:sz="0" w:space="0" w:color="auto"/>
                    <w:bottom w:val="none" w:sz="0" w:space="0" w:color="auto"/>
                    <w:right w:val="none" w:sz="0" w:space="0" w:color="auto"/>
                  </w:divBdr>
                  <w:divsChild>
                    <w:div w:id="1073435006">
                      <w:marLeft w:val="0"/>
                      <w:marRight w:val="0"/>
                      <w:marTop w:val="0"/>
                      <w:marBottom w:val="0"/>
                      <w:divBdr>
                        <w:top w:val="none" w:sz="0" w:space="0" w:color="auto"/>
                        <w:left w:val="none" w:sz="0" w:space="0" w:color="auto"/>
                        <w:bottom w:val="none" w:sz="0" w:space="0" w:color="auto"/>
                        <w:right w:val="none" w:sz="0" w:space="0" w:color="auto"/>
                      </w:divBdr>
                    </w:div>
                  </w:divsChild>
                </w:div>
                <w:div w:id="1490752814">
                  <w:marLeft w:val="0"/>
                  <w:marRight w:val="0"/>
                  <w:marTop w:val="0"/>
                  <w:marBottom w:val="0"/>
                  <w:divBdr>
                    <w:top w:val="none" w:sz="0" w:space="0" w:color="auto"/>
                    <w:left w:val="none" w:sz="0" w:space="0" w:color="auto"/>
                    <w:bottom w:val="none" w:sz="0" w:space="0" w:color="auto"/>
                    <w:right w:val="none" w:sz="0" w:space="0" w:color="auto"/>
                  </w:divBdr>
                  <w:divsChild>
                    <w:div w:id="1324049110">
                      <w:marLeft w:val="0"/>
                      <w:marRight w:val="0"/>
                      <w:marTop w:val="0"/>
                      <w:marBottom w:val="0"/>
                      <w:divBdr>
                        <w:top w:val="none" w:sz="0" w:space="0" w:color="auto"/>
                        <w:left w:val="none" w:sz="0" w:space="0" w:color="auto"/>
                        <w:bottom w:val="none" w:sz="0" w:space="0" w:color="auto"/>
                        <w:right w:val="none" w:sz="0" w:space="0" w:color="auto"/>
                      </w:divBdr>
                    </w:div>
                    <w:div w:id="1674262767">
                      <w:marLeft w:val="0"/>
                      <w:marRight w:val="0"/>
                      <w:marTop w:val="0"/>
                      <w:marBottom w:val="0"/>
                      <w:divBdr>
                        <w:top w:val="none" w:sz="0" w:space="0" w:color="auto"/>
                        <w:left w:val="none" w:sz="0" w:space="0" w:color="auto"/>
                        <w:bottom w:val="none" w:sz="0" w:space="0" w:color="auto"/>
                        <w:right w:val="none" w:sz="0" w:space="0" w:color="auto"/>
                      </w:divBdr>
                    </w:div>
                  </w:divsChild>
                </w:div>
                <w:div w:id="2033532995">
                  <w:marLeft w:val="0"/>
                  <w:marRight w:val="0"/>
                  <w:marTop w:val="0"/>
                  <w:marBottom w:val="0"/>
                  <w:divBdr>
                    <w:top w:val="none" w:sz="0" w:space="0" w:color="auto"/>
                    <w:left w:val="none" w:sz="0" w:space="0" w:color="auto"/>
                    <w:bottom w:val="none" w:sz="0" w:space="0" w:color="auto"/>
                    <w:right w:val="none" w:sz="0" w:space="0" w:color="auto"/>
                  </w:divBdr>
                  <w:divsChild>
                    <w:div w:id="1352802052">
                      <w:marLeft w:val="0"/>
                      <w:marRight w:val="0"/>
                      <w:marTop w:val="0"/>
                      <w:marBottom w:val="0"/>
                      <w:divBdr>
                        <w:top w:val="none" w:sz="0" w:space="0" w:color="auto"/>
                        <w:left w:val="none" w:sz="0" w:space="0" w:color="auto"/>
                        <w:bottom w:val="none" w:sz="0" w:space="0" w:color="auto"/>
                        <w:right w:val="none" w:sz="0" w:space="0" w:color="auto"/>
                      </w:divBdr>
                    </w:div>
                  </w:divsChild>
                </w:div>
                <w:div w:id="1942685875">
                  <w:marLeft w:val="0"/>
                  <w:marRight w:val="0"/>
                  <w:marTop w:val="0"/>
                  <w:marBottom w:val="0"/>
                  <w:divBdr>
                    <w:top w:val="none" w:sz="0" w:space="0" w:color="auto"/>
                    <w:left w:val="none" w:sz="0" w:space="0" w:color="auto"/>
                    <w:bottom w:val="none" w:sz="0" w:space="0" w:color="auto"/>
                    <w:right w:val="none" w:sz="0" w:space="0" w:color="auto"/>
                  </w:divBdr>
                  <w:divsChild>
                    <w:div w:id="211269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16082">
          <w:marLeft w:val="0"/>
          <w:marRight w:val="0"/>
          <w:marTop w:val="0"/>
          <w:marBottom w:val="0"/>
          <w:divBdr>
            <w:top w:val="none" w:sz="0" w:space="0" w:color="auto"/>
            <w:left w:val="none" w:sz="0" w:space="0" w:color="auto"/>
            <w:bottom w:val="none" w:sz="0" w:space="0" w:color="auto"/>
            <w:right w:val="none" w:sz="0" w:space="0" w:color="auto"/>
          </w:divBdr>
        </w:div>
        <w:div w:id="2137217679">
          <w:marLeft w:val="0"/>
          <w:marRight w:val="0"/>
          <w:marTop w:val="0"/>
          <w:marBottom w:val="0"/>
          <w:divBdr>
            <w:top w:val="none" w:sz="0" w:space="0" w:color="auto"/>
            <w:left w:val="none" w:sz="0" w:space="0" w:color="auto"/>
            <w:bottom w:val="none" w:sz="0" w:space="0" w:color="auto"/>
            <w:right w:val="none" w:sz="0" w:space="0" w:color="auto"/>
          </w:divBdr>
          <w:divsChild>
            <w:div w:id="1466124687">
              <w:marLeft w:val="-75"/>
              <w:marRight w:val="0"/>
              <w:marTop w:val="30"/>
              <w:marBottom w:val="30"/>
              <w:divBdr>
                <w:top w:val="none" w:sz="0" w:space="0" w:color="auto"/>
                <w:left w:val="none" w:sz="0" w:space="0" w:color="auto"/>
                <w:bottom w:val="none" w:sz="0" w:space="0" w:color="auto"/>
                <w:right w:val="none" w:sz="0" w:space="0" w:color="auto"/>
              </w:divBdr>
              <w:divsChild>
                <w:div w:id="74985095">
                  <w:marLeft w:val="0"/>
                  <w:marRight w:val="0"/>
                  <w:marTop w:val="0"/>
                  <w:marBottom w:val="0"/>
                  <w:divBdr>
                    <w:top w:val="none" w:sz="0" w:space="0" w:color="auto"/>
                    <w:left w:val="none" w:sz="0" w:space="0" w:color="auto"/>
                    <w:bottom w:val="none" w:sz="0" w:space="0" w:color="auto"/>
                    <w:right w:val="none" w:sz="0" w:space="0" w:color="auto"/>
                  </w:divBdr>
                  <w:divsChild>
                    <w:div w:id="610278949">
                      <w:marLeft w:val="0"/>
                      <w:marRight w:val="0"/>
                      <w:marTop w:val="0"/>
                      <w:marBottom w:val="0"/>
                      <w:divBdr>
                        <w:top w:val="none" w:sz="0" w:space="0" w:color="auto"/>
                        <w:left w:val="none" w:sz="0" w:space="0" w:color="auto"/>
                        <w:bottom w:val="none" w:sz="0" w:space="0" w:color="auto"/>
                        <w:right w:val="none" w:sz="0" w:space="0" w:color="auto"/>
                      </w:divBdr>
                    </w:div>
                  </w:divsChild>
                </w:div>
                <w:div w:id="1425112118">
                  <w:marLeft w:val="0"/>
                  <w:marRight w:val="0"/>
                  <w:marTop w:val="0"/>
                  <w:marBottom w:val="0"/>
                  <w:divBdr>
                    <w:top w:val="none" w:sz="0" w:space="0" w:color="auto"/>
                    <w:left w:val="none" w:sz="0" w:space="0" w:color="auto"/>
                    <w:bottom w:val="none" w:sz="0" w:space="0" w:color="auto"/>
                    <w:right w:val="none" w:sz="0" w:space="0" w:color="auto"/>
                  </w:divBdr>
                  <w:divsChild>
                    <w:div w:id="107506818">
                      <w:marLeft w:val="0"/>
                      <w:marRight w:val="0"/>
                      <w:marTop w:val="0"/>
                      <w:marBottom w:val="0"/>
                      <w:divBdr>
                        <w:top w:val="none" w:sz="0" w:space="0" w:color="auto"/>
                        <w:left w:val="none" w:sz="0" w:space="0" w:color="auto"/>
                        <w:bottom w:val="none" w:sz="0" w:space="0" w:color="auto"/>
                        <w:right w:val="none" w:sz="0" w:space="0" w:color="auto"/>
                      </w:divBdr>
                    </w:div>
                  </w:divsChild>
                </w:div>
                <w:div w:id="192228516">
                  <w:marLeft w:val="0"/>
                  <w:marRight w:val="0"/>
                  <w:marTop w:val="0"/>
                  <w:marBottom w:val="0"/>
                  <w:divBdr>
                    <w:top w:val="none" w:sz="0" w:space="0" w:color="auto"/>
                    <w:left w:val="none" w:sz="0" w:space="0" w:color="auto"/>
                    <w:bottom w:val="none" w:sz="0" w:space="0" w:color="auto"/>
                    <w:right w:val="none" w:sz="0" w:space="0" w:color="auto"/>
                  </w:divBdr>
                  <w:divsChild>
                    <w:div w:id="179200691">
                      <w:marLeft w:val="0"/>
                      <w:marRight w:val="0"/>
                      <w:marTop w:val="0"/>
                      <w:marBottom w:val="0"/>
                      <w:divBdr>
                        <w:top w:val="none" w:sz="0" w:space="0" w:color="auto"/>
                        <w:left w:val="none" w:sz="0" w:space="0" w:color="auto"/>
                        <w:bottom w:val="none" w:sz="0" w:space="0" w:color="auto"/>
                        <w:right w:val="none" w:sz="0" w:space="0" w:color="auto"/>
                      </w:divBdr>
                    </w:div>
                  </w:divsChild>
                </w:div>
                <w:div w:id="1483231105">
                  <w:marLeft w:val="0"/>
                  <w:marRight w:val="0"/>
                  <w:marTop w:val="0"/>
                  <w:marBottom w:val="0"/>
                  <w:divBdr>
                    <w:top w:val="none" w:sz="0" w:space="0" w:color="auto"/>
                    <w:left w:val="none" w:sz="0" w:space="0" w:color="auto"/>
                    <w:bottom w:val="none" w:sz="0" w:space="0" w:color="auto"/>
                    <w:right w:val="none" w:sz="0" w:space="0" w:color="auto"/>
                  </w:divBdr>
                  <w:divsChild>
                    <w:div w:id="183901722">
                      <w:marLeft w:val="0"/>
                      <w:marRight w:val="0"/>
                      <w:marTop w:val="0"/>
                      <w:marBottom w:val="0"/>
                      <w:divBdr>
                        <w:top w:val="none" w:sz="0" w:space="0" w:color="auto"/>
                        <w:left w:val="none" w:sz="0" w:space="0" w:color="auto"/>
                        <w:bottom w:val="none" w:sz="0" w:space="0" w:color="auto"/>
                        <w:right w:val="none" w:sz="0" w:space="0" w:color="auto"/>
                      </w:divBdr>
                    </w:div>
                  </w:divsChild>
                </w:div>
                <w:div w:id="1228421857">
                  <w:marLeft w:val="0"/>
                  <w:marRight w:val="0"/>
                  <w:marTop w:val="0"/>
                  <w:marBottom w:val="0"/>
                  <w:divBdr>
                    <w:top w:val="none" w:sz="0" w:space="0" w:color="auto"/>
                    <w:left w:val="none" w:sz="0" w:space="0" w:color="auto"/>
                    <w:bottom w:val="none" w:sz="0" w:space="0" w:color="auto"/>
                    <w:right w:val="none" w:sz="0" w:space="0" w:color="auto"/>
                  </w:divBdr>
                  <w:divsChild>
                    <w:div w:id="326983795">
                      <w:marLeft w:val="0"/>
                      <w:marRight w:val="0"/>
                      <w:marTop w:val="0"/>
                      <w:marBottom w:val="0"/>
                      <w:divBdr>
                        <w:top w:val="none" w:sz="0" w:space="0" w:color="auto"/>
                        <w:left w:val="none" w:sz="0" w:space="0" w:color="auto"/>
                        <w:bottom w:val="none" w:sz="0" w:space="0" w:color="auto"/>
                        <w:right w:val="none" w:sz="0" w:space="0" w:color="auto"/>
                      </w:divBdr>
                    </w:div>
                  </w:divsChild>
                </w:div>
                <w:div w:id="576861894">
                  <w:marLeft w:val="0"/>
                  <w:marRight w:val="0"/>
                  <w:marTop w:val="0"/>
                  <w:marBottom w:val="0"/>
                  <w:divBdr>
                    <w:top w:val="none" w:sz="0" w:space="0" w:color="auto"/>
                    <w:left w:val="none" w:sz="0" w:space="0" w:color="auto"/>
                    <w:bottom w:val="none" w:sz="0" w:space="0" w:color="auto"/>
                    <w:right w:val="none" w:sz="0" w:space="0" w:color="auto"/>
                  </w:divBdr>
                  <w:divsChild>
                    <w:div w:id="395514992">
                      <w:marLeft w:val="0"/>
                      <w:marRight w:val="0"/>
                      <w:marTop w:val="0"/>
                      <w:marBottom w:val="0"/>
                      <w:divBdr>
                        <w:top w:val="none" w:sz="0" w:space="0" w:color="auto"/>
                        <w:left w:val="none" w:sz="0" w:space="0" w:color="auto"/>
                        <w:bottom w:val="none" w:sz="0" w:space="0" w:color="auto"/>
                        <w:right w:val="none" w:sz="0" w:space="0" w:color="auto"/>
                      </w:divBdr>
                    </w:div>
                  </w:divsChild>
                </w:div>
                <w:div w:id="507407986">
                  <w:marLeft w:val="0"/>
                  <w:marRight w:val="0"/>
                  <w:marTop w:val="0"/>
                  <w:marBottom w:val="0"/>
                  <w:divBdr>
                    <w:top w:val="none" w:sz="0" w:space="0" w:color="auto"/>
                    <w:left w:val="none" w:sz="0" w:space="0" w:color="auto"/>
                    <w:bottom w:val="none" w:sz="0" w:space="0" w:color="auto"/>
                    <w:right w:val="none" w:sz="0" w:space="0" w:color="auto"/>
                  </w:divBdr>
                  <w:divsChild>
                    <w:div w:id="1482190283">
                      <w:marLeft w:val="0"/>
                      <w:marRight w:val="0"/>
                      <w:marTop w:val="0"/>
                      <w:marBottom w:val="0"/>
                      <w:divBdr>
                        <w:top w:val="none" w:sz="0" w:space="0" w:color="auto"/>
                        <w:left w:val="none" w:sz="0" w:space="0" w:color="auto"/>
                        <w:bottom w:val="none" w:sz="0" w:space="0" w:color="auto"/>
                        <w:right w:val="none" w:sz="0" w:space="0" w:color="auto"/>
                      </w:divBdr>
                    </w:div>
                  </w:divsChild>
                </w:div>
                <w:div w:id="1061707025">
                  <w:marLeft w:val="0"/>
                  <w:marRight w:val="0"/>
                  <w:marTop w:val="0"/>
                  <w:marBottom w:val="0"/>
                  <w:divBdr>
                    <w:top w:val="none" w:sz="0" w:space="0" w:color="auto"/>
                    <w:left w:val="none" w:sz="0" w:space="0" w:color="auto"/>
                    <w:bottom w:val="none" w:sz="0" w:space="0" w:color="auto"/>
                    <w:right w:val="none" w:sz="0" w:space="0" w:color="auto"/>
                  </w:divBdr>
                  <w:divsChild>
                    <w:div w:id="639119008">
                      <w:marLeft w:val="0"/>
                      <w:marRight w:val="0"/>
                      <w:marTop w:val="0"/>
                      <w:marBottom w:val="0"/>
                      <w:divBdr>
                        <w:top w:val="none" w:sz="0" w:space="0" w:color="auto"/>
                        <w:left w:val="none" w:sz="0" w:space="0" w:color="auto"/>
                        <w:bottom w:val="none" w:sz="0" w:space="0" w:color="auto"/>
                        <w:right w:val="none" w:sz="0" w:space="0" w:color="auto"/>
                      </w:divBdr>
                    </w:div>
                  </w:divsChild>
                </w:div>
                <w:div w:id="720247213">
                  <w:marLeft w:val="0"/>
                  <w:marRight w:val="0"/>
                  <w:marTop w:val="0"/>
                  <w:marBottom w:val="0"/>
                  <w:divBdr>
                    <w:top w:val="none" w:sz="0" w:space="0" w:color="auto"/>
                    <w:left w:val="none" w:sz="0" w:space="0" w:color="auto"/>
                    <w:bottom w:val="none" w:sz="0" w:space="0" w:color="auto"/>
                    <w:right w:val="none" w:sz="0" w:space="0" w:color="auto"/>
                  </w:divBdr>
                  <w:divsChild>
                    <w:div w:id="1866403091">
                      <w:marLeft w:val="0"/>
                      <w:marRight w:val="0"/>
                      <w:marTop w:val="0"/>
                      <w:marBottom w:val="0"/>
                      <w:divBdr>
                        <w:top w:val="none" w:sz="0" w:space="0" w:color="auto"/>
                        <w:left w:val="none" w:sz="0" w:space="0" w:color="auto"/>
                        <w:bottom w:val="none" w:sz="0" w:space="0" w:color="auto"/>
                        <w:right w:val="none" w:sz="0" w:space="0" w:color="auto"/>
                      </w:divBdr>
                    </w:div>
                  </w:divsChild>
                </w:div>
                <w:div w:id="1571454027">
                  <w:marLeft w:val="0"/>
                  <w:marRight w:val="0"/>
                  <w:marTop w:val="0"/>
                  <w:marBottom w:val="0"/>
                  <w:divBdr>
                    <w:top w:val="none" w:sz="0" w:space="0" w:color="auto"/>
                    <w:left w:val="none" w:sz="0" w:space="0" w:color="auto"/>
                    <w:bottom w:val="none" w:sz="0" w:space="0" w:color="auto"/>
                    <w:right w:val="none" w:sz="0" w:space="0" w:color="auto"/>
                  </w:divBdr>
                  <w:divsChild>
                    <w:div w:id="907034277">
                      <w:marLeft w:val="0"/>
                      <w:marRight w:val="0"/>
                      <w:marTop w:val="0"/>
                      <w:marBottom w:val="0"/>
                      <w:divBdr>
                        <w:top w:val="none" w:sz="0" w:space="0" w:color="auto"/>
                        <w:left w:val="none" w:sz="0" w:space="0" w:color="auto"/>
                        <w:bottom w:val="none" w:sz="0" w:space="0" w:color="auto"/>
                        <w:right w:val="none" w:sz="0" w:space="0" w:color="auto"/>
                      </w:divBdr>
                    </w:div>
                  </w:divsChild>
                </w:div>
                <w:div w:id="911083012">
                  <w:marLeft w:val="0"/>
                  <w:marRight w:val="0"/>
                  <w:marTop w:val="0"/>
                  <w:marBottom w:val="0"/>
                  <w:divBdr>
                    <w:top w:val="none" w:sz="0" w:space="0" w:color="auto"/>
                    <w:left w:val="none" w:sz="0" w:space="0" w:color="auto"/>
                    <w:bottom w:val="none" w:sz="0" w:space="0" w:color="auto"/>
                    <w:right w:val="none" w:sz="0" w:space="0" w:color="auto"/>
                  </w:divBdr>
                  <w:divsChild>
                    <w:div w:id="1894660211">
                      <w:marLeft w:val="0"/>
                      <w:marRight w:val="0"/>
                      <w:marTop w:val="0"/>
                      <w:marBottom w:val="0"/>
                      <w:divBdr>
                        <w:top w:val="none" w:sz="0" w:space="0" w:color="auto"/>
                        <w:left w:val="none" w:sz="0" w:space="0" w:color="auto"/>
                        <w:bottom w:val="none" w:sz="0" w:space="0" w:color="auto"/>
                        <w:right w:val="none" w:sz="0" w:space="0" w:color="auto"/>
                      </w:divBdr>
                    </w:div>
                  </w:divsChild>
                </w:div>
                <w:div w:id="1217861540">
                  <w:marLeft w:val="0"/>
                  <w:marRight w:val="0"/>
                  <w:marTop w:val="0"/>
                  <w:marBottom w:val="0"/>
                  <w:divBdr>
                    <w:top w:val="none" w:sz="0" w:space="0" w:color="auto"/>
                    <w:left w:val="none" w:sz="0" w:space="0" w:color="auto"/>
                    <w:bottom w:val="none" w:sz="0" w:space="0" w:color="auto"/>
                    <w:right w:val="none" w:sz="0" w:space="0" w:color="auto"/>
                  </w:divBdr>
                  <w:divsChild>
                    <w:div w:id="1460612598">
                      <w:marLeft w:val="0"/>
                      <w:marRight w:val="0"/>
                      <w:marTop w:val="0"/>
                      <w:marBottom w:val="0"/>
                      <w:divBdr>
                        <w:top w:val="none" w:sz="0" w:space="0" w:color="auto"/>
                        <w:left w:val="none" w:sz="0" w:space="0" w:color="auto"/>
                        <w:bottom w:val="none" w:sz="0" w:space="0" w:color="auto"/>
                        <w:right w:val="none" w:sz="0" w:space="0" w:color="auto"/>
                      </w:divBdr>
                    </w:div>
                  </w:divsChild>
                </w:div>
                <w:div w:id="1714839636">
                  <w:marLeft w:val="0"/>
                  <w:marRight w:val="0"/>
                  <w:marTop w:val="0"/>
                  <w:marBottom w:val="0"/>
                  <w:divBdr>
                    <w:top w:val="none" w:sz="0" w:space="0" w:color="auto"/>
                    <w:left w:val="none" w:sz="0" w:space="0" w:color="auto"/>
                    <w:bottom w:val="none" w:sz="0" w:space="0" w:color="auto"/>
                    <w:right w:val="none" w:sz="0" w:space="0" w:color="auto"/>
                  </w:divBdr>
                  <w:divsChild>
                    <w:div w:id="1451970882">
                      <w:marLeft w:val="0"/>
                      <w:marRight w:val="0"/>
                      <w:marTop w:val="0"/>
                      <w:marBottom w:val="0"/>
                      <w:divBdr>
                        <w:top w:val="none" w:sz="0" w:space="0" w:color="auto"/>
                        <w:left w:val="none" w:sz="0" w:space="0" w:color="auto"/>
                        <w:bottom w:val="none" w:sz="0" w:space="0" w:color="auto"/>
                        <w:right w:val="none" w:sz="0" w:space="0" w:color="auto"/>
                      </w:divBdr>
                    </w:div>
                  </w:divsChild>
                </w:div>
                <w:div w:id="1585457175">
                  <w:marLeft w:val="0"/>
                  <w:marRight w:val="0"/>
                  <w:marTop w:val="0"/>
                  <w:marBottom w:val="0"/>
                  <w:divBdr>
                    <w:top w:val="none" w:sz="0" w:space="0" w:color="auto"/>
                    <w:left w:val="none" w:sz="0" w:space="0" w:color="auto"/>
                    <w:bottom w:val="none" w:sz="0" w:space="0" w:color="auto"/>
                    <w:right w:val="none" w:sz="0" w:space="0" w:color="auto"/>
                  </w:divBdr>
                  <w:divsChild>
                    <w:div w:id="150446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353502">
          <w:marLeft w:val="0"/>
          <w:marRight w:val="0"/>
          <w:marTop w:val="0"/>
          <w:marBottom w:val="0"/>
          <w:divBdr>
            <w:top w:val="none" w:sz="0" w:space="0" w:color="auto"/>
            <w:left w:val="none" w:sz="0" w:space="0" w:color="auto"/>
            <w:bottom w:val="none" w:sz="0" w:space="0" w:color="auto"/>
            <w:right w:val="none" w:sz="0" w:space="0" w:color="auto"/>
          </w:divBdr>
        </w:div>
        <w:div w:id="194852346">
          <w:marLeft w:val="0"/>
          <w:marRight w:val="0"/>
          <w:marTop w:val="0"/>
          <w:marBottom w:val="0"/>
          <w:divBdr>
            <w:top w:val="none" w:sz="0" w:space="0" w:color="auto"/>
            <w:left w:val="none" w:sz="0" w:space="0" w:color="auto"/>
            <w:bottom w:val="none" w:sz="0" w:space="0" w:color="auto"/>
            <w:right w:val="none" w:sz="0" w:space="0" w:color="auto"/>
          </w:divBdr>
        </w:div>
        <w:div w:id="377364484">
          <w:marLeft w:val="0"/>
          <w:marRight w:val="0"/>
          <w:marTop w:val="0"/>
          <w:marBottom w:val="0"/>
          <w:divBdr>
            <w:top w:val="none" w:sz="0" w:space="0" w:color="auto"/>
            <w:left w:val="none" w:sz="0" w:space="0" w:color="auto"/>
            <w:bottom w:val="none" w:sz="0" w:space="0" w:color="auto"/>
            <w:right w:val="none" w:sz="0" w:space="0" w:color="auto"/>
          </w:divBdr>
        </w:div>
        <w:div w:id="734164810">
          <w:marLeft w:val="0"/>
          <w:marRight w:val="0"/>
          <w:marTop w:val="0"/>
          <w:marBottom w:val="0"/>
          <w:divBdr>
            <w:top w:val="none" w:sz="0" w:space="0" w:color="auto"/>
            <w:left w:val="none" w:sz="0" w:space="0" w:color="auto"/>
            <w:bottom w:val="none" w:sz="0" w:space="0" w:color="auto"/>
            <w:right w:val="none" w:sz="0" w:space="0" w:color="auto"/>
          </w:divBdr>
        </w:div>
        <w:div w:id="888342891">
          <w:marLeft w:val="0"/>
          <w:marRight w:val="0"/>
          <w:marTop w:val="0"/>
          <w:marBottom w:val="0"/>
          <w:divBdr>
            <w:top w:val="none" w:sz="0" w:space="0" w:color="auto"/>
            <w:left w:val="none" w:sz="0" w:space="0" w:color="auto"/>
            <w:bottom w:val="none" w:sz="0" w:space="0" w:color="auto"/>
            <w:right w:val="none" w:sz="0" w:space="0" w:color="auto"/>
          </w:divBdr>
        </w:div>
        <w:div w:id="1078361826">
          <w:marLeft w:val="0"/>
          <w:marRight w:val="0"/>
          <w:marTop w:val="0"/>
          <w:marBottom w:val="0"/>
          <w:divBdr>
            <w:top w:val="none" w:sz="0" w:space="0" w:color="auto"/>
            <w:left w:val="none" w:sz="0" w:space="0" w:color="auto"/>
            <w:bottom w:val="none" w:sz="0" w:space="0" w:color="auto"/>
            <w:right w:val="none" w:sz="0" w:space="0" w:color="auto"/>
          </w:divBdr>
        </w:div>
        <w:div w:id="1156141215">
          <w:marLeft w:val="0"/>
          <w:marRight w:val="0"/>
          <w:marTop w:val="0"/>
          <w:marBottom w:val="0"/>
          <w:divBdr>
            <w:top w:val="none" w:sz="0" w:space="0" w:color="auto"/>
            <w:left w:val="none" w:sz="0" w:space="0" w:color="auto"/>
            <w:bottom w:val="none" w:sz="0" w:space="0" w:color="auto"/>
            <w:right w:val="none" w:sz="0" w:space="0" w:color="auto"/>
          </w:divBdr>
        </w:div>
        <w:div w:id="1171599959">
          <w:marLeft w:val="0"/>
          <w:marRight w:val="0"/>
          <w:marTop w:val="0"/>
          <w:marBottom w:val="0"/>
          <w:divBdr>
            <w:top w:val="none" w:sz="0" w:space="0" w:color="auto"/>
            <w:left w:val="none" w:sz="0" w:space="0" w:color="auto"/>
            <w:bottom w:val="none" w:sz="0" w:space="0" w:color="auto"/>
            <w:right w:val="none" w:sz="0" w:space="0" w:color="auto"/>
          </w:divBdr>
        </w:div>
        <w:div w:id="1234895295">
          <w:marLeft w:val="0"/>
          <w:marRight w:val="0"/>
          <w:marTop w:val="0"/>
          <w:marBottom w:val="0"/>
          <w:divBdr>
            <w:top w:val="none" w:sz="0" w:space="0" w:color="auto"/>
            <w:left w:val="none" w:sz="0" w:space="0" w:color="auto"/>
            <w:bottom w:val="none" w:sz="0" w:space="0" w:color="auto"/>
            <w:right w:val="none" w:sz="0" w:space="0" w:color="auto"/>
          </w:divBdr>
        </w:div>
        <w:div w:id="1247033592">
          <w:marLeft w:val="0"/>
          <w:marRight w:val="0"/>
          <w:marTop w:val="0"/>
          <w:marBottom w:val="0"/>
          <w:divBdr>
            <w:top w:val="none" w:sz="0" w:space="0" w:color="auto"/>
            <w:left w:val="none" w:sz="0" w:space="0" w:color="auto"/>
            <w:bottom w:val="none" w:sz="0" w:space="0" w:color="auto"/>
            <w:right w:val="none" w:sz="0" w:space="0" w:color="auto"/>
          </w:divBdr>
        </w:div>
        <w:div w:id="1253052089">
          <w:marLeft w:val="0"/>
          <w:marRight w:val="0"/>
          <w:marTop w:val="0"/>
          <w:marBottom w:val="0"/>
          <w:divBdr>
            <w:top w:val="none" w:sz="0" w:space="0" w:color="auto"/>
            <w:left w:val="none" w:sz="0" w:space="0" w:color="auto"/>
            <w:bottom w:val="none" w:sz="0" w:space="0" w:color="auto"/>
            <w:right w:val="none" w:sz="0" w:space="0" w:color="auto"/>
          </w:divBdr>
        </w:div>
        <w:div w:id="1256132883">
          <w:marLeft w:val="0"/>
          <w:marRight w:val="0"/>
          <w:marTop w:val="0"/>
          <w:marBottom w:val="0"/>
          <w:divBdr>
            <w:top w:val="none" w:sz="0" w:space="0" w:color="auto"/>
            <w:left w:val="none" w:sz="0" w:space="0" w:color="auto"/>
            <w:bottom w:val="none" w:sz="0" w:space="0" w:color="auto"/>
            <w:right w:val="none" w:sz="0" w:space="0" w:color="auto"/>
          </w:divBdr>
        </w:div>
        <w:div w:id="1335377429">
          <w:marLeft w:val="0"/>
          <w:marRight w:val="0"/>
          <w:marTop w:val="0"/>
          <w:marBottom w:val="0"/>
          <w:divBdr>
            <w:top w:val="none" w:sz="0" w:space="0" w:color="auto"/>
            <w:left w:val="none" w:sz="0" w:space="0" w:color="auto"/>
            <w:bottom w:val="none" w:sz="0" w:space="0" w:color="auto"/>
            <w:right w:val="none" w:sz="0" w:space="0" w:color="auto"/>
          </w:divBdr>
        </w:div>
        <w:div w:id="1833522105">
          <w:marLeft w:val="0"/>
          <w:marRight w:val="0"/>
          <w:marTop w:val="0"/>
          <w:marBottom w:val="0"/>
          <w:divBdr>
            <w:top w:val="none" w:sz="0" w:space="0" w:color="auto"/>
            <w:left w:val="none" w:sz="0" w:space="0" w:color="auto"/>
            <w:bottom w:val="none" w:sz="0" w:space="0" w:color="auto"/>
            <w:right w:val="none" w:sz="0" w:space="0" w:color="auto"/>
          </w:divBdr>
        </w:div>
        <w:div w:id="1961187703">
          <w:marLeft w:val="0"/>
          <w:marRight w:val="0"/>
          <w:marTop w:val="0"/>
          <w:marBottom w:val="0"/>
          <w:divBdr>
            <w:top w:val="none" w:sz="0" w:space="0" w:color="auto"/>
            <w:left w:val="none" w:sz="0" w:space="0" w:color="auto"/>
            <w:bottom w:val="none" w:sz="0" w:space="0" w:color="auto"/>
            <w:right w:val="none" w:sz="0" w:space="0" w:color="auto"/>
          </w:divBdr>
        </w:div>
        <w:div w:id="1999452521">
          <w:marLeft w:val="0"/>
          <w:marRight w:val="0"/>
          <w:marTop w:val="0"/>
          <w:marBottom w:val="0"/>
          <w:divBdr>
            <w:top w:val="none" w:sz="0" w:space="0" w:color="auto"/>
            <w:left w:val="none" w:sz="0" w:space="0" w:color="auto"/>
            <w:bottom w:val="none" w:sz="0" w:space="0" w:color="auto"/>
            <w:right w:val="none" w:sz="0" w:space="0" w:color="auto"/>
          </w:divBdr>
        </w:div>
        <w:div w:id="2129010426">
          <w:marLeft w:val="0"/>
          <w:marRight w:val="0"/>
          <w:marTop w:val="0"/>
          <w:marBottom w:val="0"/>
          <w:divBdr>
            <w:top w:val="none" w:sz="0" w:space="0" w:color="auto"/>
            <w:left w:val="none" w:sz="0" w:space="0" w:color="auto"/>
            <w:bottom w:val="none" w:sz="0" w:space="0" w:color="auto"/>
            <w:right w:val="none" w:sz="0" w:space="0" w:color="auto"/>
          </w:divBdr>
        </w:div>
      </w:divsChild>
    </w:div>
    <w:div w:id="576551754">
      <w:bodyDiv w:val="1"/>
      <w:marLeft w:val="0"/>
      <w:marRight w:val="0"/>
      <w:marTop w:val="0"/>
      <w:marBottom w:val="0"/>
      <w:divBdr>
        <w:top w:val="none" w:sz="0" w:space="0" w:color="auto"/>
        <w:left w:val="none" w:sz="0" w:space="0" w:color="auto"/>
        <w:bottom w:val="none" w:sz="0" w:space="0" w:color="auto"/>
        <w:right w:val="none" w:sz="0" w:space="0" w:color="auto"/>
      </w:divBdr>
    </w:div>
    <w:div w:id="621771782">
      <w:bodyDiv w:val="1"/>
      <w:marLeft w:val="0"/>
      <w:marRight w:val="0"/>
      <w:marTop w:val="0"/>
      <w:marBottom w:val="0"/>
      <w:divBdr>
        <w:top w:val="none" w:sz="0" w:space="0" w:color="auto"/>
        <w:left w:val="none" w:sz="0" w:space="0" w:color="auto"/>
        <w:bottom w:val="none" w:sz="0" w:space="0" w:color="auto"/>
        <w:right w:val="none" w:sz="0" w:space="0" w:color="auto"/>
      </w:divBdr>
    </w:div>
    <w:div w:id="652637149">
      <w:bodyDiv w:val="1"/>
      <w:marLeft w:val="0"/>
      <w:marRight w:val="0"/>
      <w:marTop w:val="0"/>
      <w:marBottom w:val="0"/>
      <w:divBdr>
        <w:top w:val="none" w:sz="0" w:space="0" w:color="auto"/>
        <w:left w:val="none" w:sz="0" w:space="0" w:color="auto"/>
        <w:bottom w:val="none" w:sz="0" w:space="0" w:color="auto"/>
        <w:right w:val="none" w:sz="0" w:space="0" w:color="auto"/>
      </w:divBdr>
    </w:div>
    <w:div w:id="656301827">
      <w:bodyDiv w:val="1"/>
      <w:marLeft w:val="0"/>
      <w:marRight w:val="0"/>
      <w:marTop w:val="0"/>
      <w:marBottom w:val="0"/>
      <w:divBdr>
        <w:top w:val="none" w:sz="0" w:space="0" w:color="auto"/>
        <w:left w:val="none" w:sz="0" w:space="0" w:color="auto"/>
        <w:bottom w:val="none" w:sz="0" w:space="0" w:color="auto"/>
        <w:right w:val="none" w:sz="0" w:space="0" w:color="auto"/>
      </w:divBdr>
    </w:div>
    <w:div w:id="670642707">
      <w:bodyDiv w:val="1"/>
      <w:marLeft w:val="0"/>
      <w:marRight w:val="0"/>
      <w:marTop w:val="0"/>
      <w:marBottom w:val="0"/>
      <w:divBdr>
        <w:top w:val="none" w:sz="0" w:space="0" w:color="auto"/>
        <w:left w:val="none" w:sz="0" w:space="0" w:color="auto"/>
        <w:bottom w:val="none" w:sz="0" w:space="0" w:color="auto"/>
        <w:right w:val="none" w:sz="0" w:space="0" w:color="auto"/>
      </w:divBdr>
      <w:divsChild>
        <w:div w:id="1620716778">
          <w:marLeft w:val="0"/>
          <w:marRight w:val="0"/>
          <w:marTop w:val="0"/>
          <w:marBottom w:val="0"/>
          <w:divBdr>
            <w:top w:val="none" w:sz="0" w:space="0" w:color="auto"/>
            <w:left w:val="none" w:sz="0" w:space="0" w:color="auto"/>
            <w:bottom w:val="none" w:sz="0" w:space="0" w:color="auto"/>
            <w:right w:val="none" w:sz="0" w:space="0" w:color="auto"/>
          </w:divBdr>
        </w:div>
      </w:divsChild>
    </w:div>
    <w:div w:id="680743862">
      <w:bodyDiv w:val="1"/>
      <w:marLeft w:val="0"/>
      <w:marRight w:val="0"/>
      <w:marTop w:val="0"/>
      <w:marBottom w:val="0"/>
      <w:divBdr>
        <w:top w:val="none" w:sz="0" w:space="0" w:color="auto"/>
        <w:left w:val="none" w:sz="0" w:space="0" w:color="auto"/>
        <w:bottom w:val="none" w:sz="0" w:space="0" w:color="auto"/>
        <w:right w:val="none" w:sz="0" w:space="0" w:color="auto"/>
      </w:divBdr>
      <w:divsChild>
        <w:div w:id="144015268">
          <w:marLeft w:val="0"/>
          <w:marRight w:val="0"/>
          <w:marTop w:val="0"/>
          <w:marBottom w:val="0"/>
          <w:divBdr>
            <w:top w:val="none" w:sz="0" w:space="0" w:color="auto"/>
            <w:left w:val="none" w:sz="0" w:space="0" w:color="auto"/>
            <w:bottom w:val="none" w:sz="0" w:space="0" w:color="auto"/>
            <w:right w:val="none" w:sz="0" w:space="0" w:color="auto"/>
          </w:divBdr>
          <w:divsChild>
            <w:div w:id="627736307">
              <w:marLeft w:val="0"/>
              <w:marRight w:val="0"/>
              <w:marTop w:val="0"/>
              <w:marBottom w:val="0"/>
              <w:divBdr>
                <w:top w:val="none" w:sz="0" w:space="0" w:color="auto"/>
                <w:left w:val="none" w:sz="0" w:space="0" w:color="auto"/>
                <w:bottom w:val="none" w:sz="0" w:space="0" w:color="auto"/>
                <w:right w:val="none" w:sz="0" w:space="0" w:color="auto"/>
              </w:divBdr>
            </w:div>
            <w:div w:id="1527019639">
              <w:marLeft w:val="0"/>
              <w:marRight w:val="0"/>
              <w:marTop w:val="0"/>
              <w:marBottom w:val="0"/>
              <w:divBdr>
                <w:top w:val="none" w:sz="0" w:space="0" w:color="auto"/>
                <w:left w:val="none" w:sz="0" w:space="0" w:color="auto"/>
                <w:bottom w:val="none" w:sz="0" w:space="0" w:color="auto"/>
                <w:right w:val="none" w:sz="0" w:space="0" w:color="auto"/>
              </w:divBdr>
            </w:div>
          </w:divsChild>
        </w:div>
        <w:div w:id="358238753">
          <w:marLeft w:val="0"/>
          <w:marRight w:val="0"/>
          <w:marTop w:val="0"/>
          <w:marBottom w:val="0"/>
          <w:divBdr>
            <w:top w:val="none" w:sz="0" w:space="0" w:color="auto"/>
            <w:left w:val="none" w:sz="0" w:space="0" w:color="auto"/>
            <w:bottom w:val="none" w:sz="0" w:space="0" w:color="auto"/>
            <w:right w:val="none" w:sz="0" w:space="0" w:color="auto"/>
          </w:divBdr>
          <w:divsChild>
            <w:div w:id="722485372">
              <w:marLeft w:val="0"/>
              <w:marRight w:val="0"/>
              <w:marTop w:val="0"/>
              <w:marBottom w:val="0"/>
              <w:divBdr>
                <w:top w:val="none" w:sz="0" w:space="0" w:color="auto"/>
                <w:left w:val="none" w:sz="0" w:space="0" w:color="auto"/>
                <w:bottom w:val="none" w:sz="0" w:space="0" w:color="auto"/>
                <w:right w:val="none" w:sz="0" w:space="0" w:color="auto"/>
              </w:divBdr>
            </w:div>
            <w:div w:id="1380082903">
              <w:marLeft w:val="0"/>
              <w:marRight w:val="0"/>
              <w:marTop w:val="0"/>
              <w:marBottom w:val="0"/>
              <w:divBdr>
                <w:top w:val="none" w:sz="0" w:space="0" w:color="auto"/>
                <w:left w:val="none" w:sz="0" w:space="0" w:color="auto"/>
                <w:bottom w:val="none" w:sz="0" w:space="0" w:color="auto"/>
                <w:right w:val="none" w:sz="0" w:space="0" w:color="auto"/>
              </w:divBdr>
            </w:div>
            <w:div w:id="2057508789">
              <w:marLeft w:val="0"/>
              <w:marRight w:val="0"/>
              <w:marTop w:val="0"/>
              <w:marBottom w:val="0"/>
              <w:divBdr>
                <w:top w:val="none" w:sz="0" w:space="0" w:color="auto"/>
                <w:left w:val="none" w:sz="0" w:space="0" w:color="auto"/>
                <w:bottom w:val="none" w:sz="0" w:space="0" w:color="auto"/>
                <w:right w:val="none" w:sz="0" w:space="0" w:color="auto"/>
              </w:divBdr>
            </w:div>
          </w:divsChild>
        </w:div>
        <w:div w:id="938219873">
          <w:marLeft w:val="0"/>
          <w:marRight w:val="0"/>
          <w:marTop w:val="0"/>
          <w:marBottom w:val="0"/>
          <w:divBdr>
            <w:top w:val="none" w:sz="0" w:space="0" w:color="auto"/>
            <w:left w:val="none" w:sz="0" w:space="0" w:color="auto"/>
            <w:bottom w:val="none" w:sz="0" w:space="0" w:color="auto"/>
            <w:right w:val="none" w:sz="0" w:space="0" w:color="auto"/>
          </w:divBdr>
          <w:divsChild>
            <w:div w:id="76054518">
              <w:marLeft w:val="0"/>
              <w:marRight w:val="0"/>
              <w:marTop w:val="0"/>
              <w:marBottom w:val="0"/>
              <w:divBdr>
                <w:top w:val="none" w:sz="0" w:space="0" w:color="auto"/>
                <w:left w:val="none" w:sz="0" w:space="0" w:color="auto"/>
                <w:bottom w:val="none" w:sz="0" w:space="0" w:color="auto"/>
                <w:right w:val="none" w:sz="0" w:space="0" w:color="auto"/>
              </w:divBdr>
            </w:div>
          </w:divsChild>
        </w:div>
        <w:div w:id="1147863704">
          <w:marLeft w:val="0"/>
          <w:marRight w:val="0"/>
          <w:marTop w:val="0"/>
          <w:marBottom w:val="0"/>
          <w:divBdr>
            <w:top w:val="none" w:sz="0" w:space="0" w:color="auto"/>
            <w:left w:val="none" w:sz="0" w:space="0" w:color="auto"/>
            <w:bottom w:val="none" w:sz="0" w:space="0" w:color="auto"/>
            <w:right w:val="none" w:sz="0" w:space="0" w:color="auto"/>
          </w:divBdr>
          <w:divsChild>
            <w:div w:id="66995910">
              <w:marLeft w:val="0"/>
              <w:marRight w:val="0"/>
              <w:marTop w:val="0"/>
              <w:marBottom w:val="0"/>
              <w:divBdr>
                <w:top w:val="none" w:sz="0" w:space="0" w:color="auto"/>
                <w:left w:val="none" w:sz="0" w:space="0" w:color="auto"/>
                <w:bottom w:val="none" w:sz="0" w:space="0" w:color="auto"/>
                <w:right w:val="none" w:sz="0" w:space="0" w:color="auto"/>
              </w:divBdr>
            </w:div>
            <w:div w:id="1161579103">
              <w:marLeft w:val="0"/>
              <w:marRight w:val="0"/>
              <w:marTop w:val="0"/>
              <w:marBottom w:val="0"/>
              <w:divBdr>
                <w:top w:val="none" w:sz="0" w:space="0" w:color="auto"/>
                <w:left w:val="none" w:sz="0" w:space="0" w:color="auto"/>
                <w:bottom w:val="none" w:sz="0" w:space="0" w:color="auto"/>
                <w:right w:val="none" w:sz="0" w:space="0" w:color="auto"/>
              </w:divBdr>
            </w:div>
          </w:divsChild>
        </w:div>
        <w:div w:id="1158496929">
          <w:marLeft w:val="0"/>
          <w:marRight w:val="0"/>
          <w:marTop w:val="0"/>
          <w:marBottom w:val="0"/>
          <w:divBdr>
            <w:top w:val="none" w:sz="0" w:space="0" w:color="auto"/>
            <w:left w:val="none" w:sz="0" w:space="0" w:color="auto"/>
            <w:bottom w:val="none" w:sz="0" w:space="0" w:color="auto"/>
            <w:right w:val="none" w:sz="0" w:space="0" w:color="auto"/>
          </w:divBdr>
          <w:divsChild>
            <w:div w:id="469134542">
              <w:marLeft w:val="0"/>
              <w:marRight w:val="0"/>
              <w:marTop w:val="0"/>
              <w:marBottom w:val="0"/>
              <w:divBdr>
                <w:top w:val="none" w:sz="0" w:space="0" w:color="auto"/>
                <w:left w:val="none" w:sz="0" w:space="0" w:color="auto"/>
                <w:bottom w:val="none" w:sz="0" w:space="0" w:color="auto"/>
                <w:right w:val="none" w:sz="0" w:space="0" w:color="auto"/>
              </w:divBdr>
            </w:div>
            <w:div w:id="1257206006">
              <w:marLeft w:val="0"/>
              <w:marRight w:val="0"/>
              <w:marTop w:val="0"/>
              <w:marBottom w:val="0"/>
              <w:divBdr>
                <w:top w:val="none" w:sz="0" w:space="0" w:color="auto"/>
                <w:left w:val="none" w:sz="0" w:space="0" w:color="auto"/>
                <w:bottom w:val="none" w:sz="0" w:space="0" w:color="auto"/>
                <w:right w:val="none" w:sz="0" w:space="0" w:color="auto"/>
              </w:divBdr>
            </w:div>
            <w:div w:id="1299993570">
              <w:marLeft w:val="0"/>
              <w:marRight w:val="0"/>
              <w:marTop w:val="0"/>
              <w:marBottom w:val="0"/>
              <w:divBdr>
                <w:top w:val="none" w:sz="0" w:space="0" w:color="auto"/>
                <w:left w:val="none" w:sz="0" w:space="0" w:color="auto"/>
                <w:bottom w:val="none" w:sz="0" w:space="0" w:color="auto"/>
                <w:right w:val="none" w:sz="0" w:space="0" w:color="auto"/>
              </w:divBdr>
            </w:div>
          </w:divsChild>
        </w:div>
        <w:div w:id="1182860769">
          <w:marLeft w:val="0"/>
          <w:marRight w:val="0"/>
          <w:marTop w:val="0"/>
          <w:marBottom w:val="0"/>
          <w:divBdr>
            <w:top w:val="none" w:sz="0" w:space="0" w:color="auto"/>
            <w:left w:val="none" w:sz="0" w:space="0" w:color="auto"/>
            <w:bottom w:val="none" w:sz="0" w:space="0" w:color="auto"/>
            <w:right w:val="none" w:sz="0" w:space="0" w:color="auto"/>
          </w:divBdr>
          <w:divsChild>
            <w:div w:id="141578014">
              <w:marLeft w:val="0"/>
              <w:marRight w:val="0"/>
              <w:marTop w:val="0"/>
              <w:marBottom w:val="0"/>
              <w:divBdr>
                <w:top w:val="none" w:sz="0" w:space="0" w:color="auto"/>
                <w:left w:val="none" w:sz="0" w:space="0" w:color="auto"/>
                <w:bottom w:val="none" w:sz="0" w:space="0" w:color="auto"/>
                <w:right w:val="none" w:sz="0" w:space="0" w:color="auto"/>
              </w:divBdr>
            </w:div>
            <w:div w:id="1877352550">
              <w:marLeft w:val="0"/>
              <w:marRight w:val="0"/>
              <w:marTop w:val="0"/>
              <w:marBottom w:val="0"/>
              <w:divBdr>
                <w:top w:val="none" w:sz="0" w:space="0" w:color="auto"/>
                <w:left w:val="none" w:sz="0" w:space="0" w:color="auto"/>
                <w:bottom w:val="none" w:sz="0" w:space="0" w:color="auto"/>
                <w:right w:val="none" w:sz="0" w:space="0" w:color="auto"/>
              </w:divBdr>
            </w:div>
            <w:div w:id="2024278156">
              <w:marLeft w:val="0"/>
              <w:marRight w:val="0"/>
              <w:marTop w:val="0"/>
              <w:marBottom w:val="0"/>
              <w:divBdr>
                <w:top w:val="none" w:sz="0" w:space="0" w:color="auto"/>
                <w:left w:val="none" w:sz="0" w:space="0" w:color="auto"/>
                <w:bottom w:val="none" w:sz="0" w:space="0" w:color="auto"/>
                <w:right w:val="none" w:sz="0" w:space="0" w:color="auto"/>
              </w:divBdr>
            </w:div>
          </w:divsChild>
        </w:div>
        <w:div w:id="1381317483">
          <w:marLeft w:val="0"/>
          <w:marRight w:val="0"/>
          <w:marTop w:val="0"/>
          <w:marBottom w:val="0"/>
          <w:divBdr>
            <w:top w:val="none" w:sz="0" w:space="0" w:color="auto"/>
            <w:left w:val="none" w:sz="0" w:space="0" w:color="auto"/>
            <w:bottom w:val="none" w:sz="0" w:space="0" w:color="auto"/>
            <w:right w:val="none" w:sz="0" w:space="0" w:color="auto"/>
          </w:divBdr>
          <w:divsChild>
            <w:div w:id="8215781">
              <w:marLeft w:val="0"/>
              <w:marRight w:val="0"/>
              <w:marTop w:val="0"/>
              <w:marBottom w:val="0"/>
              <w:divBdr>
                <w:top w:val="none" w:sz="0" w:space="0" w:color="auto"/>
                <w:left w:val="none" w:sz="0" w:space="0" w:color="auto"/>
                <w:bottom w:val="none" w:sz="0" w:space="0" w:color="auto"/>
                <w:right w:val="none" w:sz="0" w:space="0" w:color="auto"/>
              </w:divBdr>
            </w:div>
            <w:div w:id="119958628">
              <w:marLeft w:val="0"/>
              <w:marRight w:val="0"/>
              <w:marTop w:val="0"/>
              <w:marBottom w:val="0"/>
              <w:divBdr>
                <w:top w:val="none" w:sz="0" w:space="0" w:color="auto"/>
                <w:left w:val="none" w:sz="0" w:space="0" w:color="auto"/>
                <w:bottom w:val="none" w:sz="0" w:space="0" w:color="auto"/>
                <w:right w:val="none" w:sz="0" w:space="0" w:color="auto"/>
              </w:divBdr>
            </w:div>
            <w:div w:id="1563786038">
              <w:marLeft w:val="0"/>
              <w:marRight w:val="0"/>
              <w:marTop w:val="0"/>
              <w:marBottom w:val="0"/>
              <w:divBdr>
                <w:top w:val="none" w:sz="0" w:space="0" w:color="auto"/>
                <w:left w:val="none" w:sz="0" w:space="0" w:color="auto"/>
                <w:bottom w:val="none" w:sz="0" w:space="0" w:color="auto"/>
                <w:right w:val="none" w:sz="0" w:space="0" w:color="auto"/>
              </w:divBdr>
            </w:div>
          </w:divsChild>
        </w:div>
        <w:div w:id="1450779944">
          <w:marLeft w:val="0"/>
          <w:marRight w:val="0"/>
          <w:marTop w:val="0"/>
          <w:marBottom w:val="0"/>
          <w:divBdr>
            <w:top w:val="none" w:sz="0" w:space="0" w:color="auto"/>
            <w:left w:val="none" w:sz="0" w:space="0" w:color="auto"/>
            <w:bottom w:val="none" w:sz="0" w:space="0" w:color="auto"/>
            <w:right w:val="none" w:sz="0" w:space="0" w:color="auto"/>
          </w:divBdr>
          <w:divsChild>
            <w:div w:id="96219268">
              <w:marLeft w:val="0"/>
              <w:marRight w:val="0"/>
              <w:marTop w:val="0"/>
              <w:marBottom w:val="0"/>
              <w:divBdr>
                <w:top w:val="none" w:sz="0" w:space="0" w:color="auto"/>
                <w:left w:val="none" w:sz="0" w:space="0" w:color="auto"/>
                <w:bottom w:val="none" w:sz="0" w:space="0" w:color="auto"/>
                <w:right w:val="none" w:sz="0" w:space="0" w:color="auto"/>
              </w:divBdr>
            </w:div>
            <w:div w:id="1264992541">
              <w:marLeft w:val="0"/>
              <w:marRight w:val="0"/>
              <w:marTop w:val="0"/>
              <w:marBottom w:val="0"/>
              <w:divBdr>
                <w:top w:val="none" w:sz="0" w:space="0" w:color="auto"/>
                <w:left w:val="none" w:sz="0" w:space="0" w:color="auto"/>
                <w:bottom w:val="none" w:sz="0" w:space="0" w:color="auto"/>
                <w:right w:val="none" w:sz="0" w:space="0" w:color="auto"/>
              </w:divBdr>
            </w:div>
          </w:divsChild>
        </w:div>
        <w:div w:id="1525826273">
          <w:marLeft w:val="0"/>
          <w:marRight w:val="0"/>
          <w:marTop w:val="0"/>
          <w:marBottom w:val="0"/>
          <w:divBdr>
            <w:top w:val="none" w:sz="0" w:space="0" w:color="auto"/>
            <w:left w:val="none" w:sz="0" w:space="0" w:color="auto"/>
            <w:bottom w:val="none" w:sz="0" w:space="0" w:color="auto"/>
            <w:right w:val="none" w:sz="0" w:space="0" w:color="auto"/>
          </w:divBdr>
          <w:divsChild>
            <w:div w:id="259337809">
              <w:marLeft w:val="0"/>
              <w:marRight w:val="0"/>
              <w:marTop w:val="0"/>
              <w:marBottom w:val="0"/>
              <w:divBdr>
                <w:top w:val="none" w:sz="0" w:space="0" w:color="auto"/>
                <w:left w:val="none" w:sz="0" w:space="0" w:color="auto"/>
                <w:bottom w:val="none" w:sz="0" w:space="0" w:color="auto"/>
                <w:right w:val="none" w:sz="0" w:space="0" w:color="auto"/>
              </w:divBdr>
            </w:div>
            <w:div w:id="411239264">
              <w:marLeft w:val="0"/>
              <w:marRight w:val="0"/>
              <w:marTop w:val="0"/>
              <w:marBottom w:val="0"/>
              <w:divBdr>
                <w:top w:val="none" w:sz="0" w:space="0" w:color="auto"/>
                <w:left w:val="none" w:sz="0" w:space="0" w:color="auto"/>
                <w:bottom w:val="none" w:sz="0" w:space="0" w:color="auto"/>
                <w:right w:val="none" w:sz="0" w:space="0" w:color="auto"/>
              </w:divBdr>
            </w:div>
            <w:div w:id="1833258142">
              <w:marLeft w:val="0"/>
              <w:marRight w:val="0"/>
              <w:marTop w:val="0"/>
              <w:marBottom w:val="0"/>
              <w:divBdr>
                <w:top w:val="none" w:sz="0" w:space="0" w:color="auto"/>
                <w:left w:val="none" w:sz="0" w:space="0" w:color="auto"/>
                <w:bottom w:val="none" w:sz="0" w:space="0" w:color="auto"/>
                <w:right w:val="none" w:sz="0" w:space="0" w:color="auto"/>
              </w:divBdr>
            </w:div>
          </w:divsChild>
        </w:div>
        <w:div w:id="1567911155">
          <w:marLeft w:val="0"/>
          <w:marRight w:val="0"/>
          <w:marTop w:val="0"/>
          <w:marBottom w:val="0"/>
          <w:divBdr>
            <w:top w:val="none" w:sz="0" w:space="0" w:color="auto"/>
            <w:left w:val="none" w:sz="0" w:space="0" w:color="auto"/>
            <w:bottom w:val="none" w:sz="0" w:space="0" w:color="auto"/>
            <w:right w:val="none" w:sz="0" w:space="0" w:color="auto"/>
          </w:divBdr>
          <w:divsChild>
            <w:div w:id="360473701">
              <w:marLeft w:val="0"/>
              <w:marRight w:val="0"/>
              <w:marTop w:val="0"/>
              <w:marBottom w:val="0"/>
              <w:divBdr>
                <w:top w:val="none" w:sz="0" w:space="0" w:color="auto"/>
                <w:left w:val="none" w:sz="0" w:space="0" w:color="auto"/>
                <w:bottom w:val="none" w:sz="0" w:space="0" w:color="auto"/>
                <w:right w:val="none" w:sz="0" w:space="0" w:color="auto"/>
              </w:divBdr>
            </w:div>
            <w:div w:id="774981426">
              <w:marLeft w:val="0"/>
              <w:marRight w:val="0"/>
              <w:marTop w:val="0"/>
              <w:marBottom w:val="0"/>
              <w:divBdr>
                <w:top w:val="none" w:sz="0" w:space="0" w:color="auto"/>
                <w:left w:val="none" w:sz="0" w:space="0" w:color="auto"/>
                <w:bottom w:val="none" w:sz="0" w:space="0" w:color="auto"/>
                <w:right w:val="none" w:sz="0" w:space="0" w:color="auto"/>
              </w:divBdr>
            </w:div>
          </w:divsChild>
        </w:div>
        <w:div w:id="1773816378">
          <w:marLeft w:val="0"/>
          <w:marRight w:val="0"/>
          <w:marTop w:val="0"/>
          <w:marBottom w:val="0"/>
          <w:divBdr>
            <w:top w:val="none" w:sz="0" w:space="0" w:color="auto"/>
            <w:left w:val="none" w:sz="0" w:space="0" w:color="auto"/>
            <w:bottom w:val="none" w:sz="0" w:space="0" w:color="auto"/>
            <w:right w:val="none" w:sz="0" w:space="0" w:color="auto"/>
          </w:divBdr>
          <w:divsChild>
            <w:div w:id="1470621">
              <w:marLeft w:val="0"/>
              <w:marRight w:val="0"/>
              <w:marTop w:val="0"/>
              <w:marBottom w:val="0"/>
              <w:divBdr>
                <w:top w:val="none" w:sz="0" w:space="0" w:color="auto"/>
                <w:left w:val="none" w:sz="0" w:space="0" w:color="auto"/>
                <w:bottom w:val="none" w:sz="0" w:space="0" w:color="auto"/>
                <w:right w:val="none" w:sz="0" w:space="0" w:color="auto"/>
              </w:divBdr>
            </w:div>
            <w:div w:id="693387478">
              <w:marLeft w:val="0"/>
              <w:marRight w:val="0"/>
              <w:marTop w:val="0"/>
              <w:marBottom w:val="0"/>
              <w:divBdr>
                <w:top w:val="none" w:sz="0" w:space="0" w:color="auto"/>
                <w:left w:val="none" w:sz="0" w:space="0" w:color="auto"/>
                <w:bottom w:val="none" w:sz="0" w:space="0" w:color="auto"/>
                <w:right w:val="none" w:sz="0" w:space="0" w:color="auto"/>
              </w:divBdr>
            </w:div>
          </w:divsChild>
        </w:div>
        <w:div w:id="1965581042">
          <w:marLeft w:val="0"/>
          <w:marRight w:val="0"/>
          <w:marTop w:val="0"/>
          <w:marBottom w:val="0"/>
          <w:divBdr>
            <w:top w:val="none" w:sz="0" w:space="0" w:color="auto"/>
            <w:left w:val="none" w:sz="0" w:space="0" w:color="auto"/>
            <w:bottom w:val="none" w:sz="0" w:space="0" w:color="auto"/>
            <w:right w:val="none" w:sz="0" w:space="0" w:color="auto"/>
          </w:divBdr>
          <w:divsChild>
            <w:div w:id="1087192992">
              <w:marLeft w:val="0"/>
              <w:marRight w:val="0"/>
              <w:marTop w:val="0"/>
              <w:marBottom w:val="0"/>
              <w:divBdr>
                <w:top w:val="none" w:sz="0" w:space="0" w:color="auto"/>
                <w:left w:val="none" w:sz="0" w:space="0" w:color="auto"/>
                <w:bottom w:val="none" w:sz="0" w:space="0" w:color="auto"/>
                <w:right w:val="none" w:sz="0" w:space="0" w:color="auto"/>
              </w:divBdr>
            </w:div>
          </w:divsChild>
        </w:div>
        <w:div w:id="1979189849">
          <w:marLeft w:val="0"/>
          <w:marRight w:val="0"/>
          <w:marTop w:val="0"/>
          <w:marBottom w:val="0"/>
          <w:divBdr>
            <w:top w:val="none" w:sz="0" w:space="0" w:color="auto"/>
            <w:left w:val="none" w:sz="0" w:space="0" w:color="auto"/>
            <w:bottom w:val="none" w:sz="0" w:space="0" w:color="auto"/>
            <w:right w:val="none" w:sz="0" w:space="0" w:color="auto"/>
          </w:divBdr>
          <w:divsChild>
            <w:div w:id="1387295985">
              <w:marLeft w:val="0"/>
              <w:marRight w:val="0"/>
              <w:marTop w:val="0"/>
              <w:marBottom w:val="0"/>
              <w:divBdr>
                <w:top w:val="none" w:sz="0" w:space="0" w:color="auto"/>
                <w:left w:val="none" w:sz="0" w:space="0" w:color="auto"/>
                <w:bottom w:val="none" w:sz="0" w:space="0" w:color="auto"/>
                <w:right w:val="none" w:sz="0" w:space="0" w:color="auto"/>
              </w:divBdr>
            </w:div>
            <w:div w:id="2035762473">
              <w:marLeft w:val="0"/>
              <w:marRight w:val="0"/>
              <w:marTop w:val="0"/>
              <w:marBottom w:val="0"/>
              <w:divBdr>
                <w:top w:val="none" w:sz="0" w:space="0" w:color="auto"/>
                <w:left w:val="none" w:sz="0" w:space="0" w:color="auto"/>
                <w:bottom w:val="none" w:sz="0" w:space="0" w:color="auto"/>
                <w:right w:val="none" w:sz="0" w:space="0" w:color="auto"/>
              </w:divBdr>
            </w:div>
          </w:divsChild>
        </w:div>
        <w:div w:id="2030132580">
          <w:marLeft w:val="0"/>
          <w:marRight w:val="0"/>
          <w:marTop w:val="0"/>
          <w:marBottom w:val="0"/>
          <w:divBdr>
            <w:top w:val="none" w:sz="0" w:space="0" w:color="auto"/>
            <w:left w:val="none" w:sz="0" w:space="0" w:color="auto"/>
            <w:bottom w:val="none" w:sz="0" w:space="0" w:color="auto"/>
            <w:right w:val="none" w:sz="0" w:space="0" w:color="auto"/>
          </w:divBdr>
          <w:divsChild>
            <w:div w:id="710223731">
              <w:marLeft w:val="0"/>
              <w:marRight w:val="0"/>
              <w:marTop w:val="0"/>
              <w:marBottom w:val="0"/>
              <w:divBdr>
                <w:top w:val="none" w:sz="0" w:space="0" w:color="auto"/>
                <w:left w:val="none" w:sz="0" w:space="0" w:color="auto"/>
                <w:bottom w:val="none" w:sz="0" w:space="0" w:color="auto"/>
                <w:right w:val="none" w:sz="0" w:space="0" w:color="auto"/>
              </w:divBdr>
            </w:div>
            <w:div w:id="207836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852232">
      <w:bodyDiv w:val="1"/>
      <w:marLeft w:val="0"/>
      <w:marRight w:val="0"/>
      <w:marTop w:val="0"/>
      <w:marBottom w:val="0"/>
      <w:divBdr>
        <w:top w:val="none" w:sz="0" w:space="0" w:color="auto"/>
        <w:left w:val="none" w:sz="0" w:space="0" w:color="auto"/>
        <w:bottom w:val="none" w:sz="0" w:space="0" w:color="auto"/>
        <w:right w:val="none" w:sz="0" w:space="0" w:color="auto"/>
      </w:divBdr>
    </w:div>
    <w:div w:id="711073329">
      <w:bodyDiv w:val="1"/>
      <w:marLeft w:val="0"/>
      <w:marRight w:val="0"/>
      <w:marTop w:val="0"/>
      <w:marBottom w:val="0"/>
      <w:divBdr>
        <w:top w:val="none" w:sz="0" w:space="0" w:color="auto"/>
        <w:left w:val="none" w:sz="0" w:space="0" w:color="auto"/>
        <w:bottom w:val="none" w:sz="0" w:space="0" w:color="auto"/>
        <w:right w:val="none" w:sz="0" w:space="0" w:color="auto"/>
      </w:divBdr>
    </w:div>
    <w:div w:id="726563353">
      <w:bodyDiv w:val="1"/>
      <w:marLeft w:val="0"/>
      <w:marRight w:val="0"/>
      <w:marTop w:val="0"/>
      <w:marBottom w:val="0"/>
      <w:divBdr>
        <w:top w:val="none" w:sz="0" w:space="0" w:color="auto"/>
        <w:left w:val="none" w:sz="0" w:space="0" w:color="auto"/>
        <w:bottom w:val="none" w:sz="0" w:space="0" w:color="auto"/>
        <w:right w:val="none" w:sz="0" w:space="0" w:color="auto"/>
      </w:divBdr>
    </w:div>
    <w:div w:id="765735777">
      <w:bodyDiv w:val="1"/>
      <w:marLeft w:val="0"/>
      <w:marRight w:val="0"/>
      <w:marTop w:val="0"/>
      <w:marBottom w:val="0"/>
      <w:divBdr>
        <w:top w:val="none" w:sz="0" w:space="0" w:color="auto"/>
        <w:left w:val="none" w:sz="0" w:space="0" w:color="auto"/>
        <w:bottom w:val="none" w:sz="0" w:space="0" w:color="auto"/>
        <w:right w:val="none" w:sz="0" w:space="0" w:color="auto"/>
      </w:divBdr>
    </w:div>
    <w:div w:id="773675949">
      <w:bodyDiv w:val="1"/>
      <w:marLeft w:val="0"/>
      <w:marRight w:val="0"/>
      <w:marTop w:val="0"/>
      <w:marBottom w:val="0"/>
      <w:divBdr>
        <w:top w:val="none" w:sz="0" w:space="0" w:color="auto"/>
        <w:left w:val="none" w:sz="0" w:space="0" w:color="auto"/>
        <w:bottom w:val="none" w:sz="0" w:space="0" w:color="auto"/>
        <w:right w:val="none" w:sz="0" w:space="0" w:color="auto"/>
      </w:divBdr>
    </w:div>
    <w:div w:id="810097956">
      <w:bodyDiv w:val="1"/>
      <w:marLeft w:val="0"/>
      <w:marRight w:val="0"/>
      <w:marTop w:val="0"/>
      <w:marBottom w:val="0"/>
      <w:divBdr>
        <w:top w:val="none" w:sz="0" w:space="0" w:color="auto"/>
        <w:left w:val="none" w:sz="0" w:space="0" w:color="auto"/>
        <w:bottom w:val="none" w:sz="0" w:space="0" w:color="auto"/>
        <w:right w:val="none" w:sz="0" w:space="0" w:color="auto"/>
      </w:divBdr>
    </w:div>
    <w:div w:id="814177647">
      <w:bodyDiv w:val="1"/>
      <w:marLeft w:val="0"/>
      <w:marRight w:val="0"/>
      <w:marTop w:val="0"/>
      <w:marBottom w:val="0"/>
      <w:divBdr>
        <w:top w:val="none" w:sz="0" w:space="0" w:color="auto"/>
        <w:left w:val="none" w:sz="0" w:space="0" w:color="auto"/>
        <w:bottom w:val="none" w:sz="0" w:space="0" w:color="auto"/>
        <w:right w:val="none" w:sz="0" w:space="0" w:color="auto"/>
      </w:divBdr>
      <w:divsChild>
        <w:div w:id="1563756869">
          <w:marLeft w:val="0"/>
          <w:marRight w:val="0"/>
          <w:marTop w:val="0"/>
          <w:marBottom w:val="0"/>
          <w:divBdr>
            <w:top w:val="none" w:sz="0" w:space="0" w:color="auto"/>
            <w:left w:val="none" w:sz="0" w:space="0" w:color="auto"/>
            <w:bottom w:val="none" w:sz="0" w:space="0" w:color="auto"/>
            <w:right w:val="none" w:sz="0" w:space="0" w:color="auto"/>
          </w:divBdr>
          <w:divsChild>
            <w:div w:id="153377484">
              <w:marLeft w:val="0"/>
              <w:marRight w:val="0"/>
              <w:marTop w:val="0"/>
              <w:marBottom w:val="0"/>
              <w:divBdr>
                <w:top w:val="none" w:sz="0" w:space="0" w:color="auto"/>
                <w:left w:val="none" w:sz="0" w:space="0" w:color="auto"/>
                <w:bottom w:val="none" w:sz="0" w:space="0" w:color="auto"/>
                <w:right w:val="none" w:sz="0" w:space="0" w:color="auto"/>
              </w:divBdr>
            </w:div>
          </w:divsChild>
        </w:div>
        <w:div w:id="978150340">
          <w:marLeft w:val="0"/>
          <w:marRight w:val="0"/>
          <w:marTop w:val="0"/>
          <w:marBottom w:val="0"/>
          <w:divBdr>
            <w:top w:val="none" w:sz="0" w:space="0" w:color="auto"/>
            <w:left w:val="none" w:sz="0" w:space="0" w:color="auto"/>
            <w:bottom w:val="none" w:sz="0" w:space="0" w:color="auto"/>
            <w:right w:val="none" w:sz="0" w:space="0" w:color="auto"/>
          </w:divBdr>
          <w:divsChild>
            <w:div w:id="204832448">
              <w:marLeft w:val="0"/>
              <w:marRight w:val="0"/>
              <w:marTop w:val="0"/>
              <w:marBottom w:val="0"/>
              <w:divBdr>
                <w:top w:val="none" w:sz="0" w:space="0" w:color="auto"/>
                <w:left w:val="none" w:sz="0" w:space="0" w:color="auto"/>
                <w:bottom w:val="none" w:sz="0" w:space="0" w:color="auto"/>
                <w:right w:val="none" w:sz="0" w:space="0" w:color="auto"/>
              </w:divBdr>
            </w:div>
            <w:div w:id="240062584">
              <w:marLeft w:val="0"/>
              <w:marRight w:val="0"/>
              <w:marTop w:val="0"/>
              <w:marBottom w:val="0"/>
              <w:divBdr>
                <w:top w:val="none" w:sz="0" w:space="0" w:color="auto"/>
                <w:left w:val="none" w:sz="0" w:space="0" w:color="auto"/>
                <w:bottom w:val="none" w:sz="0" w:space="0" w:color="auto"/>
                <w:right w:val="none" w:sz="0" w:space="0" w:color="auto"/>
              </w:divBdr>
            </w:div>
            <w:div w:id="274024663">
              <w:marLeft w:val="0"/>
              <w:marRight w:val="0"/>
              <w:marTop w:val="0"/>
              <w:marBottom w:val="0"/>
              <w:divBdr>
                <w:top w:val="none" w:sz="0" w:space="0" w:color="auto"/>
                <w:left w:val="none" w:sz="0" w:space="0" w:color="auto"/>
                <w:bottom w:val="none" w:sz="0" w:space="0" w:color="auto"/>
                <w:right w:val="none" w:sz="0" w:space="0" w:color="auto"/>
              </w:divBdr>
            </w:div>
            <w:div w:id="697896071">
              <w:marLeft w:val="0"/>
              <w:marRight w:val="0"/>
              <w:marTop w:val="0"/>
              <w:marBottom w:val="0"/>
              <w:divBdr>
                <w:top w:val="none" w:sz="0" w:space="0" w:color="auto"/>
                <w:left w:val="none" w:sz="0" w:space="0" w:color="auto"/>
                <w:bottom w:val="none" w:sz="0" w:space="0" w:color="auto"/>
                <w:right w:val="none" w:sz="0" w:space="0" w:color="auto"/>
              </w:divBdr>
            </w:div>
            <w:div w:id="851799680">
              <w:marLeft w:val="0"/>
              <w:marRight w:val="0"/>
              <w:marTop w:val="0"/>
              <w:marBottom w:val="0"/>
              <w:divBdr>
                <w:top w:val="none" w:sz="0" w:space="0" w:color="auto"/>
                <w:left w:val="none" w:sz="0" w:space="0" w:color="auto"/>
                <w:bottom w:val="none" w:sz="0" w:space="0" w:color="auto"/>
                <w:right w:val="none" w:sz="0" w:space="0" w:color="auto"/>
              </w:divBdr>
            </w:div>
            <w:div w:id="1014771038">
              <w:marLeft w:val="0"/>
              <w:marRight w:val="0"/>
              <w:marTop w:val="0"/>
              <w:marBottom w:val="0"/>
              <w:divBdr>
                <w:top w:val="none" w:sz="0" w:space="0" w:color="auto"/>
                <w:left w:val="none" w:sz="0" w:space="0" w:color="auto"/>
                <w:bottom w:val="none" w:sz="0" w:space="0" w:color="auto"/>
                <w:right w:val="none" w:sz="0" w:space="0" w:color="auto"/>
              </w:divBdr>
            </w:div>
            <w:div w:id="1024483782">
              <w:marLeft w:val="0"/>
              <w:marRight w:val="0"/>
              <w:marTop w:val="0"/>
              <w:marBottom w:val="0"/>
              <w:divBdr>
                <w:top w:val="none" w:sz="0" w:space="0" w:color="auto"/>
                <w:left w:val="none" w:sz="0" w:space="0" w:color="auto"/>
                <w:bottom w:val="none" w:sz="0" w:space="0" w:color="auto"/>
                <w:right w:val="none" w:sz="0" w:space="0" w:color="auto"/>
              </w:divBdr>
            </w:div>
            <w:div w:id="1243952216">
              <w:marLeft w:val="0"/>
              <w:marRight w:val="0"/>
              <w:marTop w:val="0"/>
              <w:marBottom w:val="0"/>
              <w:divBdr>
                <w:top w:val="none" w:sz="0" w:space="0" w:color="auto"/>
                <w:left w:val="none" w:sz="0" w:space="0" w:color="auto"/>
                <w:bottom w:val="none" w:sz="0" w:space="0" w:color="auto"/>
                <w:right w:val="none" w:sz="0" w:space="0" w:color="auto"/>
              </w:divBdr>
            </w:div>
            <w:div w:id="1441486752">
              <w:marLeft w:val="0"/>
              <w:marRight w:val="0"/>
              <w:marTop w:val="0"/>
              <w:marBottom w:val="0"/>
              <w:divBdr>
                <w:top w:val="none" w:sz="0" w:space="0" w:color="auto"/>
                <w:left w:val="none" w:sz="0" w:space="0" w:color="auto"/>
                <w:bottom w:val="none" w:sz="0" w:space="0" w:color="auto"/>
                <w:right w:val="none" w:sz="0" w:space="0" w:color="auto"/>
              </w:divBdr>
            </w:div>
          </w:divsChild>
        </w:div>
        <w:div w:id="726799158">
          <w:marLeft w:val="0"/>
          <w:marRight w:val="0"/>
          <w:marTop w:val="0"/>
          <w:marBottom w:val="0"/>
          <w:divBdr>
            <w:top w:val="none" w:sz="0" w:space="0" w:color="auto"/>
            <w:left w:val="none" w:sz="0" w:space="0" w:color="auto"/>
            <w:bottom w:val="none" w:sz="0" w:space="0" w:color="auto"/>
            <w:right w:val="none" w:sz="0" w:space="0" w:color="auto"/>
          </w:divBdr>
          <w:divsChild>
            <w:div w:id="223301295">
              <w:marLeft w:val="0"/>
              <w:marRight w:val="0"/>
              <w:marTop w:val="0"/>
              <w:marBottom w:val="0"/>
              <w:divBdr>
                <w:top w:val="none" w:sz="0" w:space="0" w:color="auto"/>
                <w:left w:val="none" w:sz="0" w:space="0" w:color="auto"/>
                <w:bottom w:val="none" w:sz="0" w:space="0" w:color="auto"/>
                <w:right w:val="none" w:sz="0" w:space="0" w:color="auto"/>
              </w:divBdr>
            </w:div>
          </w:divsChild>
        </w:div>
        <w:div w:id="1964074307">
          <w:marLeft w:val="0"/>
          <w:marRight w:val="0"/>
          <w:marTop w:val="0"/>
          <w:marBottom w:val="0"/>
          <w:divBdr>
            <w:top w:val="none" w:sz="0" w:space="0" w:color="auto"/>
            <w:left w:val="none" w:sz="0" w:space="0" w:color="auto"/>
            <w:bottom w:val="none" w:sz="0" w:space="0" w:color="auto"/>
            <w:right w:val="none" w:sz="0" w:space="0" w:color="auto"/>
          </w:divBdr>
          <w:divsChild>
            <w:div w:id="602079245">
              <w:marLeft w:val="0"/>
              <w:marRight w:val="0"/>
              <w:marTop w:val="0"/>
              <w:marBottom w:val="0"/>
              <w:divBdr>
                <w:top w:val="none" w:sz="0" w:space="0" w:color="auto"/>
                <w:left w:val="none" w:sz="0" w:space="0" w:color="auto"/>
                <w:bottom w:val="none" w:sz="0" w:space="0" w:color="auto"/>
                <w:right w:val="none" w:sz="0" w:space="0" w:color="auto"/>
              </w:divBdr>
            </w:div>
          </w:divsChild>
        </w:div>
        <w:div w:id="1140683213">
          <w:marLeft w:val="0"/>
          <w:marRight w:val="0"/>
          <w:marTop w:val="0"/>
          <w:marBottom w:val="0"/>
          <w:divBdr>
            <w:top w:val="none" w:sz="0" w:space="0" w:color="auto"/>
            <w:left w:val="none" w:sz="0" w:space="0" w:color="auto"/>
            <w:bottom w:val="none" w:sz="0" w:space="0" w:color="auto"/>
            <w:right w:val="none" w:sz="0" w:space="0" w:color="auto"/>
          </w:divBdr>
          <w:divsChild>
            <w:div w:id="886529690">
              <w:marLeft w:val="0"/>
              <w:marRight w:val="0"/>
              <w:marTop w:val="0"/>
              <w:marBottom w:val="0"/>
              <w:divBdr>
                <w:top w:val="none" w:sz="0" w:space="0" w:color="auto"/>
                <w:left w:val="none" w:sz="0" w:space="0" w:color="auto"/>
                <w:bottom w:val="none" w:sz="0" w:space="0" w:color="auto"/>
                <w:right w:val="none" w:sz="0" w:space="0" w:color="auto"/>
              </w:divBdr>
            </w:div>
            <w:div w:id="1634141591">
              <w:marLeft w:val="0"/>
              <w:marRight w:val="0"/>
              <w:marTop w:val="0"/>
              <w:marBottom w:val="0"/>
              <w:divBdr>
                <w:top w:val="none" w:sz="0" w:space="0" w:color="auto"/>
                <w:left w:val="none" w:sz="0" w:space="0" w:color="auto"/>
                <w:bottom w:val="none" w:sz="0" w:space="0" w:color="auto"/>
                <w:right w:val="none" w:sz="0" w:space="0" w:color="auto"/>
              </w:divBdr>
            </w:div>
            <w:div w:id="1645114982">
              <w:marLeft w:val="0"/>
              <w:marRight w:val="0"/>
              <w:marTop w:val="0"/>
              <w:marBottom w:val="0"/>
              <w:divBdr>
                <w:top w:val="none" w:sz="0" w:space="0" w:color="auto"/>
                <w:left w:val="none" w:sz="0" w:space="0" w:color="auto"/>
                <w:bottom w:val="none" w:sz="0" w:space="0" w:color="auto"/>
                <w:right w:val="none" w:sz="0" w:space="0" w:color="auto"/>
              </w:divBdr>
            </w:div>
            <w:div w:id="2033921842">
              <w:marLeft w:val="0"/>
              <w:marRight w:val="0"/>
              <w:marTop w:val="0"/>
              <w:marBottom w:val="0"/>
              <w:divBdr>
                <w:top w:val="none" w:sz="0" w:space="0" w:color="auto"/>
                <w:left w:val="none" w:sz="0" w:space="0" w:color="auto"/>
                <w:bottom w:val="none" w:sz="0" w:space="0" w:color="auto"/>
                <w:right w:val="none" w:sz="0" w:space="0" w:color="auto"/>
              </w:divBdr>
            </w:div>
          </w:divsChild>
        </w:div>
        <w:div w:id="1708607287">
          <w:marLeft w:val="0"/>
          <w:marRight w:val="0"/>
          <w:marTop w:val="0"/>
          <w:marBottom w:val="0"/>
          <w:divBdr>
            <w:top w:val="none" w:sz="0" w:space="0" w:color="auto"/>
            <w:left w:val="none" w:sz="0" w:space="0" w:color="auto"/>
            <w:bottom w:val="none" w:sz="0" w:space="0" w:color="auto"/>
            <w:right w:val="none" w:sz="0" w:space="0" w:color="auto"/>
          </w:divBdr>
          <w:divsChild>
            <w:div w:id="916549869">
              <w:marLeft w:val="0"/>
              <w:marRight w:val="0"/>
              <w:marTop w:val="0"/>
              <w:marBottom w:val="0"/>
              <w:divBdr>
                <w:top w:val="none" w:sz="0" w:space="0" w:color="auto"/>
                <w:left w:val="none" w:sz="0" w:space="0" w:color="auto"/>
                <w:bottom w:val="none" w:sz="0" w:space="0" w:color="auto"/>
                <w:right w:val="none" w:sz="0" w:space="0" w:color="auto"/>
              </w:divBdr>
            </w:div>
            <w:div w:id="1442533056">
              <w:marLeft w:val="0"/>
              <w:marRight w:val="0"/>
              <w:marTop w:val="0"/>
              <w:marBottom w:val="0"/>
              <w:divBdr>
                <w:top w:val="none" w:sz="0" w:space="0" w:color="auto"/>
                <w:left w:val="none" w:sz="0" w:space="0" w:color="auto"/>
                <w:bottom w:val="none" w:sz="0" w:space="0" w:color="auto"/>
                <w:right w:val="none" w:sz="0" w:space="0" w:color="auto"/>
              </w:divBdr>
            </w:div>
            <w:div w:id="1813330957">
              <w:marLeft w:val="0"/>
              <w:marRight w:val="0"/>
              <w:marTop w:val="0"/>
              <w:marBottom w:val="0"/>
              <w:divBdr>
                <w:top w:val="none" w:sz="0" w:space="0" w:color="auto"/>
                <w:left w:val="none" w:sz="0" w:space="0" w:color="auto"/>
                <w:bottom w:val="none" w:sz="0" w:space="0" w:color="auto"/>
                <w:right w:val="none" w:sz="0" w:space="0" w:color="auto"/>
              </w:divBdr>
            </w:div>
          </w:divsChild>
        </w:div>
        <w:div w:id="1486387878">
          <w:marLeft w:val="0"/>
          <w:marRight w:val="0"/>
          <w:marTop w:val="0"/>
          <w:marBottom w:val="0"/>
          <w:divBdr>
            <w:top w:val="none" w:sz="0" w:space="0" w:color="auto"/>
            <w:left w:val="none" w:sz="0" w:space="0" w:color="auto"/>
            <w:bottom w:val="none" w:sz="0" w:space="0" w:color="auto"/>
            <w:right w:val="none" w:sz="0" w:space="0" w:color="auto"/>
          </w:divBdr>
          <w:divsChild>
            <w:div w:id="1052927789">
              <w:marLeft w:val="0"/>
              <w:marRight w:val="0"/>
              <w:marTop w:val="0"/>
              <w:marBottom w:val="0"/>
              <w:divBdr>
                <w:top w:val="none" w:sz="0" w:space="0" w:color="auto"/>
                <w:left w:val="none" w:sz="0" w:space="0" w:color="auto"/>
                <w:bottom w:val="none" w:sz="0" w:space="0" w:color="auto"/>
                <w:right w:val="none" w:sz="0" w:space="0" w:color="auto"/>
              </w:divBdr>
            </w:div>
          </w:divsChild>
        </w:div>
        <w:div w:id="1417481139">
          <w:marLeft w:val="0"/>
          <w:marRight w:val="0"/>
          <w:marTop w:val="0"/>
          <w:marBottom w:val="0"/>
          <w:divBdr>
            <w:top w:val="none" w:sz="0" w:space="0" w:color="auto"/>
            <w:left w:val="none" w:sz="0" w:space="0" w:color="auto"/>
            <w:bottom w:val="none" w:sz="0" w:space="0" w:color="auto"/>
            <w:right w:val="none" w:sz="0" w:space="0" w:color="auto"/>
          </w:divBdr>
          <w:divsChild>
            <w:div w:id="2070305433">
              <w:marLeft w:val="0"/>
              <w:marRight w:val="0"/>
              <w:marTop w:val="0"/>
              <w:marBottom w:val="0"/>
              <w:divBdr>
                <w:top w:val="none" w:sz="0" w:space="0" w:color="auto"/>
                <w:left w:val="none" w:sz="0" w:space="0" w:color="auto"/>
                <w:bottom w:val="none" w:sz="0" w:space="0" w:color="auto"/>
                <w:right w:val="none" w:sz="0" w:space="0" w:color="auto"/>
              </w:divBdr>
            </w:div>
          </w:divsChild>
        </w:div>
        <w:div w:id="1683583669">
          <w:marLeft w:val="0"/>
          <w:marRight w:val="0"/>
          <w:marTop w:val="0"/>
          <w:marBottom w:val="0"/>
          <w:divBdr>
            <w:top w:val="none" w:sz="0" w:space="0" w:color="auto"/>
            <w:left w:val="none" w:sz="0" w:space="0" w:color="auto"/>
            <w:bottom w:val="none" w:sz="0" w:space="0" w:color="auto"/>
            <w:right w:val="none" w:sz="0" w:space="0" w:color="auto"/>
          </w:divBdr>
          <w:divsChild>
            <w:div w:id="1530489169">
              <w:marLeft w:val="0"/>
              <w:marRight w:val="0"/>
              <w:marTop w:val="0"/>
              <w:marBottom w:val="0"/>
              <w:divBdr>
                <w:top w:val="none" w:sz="0" w:space="0" w:color="auto"/>
                <w:left w:val="none" w:sz="0" w:space="0" w:color="auto"/>
                <w:bottom w:val="none" w:sz="0" w:space="0" w:color="auto"/>
                <w:right w:val="none" w:sz="0" w:space="0" w:color="auto"/>
              </w:divBdr>
            </w:div>
          </w:divsChild>
        </w:div>
        <w:div w:id="1784491774">
          <w:marLeft w:val="0"/>
          <w:marRight w:val="0"/>
          <w:marTop w:val="0"/>
          <w:marBottom w:val="0"/>
          <w:divBdr>
            <w:top w:val="none" w:sz="0" w:space="0" w:color="auto"/>
            <w:left w:val="none" w:sz="0" w:space="0" w:color="auto"/>
            <w:bottom w:val="none" w:sz="0" w:space="0" w:color="auto"/>
            <w:right w:val="none" w:sz="0" w:space="0" w:color="auto"/>
          </w:divBdr>
          <w:divsChild>
            <w:div w:id="193659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837988">
      <w:bodyDiv w:val="1"/>
      <w:marLeft w:val="0"/>
      <w:marRight w:val="0"/>
      <w:marTop w:val="0"/>
      <w:marBottom w:val="0"/>
      <w:divBdr>
        <w:top w:val="none" w:sz="0" w:space="0" w:color="auto"/>
        <w:left w:val="none" w:sz="0" w:space="0" w:color="auto"/>
        <w:bottom w:val="none" w:sz="0" w:space="0" w:color="auto"/>
        <w:right w:val="none" w:sz="0" w:space="0" w:color="auto"/>
      </w:divBdr>
    </w:div>
    <w:div w:id="839539633">
      <w:bodyDiv w:val="1"/>
      <w:marLeft w:val="0"/>
      <w:marRight w:val="0"/>
      <w:marTop w:val="0"/>
      <w:marBottom w:val="0"/>
      <w:divBdr>
        <w:top w:val="none" w:sz="0" w:space="0" w:color="auto"/>
        <w:left w:val="none" w:sz="0" w:space="0" w:color="auto"/>
        <w:bottom w:val="none" w:sz="0" w:space="0" w:color="auto"/>
        <w:right w:val="none" w:sz="0" w:space="0" w:color="auto"/>
      </w:divBdr>
    </w:div>
    <w:div w:id="845752830">
      <w:bodyDiv w:val="1"/>
      <w:marLeft w:val="0"/>
      <w:marRight w:val="0"/>
      <w:marTop w:val="0"/>
      <w:marBottom w:val="0"/>
      <w:divBdr>
        <w:top w:val="none" w:sz="0" w:space="0" w:color="auto"/>
        <w:left w:val="none" w:sz="0" w:space="0" w:color="auto"/>
        <w:bottom w:val="none" w:sz="0" w:space="0" w:color="auto"/>
        <w:right w:val="none" w:sz="0" w:space="0" w:color="auto"/>
      </w:divBdr>
    </w:div>
    <w:div w:id="865676073">
      <w:bodyDiv w:val="1"/>
      <w:marLeft w:val="0"/>
      <w:marRight w:val="0"/>
      <w:marTop w:val="0"/>
      <w:marBottom w:val="0"/>
      <w:divBdr>
        <w:top w:val="none" w:sz="0" w:space="0" w:color="auto"/>
        <w:left w:val="none" w:sz="0" w:space="0" w:color="auto"/>
        <w:bottom w:val="none" w:sz="0" w:space="0" w:color="auto"/>
        <w:right w:val="none" w:sz="0" w:space="0" w:color="auto"/>
      </w:divBdr>
    </w:div>
    <w:div w:id="876283303">
      <w:bodyDiv w:val="1"/>
      <w:marLeft w:val="0"/>
      <w:marRight w:val="0"/>
      <w:marTop w:val="0"/>
      <w:marBottom w:val="0"/>
      <w:divBdr>
        <w:top w:val="none" w:sz="0" w:space="0" w:color="auto"/>
        <w:left w:val="none" w:sz="0" w:space="0" w:color="auto"/>
        <w:bottom w:val="none" w:sz="0" w:space="0" w:color="auto"/>
        <w:right w:val="none" w:sz="0" w:space="0" w:color="auto"/>
      </w:divBdr>
    </w:div>
    <w:div w:id="906498979">
      <w:bodyDiv w:val="1"/>
      <w:marLeft w:val="0"/>
      <w:marRight w:val="0"/>
      <w:marTop w:val="0"/>
      <w:marBottom w:val="0"/>
      <w:divBdr>
        <w:top w:val="none" w:sz="0" w:space="0" w:color="auto"/>
        <w:left w:val="none" w:sz="0" w:space="0" w:color="auto"/>
        <w:bottom w:val="none" w:sz="0" w:space="0" w:color="auto"/>
        <w:right w:val="none" w:sz="0" w:space="0" w:color="auto"/>
      </w:divBdr>
    </w:div>
    <w:div w:id="917397290">
      <w:bodyDiv w:val="1"/>
      <w:marLeft w:val="0"/>
      <w:marRight w:val="0"/>
      <w:marTop w:val="0"/>
      <w:marBottom w:val="0"/>
      <w:divBdr>
        <w:top w:val="none" w:sz="0" w:space="0" w:color="auto"/>
        <w:left w:val="none" w:sz="0" w:space="0" w:color="auto"/>
        <w:bottom w:val="none" w:sz="0" w:space="0" w:color="auto"/>
        <w:right w:val="none" w:sz="0" w:space="0" w:color="auto"/>
      </w:divBdr>
    </w:div>
    <w:div w:id="939416204">
      <w:bodyDiv w:val="1"/>
      <w:marLeft w:val="0"/>
      <w:marRight w:val="0"/>
      <w:marTop w:val="0"/>
      <w:marBottom w:val="0"/>
      <w:divBdr>
        <w:top w:val="none" w:sz="0" w:space="0" w:color="auto"/>
        <w:left w:val="none" w:sz="0" w:space="0" w:color="auto"/>
        <w:bottom w:val="none" w:sz="0" w:space="0" w:color="auto"/>
        <w:right w:val="none" w:sz="0" w:space="0" w:color="auto"/>
      </w:divBdr>
      <w:divsChild>
        <w:div w:id="1240941768">
          <w:marLeft w:val="0"/>
          <w:marRight w:val="0"/>
          <w:marTop w:val="0"/>
          <w:marBottom w:val="0"/>
          <w:divBdr>
            <w:top w:val="none" w:sz="0" w:space="0" w:color="auto"/>
            <w:left w:val="none" w:sz="0" w:space="0" w:color="auto"/>
            <w:bottom w:val="none" w:sz="0" w:space="0" w:color="auto"/>
            <w:right w:val="none" w:sz="0" w:space="0" w:color="auto"/>
          </w:divBdr>
          <w:divsChild>
            <w:div w:id="1108429731">
              <w:marLeft w:val="0"/>
              <w:marRight w:val="0"/>
              <w:marTop w:val="0"/>
              <w:marBottom w:val="0"/>
              <w:divBdr>
                <w:top w:val="none" w:sz="0" w:space="0" w:color="auto"/>
                <w:left w:val="none" w:sz="0" w:space="0" w:color="auto"/>
                <w:bottom w:val="none" w:sz="0" w:space="0" w:color="auto"/>
                <w:right w:val="none" w:sz="0" w:space="0" w:color="auto"/>
              </w:divBdr>
            </w:div>
          </w:divsChild>
        </w:div>
        <w:div w:id="1550072445">
          <w:marLeft w:val="0"/>
          <w:marRight w:val="0"/>
          <w:marTop w:val="0"/>
          <w:marBottom w:val="0"/>
          <w:divBdr>
            <w:top w:val="none" w:sz="0" w:space="0" w:color="auto"/>
            <w:left w:val="none" w:sz="0" w:space="0" w:color="auto"/>
            <w:bottom w:val="none" w:sz="0" w:space="0" w:color="auto"/>
            <w:right w:val="none" w:sz="0" w:space="0" w:color="auto"/>
          </w:divBdr>
          <w:divsChild>
            <w:div w:id="922760391">
              <w:marLeft w:val="0"/>
              <w:marRight w:val="0"/>
              <w:marTop w:val="0"/>
              <w:marBottom w:val="0"/>
              <w:divBdr>
                <w:top w:val="none" w:sz="0" w:space="0" w:color="auto"/>
                <w:left w:val="none" w:sz="0" w:space="0" w:color="auto"/>
                <w:bottom w:val="none" w:sz="0" w:space="0" w:color="auto"/>
                <w:right w:val="none" w:sz="0" w:space="0" w:color="auto"/>
              </w:divBdr>
              <w:divsChild>
                <w:div w:id="138741553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882010993">
          <w:marLeft w:val="0"/>
          <w:marRight w:val="0"/>
          <w:marTop w:val="0"/>
          <w:marBottom w:val="0"/>
          <w:divBdr>
            <w:top w:val="none" w:sz="0" w:space="0" w:color="auto"/>
            <w:left w:val="none" w:sz="0" w:space="0" w:color="auto"/>
            <w:bottom w:val="none" w:sz="0" w:space="0" w:color="auto"/>
            <w:right w:val="none" w:sz="0" w:space="0" w:color="auto"/>
          </w:divBdr>
          <w:divsChild>
            <w:div w:id="1059785768">
              <w:marLeft w:val="0"/>
              <w:marRight w:val="0"/>
              <w:marTop w:val="0"/>
              <w:marBottom w:val="0"/>
              <w:divBdr>
                <w:top w:val="none" w:sz="0" w:space="0" w:color="auto"/>
                <w:left w:val="none" w:sz="0" w:space="0" w:color="auto"/>
                <w:bottom w:val="none" w:sz="0" w:space="0" w:color="auto"/>
                <w:right w:val="none" w:sz="0" w:space="0" w:color="auto"/>
              </w:divBdr>
              <w:divsChild>
                <w:div w:id="152320849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960919025">
      <w:bodyDiv w:val="1"/>
      <w:marLeft w:val="0"/>
      <w:marRight w:val="0"/>
      <w:marTop w:val="0"/>
      <w:marBottom w:val="0"/>
      <w:divBdr>
        <w:top w:val="none" w:sz="0" w:space="0" w:color="auto"/>
        <w:left w:val="none" w:sz="0" w:space="0" w:color="auto"/>
        <w:bottom w:val="none" w:sz="0" w:space="0" w:color="auto"/>
        <w:right w:val="none" w:sz="0" w:space="0" w:color="auto"/>
      </w:divBdr>
      <w:divsChild>
        <w:div w:id="228348535">
          <w:marLeft w:val="0"/>
          <w:marRight w:val="0"/>
          <w:marTop w:val="0"/>
          <w:marBottom w:val="0"/>
          <w:divBdr>
            <w:top w:val="none" w:sz="0" w:space="0" w:color="auto"/>
            <w:left w:val="none" w:sz="0" w:space="0" w:color="auto"/>
            <w:bottom w:val="none" w:sz="0" w:space="0" w:color="auto"/>
            <w:right w:val="none" w:sz="0" w:space="0" w:color="auto"/>
          </w:divBdr>
        </w:div>
      </w:divsChild>
    </w:div>
    <w:div w:id="964195450">
      <w:bodyDiv w:val="1"/>
      <w:marLeft w:val="0"/>
      <w:marRight w:val="0"/>
      <w:marTop w:val="0"/>
      <w:marBottom w:val="0"/>
      <w:divBdr>
        <w:top w:val="none" w:sz="0" w:space="0" w:color="auto"/>
        <w:left w:val="none" w:sz="0" w:space="0" w:color="auto"/>
        <w:bottom w:val="none" w:sz="0" w:space="0" w:color="auto"/>
        <w:right w:val="none" w:sz="0" w:space="0" w:color="auto"/>
      </w:divBdr>
    </w:div>
    <w:div w:id="964502772">
      <w:bodyDiv w:val="1"/>
      <w:marLeft w:val="0"/>
      <w:marRight w:val="0"/>
      <w:marTop w:val="0"/>
      <w:marBottom w:val="0"/>
      <w:divBdr>
        <w:top w:val="none" w:sz="0" w:space="0" w:color="auto"/>
        <w:left w:val="none" w:sz="0" w:space="0" w:color="auto"/>
        <w:bottom w:val="none" w:sz="0" w:space="0" w:color="auto"/>
        <w:right w:val="none" w:sz="0" w:space="0" w:color="auto"/>
      </w:divBdr>
      <w:divsChild>
        <w:div w:id="825785571">
          <w:marLeft w:val="0"/>
          <w:marRight w:val="0"/>
          <w:marTop w:val="0"/>
          <w:marBottom w:val="0"/>
          <w:divBdr>
            <w:top w:val="none" w:sz="0" w:space="0" w:color="auto"/>
            <w:left w:val="none" w:sz="0" w:space="0" w:color="auto"/>
            <w:bottom w:val="none" w:sz="0" w:space="0" w:color="auto"/>
            <w:right w:val="none" w:sz="0" w:space="0" w:color="auto"/>
          </w:divBdr>
          <w:divsChild>
            <w:div w:id="1592617199">
              <w:marLeft w:val="0"/>
              <w:marRight w:val="0"/>
              <w:marTop w:val="0"/>
              <w:marBottom w:val="0"/>
              <w:divBdr>
                <w:top w:val="none" w:sz="0" w:space="0" w:color="auto"/>
                <w:left w:val="none" w:sz="0" w:space="0" w:color="auto"/>
                <w:bottom w:val="none" w:sz="0" w:space="0" w:color="auto"/>
                <w:right w:val="none" w:sz="0" w:space="0" w:color="auto"/>
              </w:divBdr>
              <w:divsChild>
                <w:div w:id="192113938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80224044">
          <w:marLeft w:val="0"/>
          <w:marRight w:val="0"/>
          <w:marTop w:val="0"/>
          <w:marBottom w:val="0"/>
          <w:divBdr>
            <w:top w:val="none" w:sz="0" w:space="0" w:color="auto"/>
            <w:left w:val="none" w:sz="0" w:space="0" w:color="auto"/>
            <w:bottom w:val="none" w:sz="0" w:space="0" w:color="auto"/>
            <w:right w:val="none" w:sz="0" w:space="0" w:color="auto"/>
          </w:divBdr>
          <w:divsChild>
            <w:div w:id="937760205">
              <w:marLeft w:val="0"/>
              <w:marRight w:val="0"/>
              <w:marTop w:val="0"/>
              <w:marBottom w:val="0"/>
              <w:divBdr>
                <w:top w:val="none" w:sz="0" w:space="0" w:color="auto"/>
                <w:left w:val="none" w:sz="0" w:space="0" w:color="auto"/>
                <w:bottom w:val="none" w:sz="0" w:space="0" w:color="auto"/>
                <w:right w:val="none" w:sz="0" w:space="0" w:color="auto"/>
              </w:divBdr>
              <w:divsChild>
                <w:div w:id="193065643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2009164702">
          <w:marLeft w:val="0"/>
          <w:marRight w:val="0"/>
          <w:marTop w:val="0"/>
          <w:marBottom w:val="0"/>
          <w:divBdr>
            <w:top w:val="none" w:sz="0" w:space="0" w:color="auto"/>
            <w:left w:val="none" w:sz="0" w:space="0" w:color="auto"/>
            <w:bottom w:val="none" w:sz="0" w:space="0" w:color="auto"/>
            <w:right w:val="none" w:sz="0" w:space="0" w:color="auto"/>
          </w:divBdr>
          <w:divsChild>
            <w:div w:id="182322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334128">
      <w:bodyDiv w:val="1"/>
      <w:marLeft w:val="0"/>
      <w:marRight w:val="0"/>
      <w:marTop w:val="0"/>
      <w:marBottom w:val="0"/>
      <w:divBdr>
        <w:top w:val="none" w:sz="0" w:space="0" w:color="auto"/>
        <w:left w:val="none" w:sz="0" w:space="0" w:color="auto"/>
        <w:bottom w:val="none" w:sz="0" w:space="0" w:color="auto"/>
        <w:right w:val="none" w:sz="0" w:space="0" w:color="auto"/>
      </w:divBdr>
    </w:div>
    <w:div w:id="1073546356">
      <w:bodyDiv w:val="1"/>
      <w:marLeft w:val="0"/>
      <w:marRight w:val="0"/>
      <w:marTop w:val="0"/>
      <w:marBottom w:val="0"/>
      <w:divBdr>
        <w:top w:val="none" w:sz="0" w:space="0" w:color="auto"/>
        <w:left w:val="none" w:sz="0" w:space="0" w:color="auto"/>
        <w:bottom w:val="none" w:sz="0" w:space="0" w:color="auto"/>
        <w:right w:val="none" w:sz="0" w:space="0" w:color="auto"/>
      </w:divBdr>
    </w:div>
    <w:div w:id="1085147128">
      <w:bodyDiv w:val="1"/>
      <w:marLeft w:val="0"/>
      <w:marRight w:val="0"/>
      <w:marTop w:val="0"/>
      <w:marBottom w:val="0"/>
      <w:divBdr>
        <w:top w:val="none" w:sz="0" w:space="0" w:color="auto"/>
        <w:left w:val="none" w:sz="0" w:space="0" w:color="auto"/>
        <w:bottom w:val="none" w:sz="0" w:space="0" w:color="auto"/>
        <w:right w:val="none" w:sz="0" w:space="0" w:color="auto"/>
      </w:divBdr>
    </w:div>
    <w:div w:id="1089157700">
      <w:bodyDiv w:val="1"/>
      <w:marLeft w:val="0"/>
      <w:marRight w:val="0"/>
      <w:marTop w:val="0"/>
      <w:marBottom w:val="0"/>
      <w:divBdr>
        <w:top w:val="none" w:sz="0" w:space="0" w:color="auto"/>
        <w:left w:val="none" w:sz="0" w:space="0" w:color="auto"/>
        <w:bottom w:val="none" w:sz="0" w:space="0" w:color="auto"/>
        <w:right w:val="none" w:sz="0" w:space="0" w:color="auto"/>
      </w:divBdr>
    </w:div>
    <w:div w:id="1111783430">
      <w:bodyDiv w:val="1"/>
      <w:marLeft w:val="0"/>
      <w:marRight w:val="0"/>
      <w:marTop w:val="0"/>
      <w:marBottom w:val="0"/>
      <w:divBdr>
        <w:top w:val="none" w:sz="0" w:space="0" w:color="auto"/>
        <w:left w:val="none" w:sz="0" w:space="0" w:color="auto"/>
        <w:bottom w:val="none" w:sz="0" w:space="0" w:color="auto"/>
        <w:right w:val="none" w:sz="0" w:space="0" w:color="auto"/>
      </w:divBdr>
    </w:div>
    <w:div w:id="1117330659">
      <w:bodyDiv w:val="1"/>
      <w:marLeft w:val="0"/>
      <w:marRight w:val="0"/>
      <w:marTop w:val="0"/>
      <w:marBottom w:val="0"/>
      <w:divBdr>
        <w:top w:val="none" w:sz="0" w:space="0" w:color="auto"/>
        <w:left w:val="none" w:sz="0" w:space="0" w:color="auto"/>
        <w:bottom w:val="none" w:sz="0" w:space="0" w:color="auto"/>
        <w:right w:val="none" w:sz="0" w:space="0" w:color="auto"/>
      </w:divBdr>
    </w:div>
    <w:div w:id="1144352717">
      <w:bodyDiv w:val="1"/>
      <w:marLeft w:val="0"/>
      <w:marRight w:val="0"/>
      <w:marTop w:val="0"/>
      <w:marBottom w:val="0"/>
      <w:divBdr>
        <w:top w:val="none" w:sz="0" w:space="0" w:color="auto"/>
        <w:left w:val="none" w:sz="0" w:space="0" w:color="auto"/>
        <w:bottom w:val="none" w:sz="0" w:space="0" w:color="auto"/>
        <w:right w:val="none" w:sz="0" w:space="0" w:color="auto"/>
      </w:divBdr>
      <w:divsChild>
        <w:div w:id="1700933961">
          <w:marLeft w:val="0"/>
          <w:marRight w:val="0"/>
          <w:marTop w:val="0"/>
          <w:marBottom w:val="0"/>
          <w:divBdr>
            <w:top w:val="none" w:sz="0" w:space="0" w:color="auto"/>
            <w:left w:val="none" w:sz="0" w:space="0" w:color="auto"/>
            <w:bottom w:val="none" w:sz="0" w:space="0" w:color="auto"/>
            <w:right w:val="none" w:sz="0" w:space="0" w:color="auto"/>
          </w:divBdr>
        </w:div>
      </w:divsChild>
    </w:div>
    <w:div w:id="1182010252">
      <w:bodyDiv w:val="1"/>
      <w:marLeft w:val="0"/>
      <w:marRight w:val="0"/>
      <w:marTop w:val="0"/>
      <w:marBottom w:val="0"/>
      <w:divBdr>
        <w:top w:val="none" w:sz="0" w:space="0" w:color="auto"/>
        <w:left w:val="none" w:sz="0" w:space="0" w:color="auto"/>
        <w:bottom w:val="none" w:sz="0" w:space="0" w:color="auto"/>
        <w:right w:val="none" w:sz="0" w:space="0" w:color="auto"/>
      </w:divBdr>
      <w:divsChild>
        <w:div w:id="737481254">
          <w:marLeft w:val="0"/>
          <w:marRight w:val="0"/>
          <w:marTop w:val="0"/>
          <w:marBottom w:val="0"/>
          <w:divBdr>
            <w:top w:val="none" w:sz="0" w:space="0" w:color="auto"/>
            <w:left w:val="none" w:sz="0" w:space="0" w:color="auto"/>
            <w:bottom w:val="none" w:sz="0" w:space="0" w:color="auto"/>
            <w:right w:val="none" w:sz="0" w:space="0" w:color="auto"/>
          </w:divBdr>
        </w:div>
      </w:divsChild>
    </w:div>
    <w:div w:id="1182013298">
      <w:bodyDiv w:val="1"/>
      <w:marLeft w:val="0"/>
      <w:marRight w:val="0"/>
      <w:marTop w:val="0"/>
      <w:marBottom w:val="0"/>
      <w:divBdr>
        <w:top w:val="none" w:sz="0" w:space="0" w:color="auto"/>
        <w:left w:val="none" w:sz="0" w:space="0" w:color="auto"/>
        <w:bottom w:val="none" w:sz="0" w:space="0" w:color="auto"/>
        <w:right w:val="none" w:sz="0" w:space="0" w:color="auto"/>
      </w:divBdr>
    </w:div>
    <w:div w:id="1195267187">
      <w:bodyDiv w:val="1"/>
      <w:marLeft w:val="0"/>
      <w:marRight w:val="0"/>
      <w:marTop w:val="0"/>
      <w:marBottom w:val="0"/>
      <w:divBdr>
        <w:top w:val="none" w:sz="0" w:space="0" w:color="auto"/>
        <w:left w:val="none" w:sz="0" w:space="0" w:color="auto"/>
        <w:bottom w:val="none" w:sz="0" w:space="0" w:color="auto"/>
        <w:right w:val="none" w:sz="0" w:space="0" w:color="auto"/>
      </w:divBdr>
      <w:divsChild>
        <w:div w:id="1055351583">
          <w:marLeft w:val="0"/>
          <w:marRight w:val="0"/>
          <w:marTop w:val="0"/>
          <w:marBottom w:val="0"/>
          <w:divBdr>
            <w:top w:val="none" w:sz="0" w:space="0" w:color="auto"/>
            <w:left w:val="none" w:sz="0" w:space="0" w:color="auto"/>
            <w:bottom w:val="none" w:sz="0" w:space="0" w:color="auto"/>
            <w:right w:val="none" w:sz="0" w:space="0" w:color="auto"/>
          </w:divBdr>
        </w:div>
        <w:div w:id="1329477684">
          <w:marLeft w:val="0"/>
          <w:marRight w:val="0"/>
          <w:marTop w:val="0"/>
          <w:marBottom w:val="0"/>
          <w:divBdr>
            <w:top w:val="none" w:sz="0" w:space="0" w:color="auto"/>
            <w:left w:val="none" w:sz="0" w:space="0" w:color="auto"/>
            <w:bottom w:val="none" w:sz="0" w:space="0" w:color="auto"/>
            <w:right w:val="none" w:sz="0" w:space="0" w:color="auto"/>
          </w:divBdr>
        </w:div>
      </w:divsChild>
    </w:div>
    <w:div w:id="1209301524">
      <w:bodyDiv w:val="1"/>
      <w:marLeft w:val="0"/>
      <w:marRight w:val="0"/>
      <w:marTop w:val="0"/>
      <w:marBottom w:val="0"/>
      <w:divBdr>
        <w:top w:val="none" w:sz="0" w:space="0" w:color="auto"/>
        <w:left w:val="none" w:sz="0" w:space="0" w:color="auto"/>
        <w:bottom w:val="none" w:sz="0" w:space="0" w:color="auto"/>
        <w:right w:val="none" w:sz="0" w:space="0" w:color="auto"/>
      </w:divBdr>
    </w:div>
    <w:div w:id="1226140102">
      <w:bodyDiv w:val="1"/>
      <w:marLeft w:val="0"/>
      <w:marRight w:val="0"/>
      <w:marTop w:val="0"/>
      <w:marBottom w:val="0"/>
      <w:divBdr>
        <w:top w:val="none" w:sz="0" w:space="0" w:color="auto"/>
        <w:left w:val="none" w:sz="0" w:space="0" w:color="auto"/>
        <w:bottom w:val="none" w:sz="0" w:space="0" w:color="auto"/>
        <w:right w:val="none" w:sz="0" w:space="0" w:color="auto"/>
      </w:divBdr>
      <w:divsChild>
        <w:div w:id="1686054223">
          <w:marLeft w:val="0"/>
          <w:marRight w:val="0"/>
          <w:marTop w:val="0"/>
          <w:marBottom w:val="0"/>
          <w:divBdr>
            <w:top w:val="none" w:sz="0" w:space="0" w:color="auto"/>
            <w:left w:val="none" w:sz="0" w:space="0" w:color="auto"/>
            <w:bottom w:val="none" w:sz="0" w:space="0" w:color="auto"/>
            <w:right w:val="none" w:sz="0" w:space="0" w:color="auto"/>
          </w:divBdr>
        </w:div>
      </w:divsChild>
    </w:div>
    <w:div w:id="1228999141">
      <w:bodyDiv w:val="1"/>
      <w:marLeft w:val="0"/>
      <w:marRight w:val="0"/>
      <w:marTop w:val="0"/>
      <w:marBottom w:val="0"/>
      <w:divBdr>
        <w:top w:val="none" w:sz="0" w:space="0" w:color="auto"/>
        <w:left w:val="none" w:sz="0" w:space="0" w:color="auto"/>
        <w:bottom w:val="none" w:sz="0" w:space="0" w:color="auto"/>
        <w:right w:val="none" w:sz="0" w:space="0" w:color="auto"/>
      </w:divBdr>
    </w:div>
    <w:div w:id="1243176977">
      <w:bodyDiv w:val="1"/>
      <w:marLeft w:val="0"/>
      <w:marRight w:val="0"/>
      <w:marTop w:val="0"/>
      <w:marBottom w:val="0"/>
      <w:divBdr>
        <w:top w:val="none" w:sz="0" w:space="0" w:color="auto"/>
        <w:left w:val="none" w:sz="0" w:space="0" w:color="auto"/>
        <w:bottom w:val="none" w:sz="0" w:space="0" w:color="auto"/>
        <w:right w:val="none" w:sz="0" w:space="0" w:color="auto"/>
      </w:divBdr>
    </w:div>
    <w:div w:id="1282762573">
      <w:bodyDiv w:val="1"/>
      <w:marLeft w:val="0"/>
      <w:marRight w:val="0"/>
      <w:marTop w:val="0"/>
      <w:marBottom w:val="0"/>
      <w:divBdr>
        <w:top w:val="none" w:sz="0" w:space="0" w:color="auto"/>
        <w:left w:val="none" w:sz="0" w:space="0" w:color="auto"/>
        <w:bottom w:val="none" w:sz="0" w:space="0" w:color="auto"/>
        <w:right w:val="none" w:sz="0" w:space="0" w:color="auto"/>
      </w:divBdr>
    </w:div>
    <w:div w:id="1284077035">
      <w:bodyDiv w:val="1"/>
      <w:marLeft w:val="0"/>
      <w:marRight w:val="0"/>
      <w:marTop w:val="0"/>
      <w:marBottom w:val="0"/>
      <w:divBdr>
        <w:top w:val="none" w:sz="0" w:space="0" w:color="auto"/>
        <w:left w:val="none" w:sz="0" w:space="0" w:color="auto"/>
        <w:bottom w:val="none" w:sz="0" w:space="0" w:color="auto"/>
        <w:right w:val="none" w:sz="0" w:space="0" w:color="auto"/>
      </w:divBdr>
    </w:div>
    <w:div w:id="1289125688">
      <w:bodyDiv w:val="1"/>
      <w:marLeft w:val="0"/>
      <w:marRight w:val="0"/>
      <w:marTop w:val="0"/>
      <w:marBottom w:val="0"/>
      <w:divBdr>
        <w:top w:val="none" w:sz="0" w:space="0" w:color="auto"/>
        <w:left w:val="none" w:sz="0" w:space="0" w:color="auto"/>
        <w:bottom w:val="none" w:sz="0" w:space="0" w:color="auto"/>
        <w:right w:val="none" w:sz="0" w:space="0" w:color="auto"/>
      </w:divBdr>
      <w:divsChild>
        <w:div w:id="49159617">
          <w:marLeft w:val="0"/>
          <w:marRight w:val="0"/>
          <w:marTop w:val="0"/>
          <w:marBottom w:val="0"/>
          <w:divBdr>
            <w:top w:val="none" w:sz="0" w:space="0" w:color="auto"/>
            <w:left w:val="none" w:sz="0" w:space="0" w:color="auto"/>
            <w:bottom w:val="none" w:sz="0" w:space="0" w:color="auto"/>
            <w:right w:val="none" w:sz="0" w:space="0" w:color="auto"/>
          </w:divBdr>
          <w:divsChild>
            <w:div w:id="1901475120">
              <w:marLeft w:val="0"/>
              <w:marRight w:val="0"/>
              <w:marTop w:val="0"/>
              <w:marBottom w:val="0"/>
              <w:divBdr>
                <w:top w:val="none" w:sz="0" w:space="0" w:color="auto"/>
                <w:left w:val="none" w:sz="0" w:space="0" w:color="auto"/>
                <w:bottom w:val="none" w:sz="0" w:space="0" w:color="auto"/>
                <w:right w:val="none" w:sz="0" w:space="0" w:color="auto"/>
              </w:divBdr>
            </w:div>
          </w:divsChild>
        </w:div>
        <w:div w:id="96298236">
          <w:marLeft w:val="0"/>
          <w:marRight w:val="0"/>
          <w:marTop w:val="0"/>
          <w:marBottom w:val="0"/>
          <w:divBdr>
            <w:top w:val="none" w:sz="0" w:space="0" w:color="auto"/>
            <w:left w:val="none" w:sz="0" w:space="0" w:color="auto"/>
            <w:bottom w:val="none" w:sz="0" w:space="0" w:color="auto"/>
            <w:right w:val="none" w:sz="0" w:space="0" w:color="auto"/>
          </w:divBdr>
          <w:divsChild>
            <w:div w:id="481776225">
              <w:marLeft w:val="0"/>
              <w:marRight w:val="0"/>
              <w:marTop w:val="0"/>
              <w:marBottom w:val="0"/>
              <w:divBdr>
                <w:top w:val="none" w:sz="0" w:space="0" w:color="auto"/>
                <w:left w:val="none" w:sz="0" w:space="0" w:color="auto"/>
                <w:bottom w:val="none" w:sz="0" w:space="0" w:color="auto"/>
                <w:right w:val="none" w:sz="0" w:space="0" w:color="auto"/>
              </w:divBdr>
            </w:div>
          </w:divsChild>
        </w:div>
        <w:div w:id="102462477">
          <w:marLeft w:val="0"/>
          <w:marRight w:val="0"/>
          <w:marTop w:val="0"/>
          <w:marBottom w:val="0"/>
          <w:divBdr>
            <w:top w:val="none" w:sz="0" w:space="0" w:color="auto"/>
            <w:left w:val="none" w:sz="0" w:space="0" w:color="auto"/>
            <w:bottom w:val="none" w:sz="0" w:space="0" w:color="auto"/>
            <w:right w:val="none" w:sz="0" w:space="0" w:color="auto"/>
          </w:divBdr>
          <w:divsChild>
            <w:div w:id="691686419">
              <w:marLeft w:val="0"/>
              <w:marRight w:val="0"/>
              <w:marTop w:val="0"/>
              <w:marBottom w:val="0"/>
              <w:divBdr>
                <w:top w:val="none" w:sz="0" w:space="0" w:color="auto"/>
                <w:left w:val="none" w:sz="0" w:space="0" w:color="auto"/>
                <w:bottom w:val="none" w:sz="0" w:space="0" w:color="auto"/>
                <w:right w:val="none" w:sz="0" w:space="0" w:color="auto"/>
              </w:divBdr>
            </w:div>
          </w:divsChild>
        </w:div>
        <w:div w:id="781191024">
          <w:marLeft w:val="0"/>
          <w:marRight w:val="0"/>
          <w:marTop w:val="0"/>
          <w:marBottom w:val="0"/>
          <w:divBdr>
            <w:top w:val="none" w:sz="0" w:space="0" w:color="auto"/>
            <w:left w:val="none" w:sz="0" w:space="0" w:color="auto"/>
            <w:bottom w:val="none" w:sz="0" w:space="0" w:color="auto"/>
            <w:right w:val="none" w:sz="0" w:space="0" w:color="auto"/>
          </w:divBdr>
          <w:divsChild>
            <w:div w:id="127168681">
              <w:marLeft w:val="0"/>
              <w:marRight w:val="0"/>
              <w:marTop w:val="0"/>
              <w:marBottom w:val="0"/>
              <w:divBdr>
                <w:top w:val="none" w:sz="0" w:space="0" w:color="auto"/>
                <w:left w:val="none" w:sz="0" w:space="0" w:color="auto"/>
                <w:bottom w:val="none" w:sz="0" w:space="0" w:color="auto"/>
                <w:right w:val="none" w:sz="0" w:space="0" w:color="auto"/>
              </w:divBdr>
            </w:div>
            <w:div w:id="612901313">
              <w:marLeft w:val="0"/>
              <w:marRight w:val="0"/>
              <w:marTop w:val="0"/>
              <w:marBottom w:val="0"/>
              <w:divBdr>
                <w:top w:val="none" w:sz="0" w:space="0" w:color="auto"/>
                <w:left w:val="none" w:sz="0" w:space="0" w:color="auto"/>
                <w:bottom w:val="none" w:sz="0" w:space="0" w:color="auto"/>
                <w:right w:val="none" w:sz="0" w:space="0" w:color="auto"/>
              </w:divBdr>
            </w:div>
            <w:div w:id="1281453828">
              <w:marLeft w:val="0"/>
              <w:marRight w:val="0"/>
              <w:marTop w:val="0"/>
              <w:marBottom w:val="0"/>
              <w:divBdr>
                <w:top w:val="none" w:sz="0" w:space="0" w:color="auto"/>
                <w:left w:val="none" w:sz="0" w:space="0" w:color="auto"/>
                <w:bottom w:val="none" w:sz="0" w:space="0" w:color="auto"/>
                <w:right w:val="none" w:sz="0" w:space="0" w:color="auto"/>
              </w:divBdr>
            </w:div>
          </w:divsChild>
        </w:div>
        <w:div w:id="1270232832">
          <w:marLeft w:val="0"/>
          <w:marRight w:val="0"/>
          <w:marTop w:val="0"/>
          <w:marBottom w:val="0"/>
          <w:divBdr>
            <w:top w:val="none" w:sz="0" w:space="0" w:color="auto"/>
            <w:left w:val="none" w:sz="0" w:space="0" w:color="auto"/>
            <w:bottom w:val="none" w:sz="0" w:space="0" w:color="auto"/>
            <w:right w:val="none" w:sz="0" w:space="0" w:color="auto"/>
          </w:divBdr>
          <w:divsChild>
            <w:div w:id="128477991">
              <w:marLeft w:val="0"/>
              <w:marRight w:val="0"/>
              <w:marTop w:val="0"/>
              <w:marBottom w:val="0"/>
              <w:divBdr>
                <w:top w:val="none" w:sz="0" w:space="0" w:color="auto"/>
                <w:left w:val="none" w:sz="0" w:space="0" w:color="auto"/>
                <w:bottom w:val="none" w:sz="0" w:space="0" w:color="auto"/>
                <w:right w:val="none" w:sz="0" w:space="0" w:color="auto"/>
              </w:divBdr>
            </w:div>
            <w:div w:id="527836933">
              <w:marLeft w:val="0"/>
              <w:marRight w:val="0"/>
              <w:marTop w:val="0"/>
              <w:marBottom w:val="0"/>
              <w:divBdr>
                <w:top w:val="none" w:sz="0" w:space="0" w:color="auto"/>
                <w:left w:val="none" w:sz="0" w:space="0" w:color="auto"/>
                <w:bottom w:val="none" w:sz="0" w:space="0" w:color="auto"/>
                <w:right w:val="none" w:sz="0" w:space="0" w:color="auto"/>
              </w:divBdr>
            </w:div>
            <w:div w:id="1504122415">
              <w:marLeft w:val="0"/>
              <w:marRight w:val="0"/>
              <w:marTop w:val="0"/>
              <w:marBottom w:val="0"/>
              <w:divBdr>
                <w:top w:val="none" w:sz="0" w:space="0" w:color="auto"/>
                <w:left w:val="none" w:sz="0" w:space="0" w:color="auto"/>
                <w:bottom w:val="none" w:sz="0" w:space="0" w:color="auto"/>
                <w:right w:val="none" w:sz="0" w:space="0" w:color="auto"/>
              </w:divBdr>
            </w:div>
            <w:div w:id="2021855875">
              <w:marLeft w:val="0"/>
              <w:marRight w:val="0"/>
              <w:marTop w:val="0"/>
              <w:marBottom w:val="0"/>
              <w:divBdr>
                <w:top w:val="none" w:sz="0" w:space="0" w:color="auto"/>
                <w:left w:val="none" w:sz="0" w:space="0" w:color="auto"/>
                <w:bottom w:val="none" w:sz="0" w:space="0" w:color="auto"/>
                <w:right w:val="none" w:sz="0" w:space="0" w:color="auto"/>
              </w:divBdr>
            </w:div>
          </w:divsChild>
        </w:div>
        <w:div w:id="1889951875">
          <w:marLeft w:val="0"/>
          <w:marRight w:val="0"/>
          <w:marTop w:val="0"/>
          <w:marBottom w:val="0"/>
          <w:divBdr>
            <w:top w:val="none" w:sz="0" w:space="0" w:color="auto"/>
            <w:left w:val="none" w:sz="0" w:space="0" w:color="auto"/>
            <w:bottom w:val="none" w:sz="0" w:space="0" w:color="auto"/>
            <w:right w:val="none" w:sz="0" w:space="0" w:color="auto"/>
          </w:divBdr>
          <w:divsChild>
            <w:div w:id="208418184">
              <w:marLeft w:val="0"/>
              <w:marRight w:val="0"/>
              <w:marTop w:val="0"/>
              <w:marBottom w:val="0"/>
              <w:divBdr>
                <w:top w:val="none" w:sz="0" w:space="0" w:color="auto"/>
                <w:left w:val="none" w:sz="0" w:space="0" w:color="auto"/>
                <w:bottom w:val="none" w:sz="0" w:space="0" w:color="auto"/>
                <w:right w:val="none" w:sz="0" w:space="0" w:color="auto"/>
              </w:divBdr>
            </w:div>
            <w:div w:id="575357698">
              <w:marLeft w:val="0"/>
              <w:marRight w:val="0"/>
              <w:marTop w:val="0"/>
              <w:marBottom w:val="0"/>
              <w:divBdr>
                <w:top w:val="none" w:sz="0" w:space="0" w:color="auto"/>
                <w:left w:val="none" w:sz="0" w:space="0" w:color="auto"/>
                <w:bottom w:val="none" w:sz="0" w:space="0" w:color="auto"/>
                <w:right w:val="none" w:sz="0" w:space="0" w:color="auto"/>
              </w:divBdr>
            </w:div>
            <w:div w:id="763455100">
              <w:marLeft w:val="0"/>
              <w:marRight w:val="0"/>
              <w:marTop w:val="0"/>
              <w:marBottom w:val="0"/>
              <w:divBdr>
                <w:top w:val="none" w:sz="0" w:space="0" w:color="auto"/>
                <w:left w:val="none" w:sz="0" w:space="0" w:color="auto"/>
                <w:bottom w:val="none" w:sz="0" w:space="0" w:color="auto"/>
                <w:right w:val="none" w:sz="0" w:space="0" w:color="auto"/>
              </w:divBdr>
            </w:div>
            <w:div w:id="828135710">
              <w:marLeft w:val="0"/>
              <w:marRight w:val="0"/>
              <w:marTop w:val="0"/>
              <w:marBottom w:val="0"/>
              <w:divBdr>
                <w:top w:val="none" w:sz="0" w:space="0" w:color="auto"/>
                <w:left w:val="none" w:sz="0" w:space="0" w:color="auto"/>
                <w:bottom w:val="none" w:sz="0" w:space="0" w:color="auto"/>
                <w:right w:val="none" w:sz="0" w:space="0" w:color="auto"/>
              </w:divBdr>
            </w:div>
            <w:div w:id="959648567">
              <w:marLeft w:val="0"/>
              <w:marRight w:val="0"/>
              <w:marTop w:val="0"/>
              <w:marBottom w:val="0"/>
              <w:divBdr>
                <w:top w:val="none" w:sz="0" w:space="0" w:color="auto"/>
                <w:left w:val="none" w:sz="0" w:space="0" w:color="auto"/>
                <w:bottom w:val="none" w:sz="0" w:space="0" w:color="auto"/>
                <w:right w:val="none" w:sz="0" w:space="0" w:color="auto"/>
              </w:divBdr>
            </w:div>
            <w:div w:id="964383665">
              <w:marLeft w:val="0"/>
              <w:marRight w:val="0"/>
              <w:marTop w:val="0"/>
              <w:marBottom w:val="0"/>
              <w:divBdr>
                <w:top w:val="none" w:sz="0" w:space="0" w:color="auto"/>
                <w:left w:val="none" w:sz="0" w:space="0" w:color="auto"/>
                <w:bottom w:val="none" w:sz="0" w:space="0" w:color="auto"/>
                <w:right w:val="none" w:sz="0" w:space="0" w:color="auto"/>
              </w:divBdr>
            </w:div>
            <w:div w:id="1079136191">
              <w:marLeft w:val="0"/>
              <w:marRight w:val="0"/>
              <w:marTop w:val="0"/>
              <w:marBottom w:val="0"/>
              <w:divBdr>
                <w:top w:val="none" w:sz="0" w:space="0" w:color="auto"/>
                <w:left w:val="none" w:sz="0" w:space="0" w:color="auto"/>
                <w:bottom w:val="none" w:sz="0" w:space="0" w:color="auto"/>
                <w:right w:val="none" w:sz="0" w:space="0" w:color="auto"/>
              </w:divBdr>
            </w:div>
            <w:div w:id="1370717126">
              <w:marLeft w:val="0"/>
              <w:marRight w:val="0"/>
              <w:marTop w:val="0"/>
              <w:marBottom w:val="0"/>
              <w:divBdr>
                <w:top w:val="none" w:sz="0" w:space="0" w:color="auto"/>
                <w:left w:val="none" w:sz="0" w:space="0" w:color="auto"/>
                <w:bottom w:val="none" w:sz="0" w:space="0" w:color="auto"/>
                <w:right w:val="none" w:sz="0" w:space="0" w:color="auto"/>
              </w:divBdr>
            </w:div>
            <w:div w:id="2101483196">
              <w:marLeft w:val="0"/>
              <w:marRight w:val="0"/>
              <w:marTop w:val="0"/>
              <w:marBottom w:val="0"/>
              <w:divBdr>
                <w:top w:val="none" w:sz="0" w:space="0" w:color="auto"/>
                <w:left w:val="none" w:sz="0" w:space="0" w:color="auto"/>
                <w:bottom w:val="none" w:sz="0" w:space="0" w:color="auto"/>
                <w:right w:val="none" w:sz="0" w:space="0" w:color="auto"/>
              </w:divBdr>
            </w:div>
          </w:divsChild>
        </w:div>
        <w:div w:id="864055032">
          <w:marLeft w:val="0"/>
          <w:marRight w:val="0"/>
          <w:marTop w:val="0"/>
          <w:marBottom w:val="0"/>
          <w:divBdr>
            <w:top w:val="none" w:sz="0" w:space="0" w:color="auto"/>
            <w:left w:val="none" w:sz="0" w:space="0" w:color="auto"/>
            <w:bottom w:val="none" w:sz="0" w:space="0" w:color="auto"/>
            <w:right w:val="none" w:sz="0" w:space="0" w:color="auto"/>
          </w:divBdr>
          <w:divsChild>
            <w:div w:id="365909653">
              <w:marLeft w:val="0"/>
              <w:marRight w:val="0"/>
              <w:marTop w:val="0"/>
              <w:marBottom w:val="0"/>
              <w:divBdr>
                <w:top w:val="none" w:sz="0" w:space="0" w:color="auto"/>
                <w:left w:val="none" w:sz="0" w:space="0" w:color="auto"/>
                <w:bottom w:val="none" w:sz="0" w:space="0" w:color="auto"/>
                <w:right w:val="none" w:sz="0" w:space="0" w:color="auto"/>
              </w:divBdr>
            </w:div>
          </w:divsChild>
        </w:div>
        <w:div w:id="835800502">
          <w:marLeft w:val="0"/>
          <w:marRight w:val="0"/>
          <w:marTop w:val="0"/>
          <w:marBottom w:val="0"/>
          <w:divBdr>
            <w:top w:val="none" w:sz="0" w:space="0" w:color="auto"/>
            <w:left w:val="none" w:sz="0" w:space="0" w:color="auto"/>
            <w:bottom w:val="none" w:sz="0" w:space="0" w:color="auto"/>
            <w:right w:val="none" w:sz="0" w:space="0" w:color="auto"/>
          </w:divBdr>
          <w:divsChild>
            <w:div w:id="1528903625">
              <w:marLeft w:val="0"/>
              <w:marRight w:val="0"/>
              <w:marTop w:val="0"/>
              <w:marBottom w:val="0"/>
              <w:divBdr>
                <w:top w:val="none" w:sz="0" w:space="0" w:color="auto"/>
                <w:left w:val="none" w:sz="0" w:space="0" w:color="auto"/>
                <w:bottom w:val="none" w:sz="0" w:space="0" w:color="auto"/>
                <w:right w:val="none" w:sz="0" w:space="0" w:color="auto"/>
              </w:divBdr>
            </w:div>
          </w:divsChild>
        </w:div>
        <w:div w:id="1940719824">
          <w:marLeft w:val="0"/>
          <w:marRight w:val="0"/>
          <w:marTop w:val="0"/>
          <w:marBottom w:val="0"/>
          <w:divBdr>
            <w:top w:val="none" w:sz="0" w:space="0" w:color="auto"/>
            <w:left w:val="none" w:sz="0" w:space="0" w:color="auto"/>
            <w:bottom w:val="none" w:sz="0" w:space="0" w:color="auto"/>
            <w:right w:val="none" w:sz="0" w:space="0" w:color="auto"/>
          </w:divBdr>
          <w:divsChild>
            <w:div w:id="1164855341">
              <w:marLeft w:val="0"/>
              <w:marRight w:val="0"/>
              <w:marTop w:val="0"/>
              <w:marBottom w:val="0"/>
              <w:divBdr>
                <w:top w:val="none" w:sz="0" w:space="0" w:color="auto"/>
                <w:left w:val="none" w:sz="0" w:space="0" w:color="auto"/>
                <w:bottom w:val="none" w:sz="0" w:space="0" w:color="auto"/>
                <w:right w:val="none" w:sz="0" w:space="0" w:color="auto"/>
              </w:divBdr>
            </w:div>
          </w:divsChild>
        </w:div>
        <w:div w:id="2101563915">
          <w:marLeft w:val="0"/>
          <w:marRight w:val="0"/>
          <w:marTop w:val="0"/>
          <w:marBottom w:val="0"/>
          <w:divBdr>
            <w:top w:val="none" w:sz="0" w:space="0" w:color="auto"/>
            <w:left w:val="none" w:sz="0" w:space="0" w:color="auto"/>
            <w:bottom w:val="none" w:sz="0" w:space="0" w:color="auto"/>
            <w:right w:val="none" w:sz="0" w:space="0" w:color="auto"/>
          </w:divBdr>
          <w:divsChild>
            <w:div w:id="18566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618775">
      <w:bodyDiv w:val="1"/>
      <w:marLeft w:val="0"/>
      <w:marRight w:val="0"/>
      <w:marTop w:val="0"/>
      <w:marBottom w:val="0"/>
      <w:divBdr>
        <w:top w:val="none" w:sz="0" w:space="0" w:color="auto"/>
        <w:left w:val="none" w:sz="0" w:space="0" w:color="auto"/>
        <w:bottom w:val="none" w:sz="0" w:space="0" w:color="auto"/>
        <w:right w:val="none" w:sz="0" w:space="0" w:color="auto"/>
      </w:divBdr>
    </w:div>
    <w:div w:id="1302227120">
      <w:bodyDiv w:val="1"/>
      <w:marLeft w:val="0"/>
      <w:marRight w:val="0"/>
      <w:marTop w:val="0"/>
      <w:marBottom w:val="0"/>
      <w:divBdr>
        <w:top w:val="none" w:sz="0" w:space="0" w:color="auto"/>
        <w:left w:val="none" w:sz="0" w:space="0" w:color="auto"/>
        <w:bottom w:val="none" w:sz="0" w:space="0" w:color="auto"/>
        <w:right w:val="none" w:sz="0" w:space="0" w:color="auto"/>
      </w:divBdr>
      <w:divsChild>
        <w:div w:id="1813715755">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 w:id="1311404416">
      <w:bodyDiv w:val="1"/>
      <w:marLeft w:val="0"/>
      <w:marRight w:val="0"/>
      <w:marTop w:val="0"/>
      <w:marBottom w:val="0"/>
      <w:divBdr>
        <w:top w:val="none" w:sz="0" w:space="0" w:color="auto"/>
        <w:left w:val="none" w:sz="0" w:space="0" w:color="auto"/>
        <w:bottom w:val="none" w:sz="0" w:space="0" w:color="auto"/>
        <w:right w:val="none" w:sz="0" w:space="0" w:color="auto"/>
      </w:divBdr>
    </w:div>
    <w:div w:id="1320579414">
      <w:bodyDiv w:val="1"/>
      <w:marLeft w:val="0"/>
      <w:marRight w:val="0"/>
      <w:marTop w:val="0"/>
      <w:marBottom w:val="0"/>
      <w:divBdr>
        <w:top w:val="none" w:sz="0" w:space="0" w:color="auto"/>
        <w:left w:val="none" w:sz="0" w:space="0" w:color="auto"/>
        <w:bottom w:val="none" w:sz="0" w:space="0" w:color="auto"/>
        <w:right w:val="none" w:sz="0" w:space="0" w:color="auto"/>
      </w:divBdr>
    </w:div>
    <w:div w:id="1350987496">
      <w:bodyDiv w:val="1"/>
      <w:marLeft w:val="0"/>
      <w:marRight w:val="0"/>
      <w:marTop w:val="0"/>
      <w:marBottom w:val="0"/>
      <w:divBdr>
        <w:top w:val="none" w:sz="0" w:space="0" w:color="auto"/>
        <w:left w:val="none" w:sz="0" w:space="0" w:color="auto"/>
        <w:bottom w:val="none" w:sz="0" w:space="0" w:color="auto"/>
        <w:right w:val="none" w:sz="0" w:space="0" w:color="auto"/>
      </w:divBdr>
    </w:div>
    <w:div w:id="1351250732">
      <w:bodyDiv w:val="1"/>
      <w:marLeft w:val="0"/>
      <w:marRight w:val="0"/>
      <w:marTop w:val="0"/>
      <w:marBottom w:val="0"/>
      <w:divBdr>
        <w:top w:val="none" w:sz="0" w:space="0" w:color="auto"/>
        <w:left w:val="none" w:sz="0" w:space="0" w:color="auto"/>
        <w:bottom w:val="none" w:sz="0" w:space="0" w:color="auto"/>
        <w:right w:val="none" w:sz="0" w:space="0" w:color="auto"/>
      </w:divBdr>
    </w:div>
    <w:div w:id="1358628171">
      <w:bodyDiv w:val="1"/>
      <w:marLeft w:val="0"/>
      <w:marRight w:val="0"/>
      <w:marTop w:val="0"/>
      <w:marBottom w:val="0"/>
      <w:divBdr>
        <w:top w:val="none" w:sz="0" w:space="0" w:color="auto"/>
        <w:left w:val="none" w:sz="0" w:space="0" w:color="auto"/>
        <w:bottom w:val="none" w:sz="0" w:space="0" w:color="auto"/>
        <w:right w:val="none" w:sz="0" w:space="0" w:color="auto"/>
      </w:divBdr>
    </w:div>
    <w:div w:id="1360397032">
      <w:bodyDiv w:val="1"/>
      <w:marLeft w:val="0"/>
      <w:marRight w:val="0"/>
      <w:marTop w:val="0"/>
      <w:marBottom w:val="0"/>
      <w:divBdr>
        <w:top w:val="none" w:sz="0" w:space="0" w:color="auto"/>
        <w:left w:val="none" w:sz="0" w:space="0" w:color="auto"/>
        <w:bottom w:val="none" w:sz="0" w:space="0" w:color="auto"/>
        <w:right w:val="none" w:sz="0" w:space="0" w:color="auto"/>
      </w:divBdr>
    </w:div>
    <w:div w:id="1377585272">
      <w:bodyDiv w:val="1"/>
      <w:marLeft w:val="0"/>
      <w:marRight w:val="0"/>
      <w:marTop w:val="0"/>
      <w:marBottom w:val="0"/>
      <w:divBdr>
        <w:top w:val="none" w:sz="0" w:space="0" w:color="auto"/>
        <w:left w:val="none" w:sz="0" w:space="0" w:color="auto"/>
        <w:bottom w:val="none" w:sz="0" w:space="0" w:color="auto"/>
        <w:right w:val="none" w:sz="0" w:space="0" w:color="auto"/>
      </w:divBdr>
      <w:divsChild>
        <w:div w:id="16122747">
          <w:marLeft w:val="0"/>
          <w:marRight w:val="0"/>
          <w:marTop w:val="0"/>
          <w:marBottom w:val="0"/>
          <w:divBdr>
            <w:top w:val="none" w:sz="0" w:space="0" w:color="auto"/>
            <w:left w:val="none" w:sz="0" w:space="0" w:color="auto"/>
            <w:bottom w:val="none" w:sz="0" w:space="0" w:color="auto"/>
            <w:right w:val="none" w:sz="0" w:space="0" w:color="auto"/>
          </w:divBdr>
          <w:divsChild>
            <w:div w:id="150875402">
              <w:marLeft w:val="0"/>
              <w:marRight w:val="0"/>
              <w:marTop w:val="0"/>
              <w:marBottom w:val="0"/>
              <w:divBdr>
                <w:top w:val="none" w:sz="0" w:space="0" w:color="auto"/>
                <w:left w:val="none" w:sz="0" w:space="0" w:color="auto"/>
                <w:bottom w:val="none" w:sz="0" w:space="0" w:color="auto"/>
                <w:right w:val="none" w:sz="0" w:space="0" w:color="auto"/>
              </w:divBdr>
            </w:div>
            <w:div w:id="1710295695">
              <w:marLeft w:val="0"/>
              <w:marRight w:val="0"/>
              <w:marTop w:val="0"/>
              <w:marBottom w:val="0"/>
              <w:divBdr>
                <w:top w:val="none" w:sz="0" w:space="0" w:color="auto"/>
                <w:left w:val="none" w:sz="0" w:space="0" w:color="auto"/>
                <w:bottom w:val="none" w:sz="0" w:space="0" w:color="auto"/>
                <w:right w:val="none" w:sz="0" w:space="0" w:color="auto"/>
              </w:divBdr>
            </w:div>
          </w:divsChild>
        </w:div>
        <w:div w:id="233394904">
          <w:marLeft w:val="0"/>
          <w:marRight w:val="0"/>
          <w:marTop w:val="0"/>
          <w:marBottom w:val="0"/>
          <w:divBdr>
            <w:top w:val="none" w:sz="0" w:space="0" w:color="auto"/>
            <w:left w:val="none" w:sz="0" w:space="0" w:color="auto"/>
            <w:bottom w:val="none" w:sz="0" w:space="0" w:color="auto"/>
            <w:right w:val="none" w:sz="0" w:space="0" w:color="auto"/>
          </w:divBdr>
          <w:divsChild>
            <w:div w:id="677119107">
              <w:marLeft w:val="0"/>
              <w:marRight w:val="0"/>
              <w:marTop w:val="0"/>
              <w:marBottom w:val="0"/>
              <w:divBdr>
                <w:top w:val="none" w:sz="0" w:space="0" w:color="auto"/>
                <w:left w:val="none" w:sz="0" w:space="0" w:color="auto"/>
                <w:bottom w:val="none" w:sz="0" w:space="0" w:color="auto"/>
                <w:right w:val="none" w:sz="0" w:space="0" w:color="auto"/>
              </w:divBdr>
            </w:div>
            <w:div w:id="686640404">
              <w:marLeft w:val="0"/>
              <w:marRight w:val="0"/>
              <w:marTop w:val="0"/>
              <w:marBottom w:val="0"/>
              <w:divBdr>
                <w:top w:val="none" w:sz="0" w:space="0" w:color="auto"/>
                <w:left w:val="none" w:sz="0" w:space="0" w:color="auto"/>
                <w:bottom w:val="none" w:sz="0" w:space="0" w:color="auto"/>
                <w:right w:val="none" w:sz="0" w:space="0" w:color="auto"/>
              </w:divBdr>
            </w:div>
          </w:divsChild>
        </w:div>
        <w:div w:id="243148135">
          <w:marLeft w:val="0"/>
          <w:marRight w:val="0"/>
          <w:marTop w:val="0"/>
          <w:marBottom w:val="0"/>
          <w:divBdr>
            <w:top w:val="none" w:sz="0" w:space="0" w:color="auto"/>
            <w:left w:val="none" w:sz="0" w:space="0" w:color="auto"/>
            <w:bottom w:val="none" w:sz="0" w:space="0" w:color="auto"/>
            <w:right w:val="none" w:sz="0" w:space="0" w:color="auto"/>
          </w:divBdr>
          <w:divsChild>
            <w:div w:id="887882379">
              <w:marLeft w:val="0"/>
              <w:marRight w:val="0"/>
              <w:marTop w:val="0"/>
              <w:marBottom w:val="0"/>
              <w:divBdr>
                <w:top w:val="none" w:sz="0" w:space="0" w:color="auto"/>
                <w:left w:val="none" w:sz="0" w:space="0" w:color="auto"/>
                <w:bottom w:val="none" w:sz="0" w:space="0" w:color="auto"/>
                <w:right w:val="none" w:sz="0" w:space="0" w:color="auto"/>
              </w:divBdr>
            </w:div>
            <w:div w:id="991642424">
              <w:marLeft w:val="0"/>
              <w:marRight w:val="0"/>
              <w:marTop w:val="0"/>
              <w:marBottom w:val="0"/>
              <w:divBdr>
                <w:top w:val="none" w:sz="0" w:space="0" w:color="auto"/>
                <w:left w:val="none" w:sz="0" w:space="0" w:color="auto"/>
                <w:bottom w:val="none" w:sz="0" w:space="0" w:color="auto"/>
                <w:right w:val="none" w:sz="0" w:space="0" w:color="auto"/>
              </w:divBdr>
            </w:div>
            <w:div w:id="1684938432">
              <w:marLeft w:val="0"/>
              <w:marRight w:val="0"/>
              <w:marTop w:val="0"/>
              <w:marBottom w:val="0"/>
              <w:divBdr>
                <w:top w:val="none" w:sz="0" w:space="0" w:color="auto"/>
                <w:left w:val="none" w:sz="0" w:space="0" w:color="auto"/>
                <w:bottom w:val="none" w:sz="0" w:space="0" w:color="auto"/>
                <w:right w:val="none" w:sz="0" w:space="0" w:color="auto"/>
              </w:divBdr>
            </w:div>
          </w:divsChild>
        </w:div>
        <w:div w:id="387340924">
          <w:marLeft w:val="0"/>
          <w:marRight w:val="0"/>
          <w:marTop w:val="0"/>
          <w:marBottom w:val="0"/>
          <w:divBdr>
            <w:top w:val="none" w:sz="0" w:space="0" w:color="auto"/>
            <w:left w:val="none" w:sz="0" w:space="0" w:color="auto"/>
            <w:bottom w:val="none" w:sz="0" w:space="0" w:color="auto"/>
            <w:right w:val="none" w:sz="0" w:space="0" w:color="auto"/>
          </w:divBdr>
          <w:divsChild>
            <w:div w:id="395125047">
              <w:marLeft w:val="0"/>
              <w:marRight w:val="0"/>
              <w:marTop w:val="0"/>
              <w:marBottom w:val="0"/>
              <w:divBdr>
                <w:top w:val="none" w:sz="0" w:space="0" w:color="auto"/>
                <w:left w:val="none" w:sz="0" w:space="0" w:color="auto"/>
                <w:bottom w:val="none" w:sz="0" w:space="0" w:color="auto"/>
                <w:right w:val="none" w:sz="0" w:space="0" w:color="auto"/>
              </w:divBdr>
            </w:div>
            <w:div w:id="998852454">
              <w:marLeft w:val="0"/>
              <w:marRight w:val="0"/>
              <w:marTop w:val="0"/>
              <w:marBottom w:val="0"/>
              <w:divBdr>
                <w:top w:val="none" w:sz="0" w:space="0" w:color="auto"/>
                <w:left w:val="none" w:sz="0" w:space="0" w:color="auto"/>
                <w:bottom w:val="none" w:sz="0" w:space="0" w:color="auto"/>
                <w:right w:val="none" w:sz="0" w:space="0" w:color="auto"/>
              </w:divBdr>
            </w:div>
            <w:div w:id="1114326011">
              <w:marLeft w:val="0"/>
              <w:marRight w:val="0"/>
              <w:marTop w:val="0"/>
              <w:marBottom w:val="0"/>
              <w:divBdr>
                <w:top w:val="none" w:sz="0" w:space="0" w:color="auto"/>
                <w:left w:val="none" w:sz="0" w:space="0" w:color="auto"/>
                <w:bottom w:val="none" w:sz="0" w:space="0" w:color="auto"/>
                <w:right w:val="none" w:sz="0" w:space="0" w:color="auto"/>
              </w:divBdr>
            </w:div>
          </w:divsChild>
        </w:div>
        <w:div w:id="544025659">
          <w:marLeft w:val="0"/>
          <w:marRight w:val="0"/>
          <w:marTop w:val="0"/>
          <w:marBottom w:val="0"/>
          <w:divBdr>
            <w:top w:val="none" w:sz="0" w:space="0" w:color="auto"/>
            <w:left w:val="none" w:sz="0" w:space="0" w:color="auto"/>
            <w:bottom w:val="none" w:sz="0" w:space="0" w:color="auto"/>
            <w:right w:val="none" w:sz="0" w:space="0" w:color="auto"/>
          </w:divBdr>
          <w:divsChild>
            <w:div w:id="952320276">
              <w:marLeft w:val="0"/>
              <w:marRight w:val="0"/>
              <w:marTop w:val="0"/>
              <w:marBottom w:val="0"/>
              <w:divBdr>
                <w:top w:val="none" w:sz="0" w:space="0" w:color="auto"/>
                <w:left w:val="none" w:sz="0" w:space="0" w:color="auto"/>
                <w:bottom w:val="none" w:sz="0" w:space="0" w:color="auto"/>
                <w:right w:val="none" w:sz="0" w:space="0" w:color="auto"/>
              </w:divBdr>
            </w:div>
            <w:div w:id="1226838665">
              <w:marLeft w:val="0"/>
              <w:marRight w:val="0"/>
              <w:marTop w:val="0"/>
              <w:marBottom w:val="0"/>
              <w:divBdr>
                <w:top w:val="none" w:sz="0" w:space="0" w:color="auto"/>
                <w:left w:val="none" w:sz="0" w:space="0" w:color="auto"/>
                <w:bottom w:val="none" w:sz="0" w:space="0" w:color="auto"/>
                <w:right w:val="none" w:sz="0" w:space="0" w:color="auto"/>
              </w:divBdr>
            </w:div>
          </w:divsChild>
        </w:div>
        <w:div w:id="842620744">
          <w:marLeft w:val="0"/>
          <w:marRight w:val="0"/>
          <w:marTop w:val="0"/>
          <w:marBottom w:val="0"/>
          <w:divBdr>
            <w:top w:val="none" w:sz="0" w:space="0" w:color="auto"/>
            <w:left w:val="none" w:sz="0" w:space="0" w:color="auto"/>
            <w:bottom w:val="none" w:sz="0" w:space="0" w:color="auto"/>
            <w:right w:val="none" w:sz="0" w:space="0" w:color="auto"/>
          </w:divBdr>
          <w:divsChild>
            <w:div w:id="280263201">
              <w:marLeft w:val="0"/>
              <w:marRight w:val="0"/>
              <w:marTop w:val="0"/>
              <w:marBottom w:val="0"/>
              <w:divBdr>
                <w:top w:val="none" w:sz="0" w:space="0" w:color="auto"/>
                <w:left w:val="none" w:sz="0" w:space="0" w:color="auto"/>
                <w:bottom w:val="none" w:sz="0" w:space="0" w:color="auto"/>
                <w:right w:val="none" w:sz="0" w:space="0" w:color="auto"/>
              </w:divBdr>
            </w:div>
            <w:div w:id="1310789464">
              <w:marLeft w:val="0"/>
              <w:marRight w:val="0"/>
              <w:marTop w:val="0"/>
              <w:marBottom w:val="0"/>
              <w:divBdr>
                <w:top w:val="none" w:sz="0" w:space="0" w:color="auto"/>
                <w:left w:val="none" w:sz="0" w:space="0" w:color="auto"/>
                <w:bottom w:val="none" w:sz="0" w:space="0" w:color="auto"/>
                <w:right w:val="none" w:sz="0" w:space="0" w:color="auto"/>
              </w:divBdr>
            </w:div>
            <w:div w:id="1621373691">
              <w:marLeft w:val="0"/>
              <w:marRight w:val="0"/>
              <w:marTop w:val="0"/>
              <w:marBottom w:val="0"/>
              <w:divBdr>
                <w:top w:val="none" w:sz="0" w:space="0" w:color="auto"/>
                <w:left w:val="none" w:sz="0" w:space="0" w:color="auto"/>
                <w:bottom w:val="none" w:sz="0" w:space="0" w:color="auto"/>
                <w:right w:val="none" w:sz="0" w:space="0" w:color="auto"/>
              </w:divBdr>
            </w:div>
          </w:divsChild>
        </w:div>
        <w:div w:id="1116948401">
          <w:marLeft w:val="0"/>
          <w:marRight w:val="0"/>
          <w:marTop w:val="0"/>
          <w:marBottom w:val="0"/>
          <w:divBdr>
            <w:top w:val="none" w:sz="0" w:space="0" w:color="auto"/>
            <w:left w:val="none" w:sz="0" w:space="0" w:color="auto"/>
            <w:bottom w:val="none" w:sz="0" w:space="0" w:color="auto"/>
            <w:right w:val="none" w:sz="0" w:space="0" w:color="auto"/>
          </w:divBdr>
          <w:divsChild>
            <w:div w:id="646085028">
              <w:marLeft w:val="0"/>
              <w:marRight w:val="0"/>
              <w:marTop w:val="0"/>
              <w:marBottom w:val="0"/>
              <w:divBdr>
                <w:top w:val="none" w:sz="0" w:space="0" w:color="auto"/>
                <w:left w:val="none" w:sz="0" w:space="0" w:color="auto"/>
                <w:bottom w:val="none" w:sz="0" w:space="0" w:color="auto"/>
                <w:right w:val="none" w:sz="0" w:space="0" w:color="auto"/>
              </w:divBdr>
            </w:div>
            <w:div w:id="2065981601">
              <w:marLeft w:val="0"/>
              <w:marRight w:val="0"/>
              <w:marTop w:val="0"/>
              <w:marBottom w:val="0"/>
              <w:divBdr>
                <w:top w:val="none" w:sz="0" w:space="0" w:color="auto"/>
                <w:left w:val="none" w:sz="0" w:space="0" w:color="auto"/>
                <w:bottom w:val="none" w:sz="0" w:space="0" w:color="auto"/>
                <w:right w:val="none" w:sz="0" w:space="0" w:color="auto"/>
              </w:divBdr>
            </w:div>
          </w:divsChild>
        </w:div>
        <w:div w:id="1128401590">
          <w:marLeft w:val="0"/>
          <w:marRight w:val="0"/>
          <w:marTop w:val="0"/>
          <w:marBottom w:val="0"/>
          <w:divBdr>
            <w:top w:val="none" w:sz="0" w:space="0" w:color="auto"/>
            <w:left w:val="none" w:sz="0" w:space="0" w:color="auto"/>
            <w:bottom w:val="none" w:sz="0" w:space="0" w:color="auto"/>
            <w:right w:val="none" w:sz="0" w:space="0" w:color="auto"/>
          </w:divBdr>
          <w:divsChild>
            <w:div w:id="230386107">
              <w:marLeft w:val="0"/>
              <w:marRight w:val="0"/>
              <w:marTop w:val="0"/>
              <w:marBottom w:val="0"/>
              <w:divBdr>
                <w:top w:val="none" w:sz="0" w:space="0" w:color="auto"/>
                <w:left w:val="none" w:sz="0" w:space="0" w:color="auto"/>
                <w:bottom w:val="none" w:sz="0" w:space="0" w:color="auto"/>
                <w:right w:val="none" w:sz="0" w:space="0" w:color="auto"/>
              </w:divBdr>
            </w:div>
            <w:div w:id="2099136674">
              <w:marLeft w:val="0"/>
              <w:marRight w:val="0"/>
              <w:marTop w:val="0"/>
              <w:marBottom w:val="0"/>
              <w:divBdr>
                <w:top w:val="none" w:sz="0" w:space="0" w:color="auto"/>
                <w:left w:val="none" w:sz="0" w:space="0" w:color="auto"/>
                <w:bottom w:val="none" w:sz="0" w:space="0" w:color="auto"/>
                <w:right w:val="none" w:sz="0" w:space="0" w:color="auto"/>
              </w:divBdr>
            </w:div>
          </w:divsChild>
        </w:div>
        <w:div w:id="1243562180">
          <w:marLeft w:val="0"/>
          <w:marRight w:val="0"/>
          <w:marTop w:val="0"/>
          <w:marBottom w:val="0"/>
          <w:divBdr>
            <w:top w:val="none" w:sz="0" w:space="0" w:color="auto"/>
            <w:left w:val="none" w:sz="0" w:space="0" w:color="auto"/>
            <w:bottom w:val="none" w:sz="0" w:space="0" w:color="auto"/>
            <w:right w:val="none" w:sz="0" w:space="0" w:color="auto"/>
          </w:divBdr>
          <w:divsChild>
            <w:div w:id="1058044244">
              <w:marLeft w:val="0"/>
              <w:marRight w:val="0"/>
              <w:marTop w:val="0"/>
              <w:marBottom w:val="0"/>
              <w:divBdr>
                <w:top w:val="none" w:sz="0" w:space="0" w:color="auto"/>
                <w:left w:val="none" w:sz="0" w:space="0" w:color="auto"/>
                <w:bottom w:val="none" w:sz="0" w:space="0" w:color="auto"/>
                <w:right w:val="none" w:sz="0" w:space="0" w:color="auto"/>
              </w:divBdr>
            </w:div>
          </w:divsChild>
        </w:div>
        <w:div w:id="1591427891">
          <w:marLeft w:val="0"/>
          <w:marRight w:val="0"/>
          <w:marTop w:val="0"/>
          <w:marBottom w:val="0"/>
          <w:divBdr>
            <w:top w:val="none" w:sz="0" w:space="0" w:color="auto"/>
            <w:left w:val="none" w:sz="0" w:space="0" w:color="auto"/>
            <w:bottom w:val="none" w:sz="0" w:space="0" w:color="auto"/>
            <w:right w:val="none" w:sz="0" w:space="0" w:color="auto"/>
          </w:divBdr>
          <w:divsChild>
            <w:div w:id="234780711">
              <w:marLeft w:val="0"/>
              <w:marRight w:val="0"/>
              <w:marTop w:val="0"/>
              <w:marBottom w:val="0"/>
              <w:divBdr>
                <w:top w:val="none" w:sz="0" w:space="0" w:color="auto"/>
                <w:left w:val="none" w:sz="0" w:space="0" w:color="auto"/>
                <w:bottom w:val="none" w:sz="0" w:space="0" w:color="auto"/>
                <w:right w:val="none" w:sz="0" w:space="0" w:color="auto"/>
              </w:divBdr>
            </w:div>
            <w:div w:id="658844040">
              <w:marLeft w:val="0"/>
              <w:marRight w:val="0"/>
              <w:marTop w:val="0"/>
              <w:marBottom w:val="0"/>
              <w:divBdr>
                <w:top w:val="none" w:sz="0" w:space="0" w:color="auto"/>
                <w:left w:val="none" w:sz="0" w:space="0" w:color="auto"/>
                <w:bottom w:val="none" w:sz="0" w:space="0" w:color="auto"/>
                <w:right w:val="none" w:sz="0" w:space="0" w:color="auto"/>
              </w:divBdr>
            </w:div>
          </w:divsChild>
        </w:div>
        <w:div w:id="1599292002">
          <w:marLeft w:val="0"/>
          <w:marRight w:val="0"/>
          <w:marTop w:val="0"/>
          <w:marBottom w:val="0"/>
          <w:divBdr>
            <w:top w:val="none" w:sz="0" w:space="0" w:color="auto"/>
            <w:left w:val="none" w:sz="0" w:space="0" w:color="auto"/>
            <w:bottom w:val="none" w:sz="0" w:space="0" w:color="auto"/>
            <w:right w:val="none" w:sz="0" w:space="0" w:color="auto"/>
          </w:divBdr>
          <w:divsChild>
            <w:div w:id="1288581002">
              <w:marLeft w:val="0"/>
              <w:marRight w:val="0"/>
              <w:marTop w:val="0"/>
              <w:marBottom w:val="0"/>
              <w:divBdr>
                <w:top w:val="none" w:sz="0" w:space="0" w:color="auto"/>
                <w:left w:val="none" w:sz="0" w:space="0" w:color="auto"/>
                <w:bottom w:val="none" w:sz="0" w:space="0" w:color="auto"/>
                <w:right w:val="none" w:sz="0" w:space="0" w:color="auto"/>
              </w:divBdr>
            </w:div>
          </w:divsChild>
        </w:div>
        <w:div w:id="1872500101">
          <w:marLeft w:val="0"/>
          <w:marRight w:val="0"/>
          <w:marTop w:val="0"/>
          <w:marBottom w:val="0"/>
          <w:divBdr>
            <w:top w:val="none" w:sz="0" w:space="0" w:color="auto"/>
            <w:left w:val="none" w:sz="0" w:space="0" w:color="auto"/>
            <w:bottom w:val="none" w:sz="0" w:space="0" w:color="auto"/>
            <w:right w:val="none" w:sz="0" w:space="0" w:color="auto"/>
          </w:divBdr>
          <w:divsChild>
            <w:div w:id="581259791">
              <w:marLeft w:val="0"/>
              <w:marRight w:val="0"/>
              <w:marTop w:val="0"/>
              <w:marBottom w:val="0"/>
              <w:divBdr>
                <w:top w:val="none" w:sz="0" w:space="0" w:color="auto"/>
                <w:left w:val="none" w:sz="0" w:space="0" w:color="auto"/>
                <w:bottom w:val="none" w:sz="0" w:space="0" w:color="auto"/>
                <w:right w:val="none" w:sz="0" w:space="0" w:color="auto"/>
              </w:divBdr>
            </w:div>
            <w:div w:id="927153643">
              <w:marLeft w:val="0"/>
              <w:marRight w:val="0"/>
              <w:marTop w:val="0"/>
              <w:marBottom w:val="0"/>
              <w:divBdr>
                <w:top w:val="none" w:sz="0" w:space="0" w:color="auto"/>
                <w:left w:val="none" w:sz="0" w:space="0" w:color="auto"/>
                <w:bottom w:val="none" w:sz="0" w:space="0" w:color="auto"/>
                <w:right w:val="none" w:sz="0" w:space="0" w:color="auto"/>
              </w:divBdr>
            </w:div>
            <w:div w:id="973171657">
              <w:marLeft w:val="0"/>
              <w:marRight w:val="0"/>
              <w:marTop w:val="0"/>
              <w:marBottom w:val="0"/>
              <w:divBdr>
                <w:top w:val="none" w:sz="0" w:space="0" w:color="auto"/>
                <w:left w:val="none" w:sz="0" w:space="0" w:color="auto"/>
                <w:bottom w:val="none" w:sz="0" w:space="0" w:color="auto"/>
                <w:right w:val="none" w:sz="0" w:space="0" w:color="auto"/>
              </w:divBdr>
            </w:div>
          </w:divsChild>
        </w:div>
        <w:div w:id="1919167505">
          <w:marLeft w:val="0"/>
          <w:marRight w:val="0"/>
          <w:marTop w:val="0"/>
          <w:marBottom w:val="0"/>
          <w:divBdr>
            <w:top w:val="none" w:sz="0" w:space="0" w:color="auto"/>
            <w:left w:val="none" w:sz="0" w:space="0" w:color="auto"/>
            <w:bottom w:val="none" w:sz="0" w:space="0" w:color="auto"/>
            <w:right w:val="none" w:sz="0" w:space="0" w:color="auto"/>
          </w:divBdr>
          <w:divsChild>
            <w:div w:id="1153376508">
              <w:marLeft w:val="0"/>
              <w:marRight w:val="0"/>
              <w:marTop w:val="0"/>
              <w:marBottom w:val="0"/>
              <w:divBdr>
                <w:top w:val="none" w:sz="0" w:space="0" w:color="auto"/>
                <w:left w:val="none" w:sz="0" w:space="0" w:color="auto"/>
                <w:bottom w:val="none" w:sz="0" w:space="0" w:color="auto"/>
                <w:right w:val="none" w:sz="0" w:space="0" w:color="auto"/>
              </w:divBdr>
            </w:div>
            <w:div w:id="1709795524">
              <w:marLeft w:val="0"/>
              <w:marRight w:val="0"/>
              <w:marTop w:val="0"/>
              <w:marBottom w:val="0"/>
              <w:divBdr>
                <w:top w:val="none" w:sz="0" w:space="0" w:color="auto"/>
                <w:left w:val="none" w:sz="0" w:space="0" w:color="auto"/>
                <w:bottom w:val="none" w:sz="0" w:space="0" w:color="auto"/>
                <w:right w:val="none" w:sz="0" w:space="0" w:color="auto"/>
              </w:divBdr>
            </w:div>
            <w:div w:id="2061904048">
              <w:marLeft w:val="0"/>
              <w:marRight w:val="0"/>
              <w:marTop w:val="0"/>
              <w:marBottom w:val="0"/>
              <w:divBdr>
                <w:top w:val="none" w:sz="0" w:space="0" w:color="auto"/>
                <w:left w:val="none" w:sz="0" w:space="0" w:color="auto"/>
                <w:bottom w:val="none" w:sz="0" w:space="0" w:color="auto"/>
                <w:right w:val="none" w:sz="0" w:space="0" w:color="auto"/>
              </w:divBdr>
            </w:div>
          </w:divsChild>
        </w:div>
        <w:div w:id="2102295127">
          <w:marLeft w:val="0"/>
          <w:marRight w:val="0"/>
          <w:marTop w:val="0"/>
          <w:marBottom w:val="0"/>
          <w:divBdr>
            <w:top w:val="none" w:sz="0" w:space="0" w:color="auto"/>
            <w:left w:val="none" w:sz="0" w:space="0" w:color="auto"/>
            <w:bottom w:val="none" w:sz="0" w:space="0" w:color="auto"/>
            <w:right w:val="none" w:sz="0" w:space="0" w:color="auto"/>
          </w:divBdr>
          <w:divsChild>
            <w:div w:id="98139010">
              <w:marLeft w:val="0"/>
              <w:marRight w:val="0"/>
              <w:marTop w:val="0"/>
              <w:marBottom w:val="0"/>
              <w:divBdr>
                <w:top w:val="none" w:sz="0" w:space="0" w:color="auto"/>
                <w:left w:val="none" w:sz="0" w:space="0" w:color="auto"/>
                <w:bottom w:val="none" w:sz="0" w:space="0" w:color="auto"/>
                <w:right w:val="none" w:sz="0" w:space="0" w:color="auto"/>
              </w:divBdr>
            </w:div>
            <w:div w:id="167079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583223">
      <w:bodyDiv w:val="1"/>
      <w:marLeft w:val="0"/>
      <w:marRight w:val="0"/>
      <w:marTop w:val="0"/>
      <w:marBottom w:val="0"/>
      <w:divBdr>
        <w:top w:val="none" w:sz="0" w:space="0" w:color="auto"/>
        <w:left w:val="none" w:sz="0" w:space="0" w:color="auto"/>
        <w:bottom w:val="none" w:sz="0" w:space="0" w:color="auto"/>
        <w:right w:val="none" w:sz="0" w:space="0" w:color="auto"/>
      </w:divBdr>
    </w:div>
    <w:div w:id="1421950410">
      <w:bodyDiv w:val="1"/>
      <w:marLeft w:val="0"/>
      <w:marRight w:val="0"/>
      <w:marTop w:val="0"/>
      <w:marBottom w:val="0"/>
      <w:divBdr>
        <w:top w:val="none" w:sz="0" w:space="0" w:color="auto"/>
        <w:left w:val="none" w:sz="0" w:space="0" w:color="auto"/>
        <w:bottom w:val="none" w:sz="0" w:space="0" w:color="auto"/>
        <w:right w:val="none" w:sz="0" w:space="0" w:color="auto"/>
      </w:divBdr>
    </w:div>
    <w:div w:id="1443648332">
      <w:bodyDiv w:val="1"/>
      <w:marLeft w:val="0"/>
      <w:marRight w:val="0"/>
      <w:marTop w:val="0"/>
      <w:marBottom w:val="0"/>
      <w:divBdr>
        <w:top w:val="none" w:sz="0" w:space="0" w:color="auto"/>
        <w:left w:val="none" w:sz="0" w:space="0" w:color="auto"/>
        <w:bottom w:val="none" w:sz="0" w:space="0" w:color="auto"/>
        <w:right w:val="none" w:sz="0" w:space="0" w:color="auto"/>
      </w:divBdr>
    </w:div>
    <w:div w:id="1455707027">
      <w:bodyDiv w:val="1"/>
      <w:marLeft w:val="0"/>
      <w:marRight w:val="0"/>
      <w:marTop w:val="0"/>
      <w:marBottom w:val="0"/>
      <w:divBdr>
        <w:top w:val="none" w:sz="0" w:space="0" w:color="auto"/>
        <w:left w:val="none" w:sz="0" w:space="0" w:color="auto"/>
        <w:bottom w:val="none" w:sz="0" w:space="0" w:color="auto"/>
        <w:right w:val="none" w:sz="0" w:space="0" w:color="auto"/>
      </w:divBdr>
    </w:div>
    <w:div w:id="1460226890">
      <w:bodyDiv w:val="1"/>
      <w:marLeft w:val="0"/>
      <w:marRight w:val="0"/>
      <w:marTop w:val="0"/>
      <w:marBottom w:val="0"/>
      <w:divBdr>
        <w:top w:val="none" w:sz="0" w:space="0" w:color="auto"/>
        <w:left w:val="none" w:sz="0" w:space="0" w:color="auto"/>
        <w:bottom w:val="none" w:sz="0" w:space="0" w:color="auto"/>
        <w:right w:val="none" w:sz="0" w:space="0" w:color="auto"/>
      </w:divBdr>
    </w:div>
    <w:div w:id="1470787637">
      <w:bodyDiv w:val="1"/>
      <w:marLeft w:val="0"/>
      <w:marRight w:val="0"/>
      <w:marTop w:val="0"/>
      <w:marBottom w:val="0"/>
      <w:divBdr>
        <w:top w:val="none" w:sz="0" w:space="0" w:color="auto"/>
        <w:left w:val="none" w:sz="0" w:space="0" w:color="auto"/>
        <w:bottom w:val="none" w:sz="0" w:space="0" w:color="auto"/>
        <w:right w:val="none" w:sz="0" w:space="0" w:color="auto"/>
      </w:divBdr>
    </w:div>
    <w:div w:id="1471903543">
      <w:bodyDiv w:val="1"/>
      <w:marLeft w:val="0"/>
      <w:marRight w:val="0"/>
      <w:marTop w:val="0"/>
      <w:marBottom w:val="0"/>
      <w:divBdr>
        <w:top w:val="none" w:sz="0" w:space="0" w:color="auto"/>
        <w:left w:val="none" w:sz="0" w:space="0" w:color="auto"/>
        <w:bottom w:val="none" w:sz="0" w:space="0" w:color="auto"/>
        <w:right w:val="none" w:sz="0" w:space="0" w:color="auto"/>
      </w:divBdr>
    </w:div>
    <w:div w:id="1477794440">
      <w:bodyDiv w:val="1"/>
      <w:marLeft w:val="0"/>
      <w:marRight w:val="0"/>
      <w:marTop w:val="0"/>
      <w:marBottom w:val="0"/>
      <w:divBdr>
        <w:top w:val="none" w:sz="0" w:space="0" w:color="auto"/>
        <w:left w:val="none" w:sz="0" w:space="0" w:color="auto"/>
        <w:bottom w:val="none" w:sz="0" w:space="0" w:color="auto"/>
        <w:right w:val="none" w:sz="0" w:space="0" w:color="auto"/>
      </w:divBdr>
    </w:div>
    <w:div w:id="1484394828">
      <w:bodyDiv w:val="1"/>
      <w:marLeft w:val="0"/>
      <w:marRight w:val="0"/>
      <w:marTop w:val="0"/>
      <w:marBottom w:val="0"/>
      <w:divBdr>
        <w:top w:val="none" w:sz="0" w:space="0" w:color="auto"/>
        <w:left w:val="none" w:sz="0" w:space="0" w:color="auto"/>
        <w:bottom w:val="none" w:sz="0" w:space="0" w:color="auto"/>
        <w:right w:val="none" w:sz="0" w:space="0" w:color="auto"/>
      </w:divBdr>
      <w:divsChild>
        <w:div w:id="754978814">
          <w:marLeft w:val="0"/>
          <w:marRight w:val="0"/>
          <w:marTop w:val="0"/>
          <w:marBottom w:val="0"/>
          <w:divBdr>
            <w:top w:val="none" w:sz="0" w:space="0" w:color="auto"/>
            <w:left w:val="none" w:sz="0" w:space="0" w:color="auto"/>
            <w:bottom w:val="none" w:sz="0" w:space="0" w:color="auto"/>
            <w:right w:val="none" w:sz="0" w:space="0" w:color="auto"/>
          </w:divBdr>
          <w:divsChild>
            <w:div w:id="1676492238">
              <w:marLeft w:val="-75"/>
              <w:marRight w:val="0"/>
              <w:marTop w:val="30"/>
              <w:marBottom w:val="30"/>
              <w:divBdr>
                <w:top w:val="none" w:sz="0" w:space="0" w:color="auto"/>
                <w:left w:val="none" w:sz="0" w:space="0" w:color="auto"/>
                <w:bottom w:val="none" w:sz="0" w:space="0" w:color="auto"/>
                <w:right w:val="none" w:sz="0" w:space="0" w:color="auto"/>
              </w:divBdr>
              <w:divsChild>
                <w:div w:id="179200044">
                  <w:marLeft w:val="0"/>
                  <w:marRight w:val="0"/>
                  <w:marTop w:val="0"/>
                  <w:marBottom w:val="0"/>
                  <w:divBdr>
                    <w:top w:val="none" w:sz="0" w:space="0" w:color="auto"/>
                    <w:left w:val="none" w:sz="0" w:space="0" w:color="auto"/>
                    <w:bottom w:val="none" w:sz="0" w:space="0" w:color="auto"/>
                    <w:right w:val="none" w:sz="0" w:space="0" w:color="auto"/>
                  </w:divBdr>
                  <w:divsChild>
                    <w:div w:id="21977718">
                      <w:marLeft w:val="0"/>
                      <w:marRight w:val="0"/>
                      <w:marTop w:val="0"/>
                      <w:marBottom w:val="0"/>
                      <w:divBdr>
                        <w:top w:val="none" w:sz="0" w:space="0" w:color="auto"/>
                        <w:left w:val="none" w:sz="0" w:space="0" w:color="auto"/>
                        <w:bottom w:val="none" w:sz="0" w:space="0" w:color="auto"/>
                        <w:right w:val="none" w:sz="0" w:space="0" w:color="auto"/>
                      </w:divBdr>
                    </w:div>
                  </w:divsChild>
                </w:div>
                <w:div w:id="26102393">
                  <w:marLeft w:val="0"/>
                  <w:marRight w:val="0"/>
                  <w:marTop w:val="0"/>
                  <w:marBottom w:val="0"/>
                  <w:divBdr>
                    <w:top w:val="none" w:sz="0" w:space="0" w:color="auto"/>
                    <w:left w:val="none" w:sz="0" w:space="0" w:color="auto"/>
                    <w:bottom w:val="none" w:sz="0" w:space="0" w:color="auto"/>
                    <w:right w:val="none" w:sz="0" w:space="0" w:color="auto"/>
                  </w:divBdr>
                  <w:divsChild>
                    <w:div w:id="1528446049">
                      <w:marLeft w:val="0"/>
                      <w:marRight w:val="0"/>
                      <w:marTop w:val="0"/>
                      <w:marBottom w:val="0"/>
                      <w:divBdr>
                        <w:top w:val="none" w:sz="0" w:space="0" w:color="auto"/>
                        <w:left w:val="none" w:sz="0" w:space="0" w:color="auto"/>
                        <w:bottom w:val="none" w:sz="0" w:space="0" w:color="auto"/>
                        <w:right w:val="none" w:sz="0" w:space="0" w:color="auto"/>
                      </w:divBdr>
                    </w:div>
                    <w:div w:id="2091924351">
                      <w:marLeft w:val="0"/>
                      <w:marRight w:val="0"/>
                      <w:marTop w:val="0"/>
                      <w:marBottom w:val="0"/>
                      <w:divBdr>
                        <w:top w:val="none" w:sz="0" w:space="0" w:color="auto"/>
                        <w:left w:val="none" w:sz="0" w:space="0" w:color="auto"/>
                        <w:bottom w:val="none" w:sz="0" w:space="0" w:color="auto"/>
                        <w:right w:val="none" w:sz="0" w:space="0" w:color="auto"/>
                      </w:divBdr>
                    </w:div>
                  </w:divsChild>
                </w:div>
                <w:div w:id="64186915">
                  <w:marLeft w:val="0"/>
                  <w:marRight w:val="0"/>
                  <w:marTop w:val="0"/>
                  <w:marBottom w:val="0"/>
                  <w:divBdr>
                    <w:top w:val="none" w:sz="0" w:space="0" w:color="auto"/>
                    <w:left w:val="none" w:sz="0" w:space="0" w:color="auto"/>
                    <w:bottom w:val="none" w:sz="0" w:space="0" w:color="auto"/>
                    <w:right w:val="none" w:sz="0" w:space="0" w:color="auto"/>
                  </w:divBdr>
                  <w:divsChild>
                    <w:div w:id="1481464538">
                      <w:marLeft w:val="0"/>
                      <w:marRight w:val="0"/>
                      <w:marTop w:val="0"/>
                      <w:marBottom w:val="0"/>
                      <w:divBdr>
                        <w:top w:val="none" w:sz="0" w:space="0" w:color="auto"/>
                        <w:left w:val="none" w:sz="0" w:space="0" w:color="auto"/>
                        <w:bottom w:val="none" w:sz="0" w:space="0" w:color="auto"/>
                        <w:right w:val="none" w:sz="0" w:space="0" w:color="auto"/>
                      </w:divBdr>
                    </w:div>
                    <w:div w:id="1615791627">
                      <w:marLeft w:val="0"/>
                      <w:marRight w:val="0"/>
                      <w:marTop w:val="0"/>
                      <w:marBottom w:val="0"/>
                      <w:divBdr>
                        <w:top w:val="none" w:sz="0" w:space="0" w:color="auto"/>
                        <w:left w:val="none" w:sz="0" w:space="0" w:color="auto"/>
                        <w:bottom w:val="none" w:sz="0" w:space="0" w:color="auto"/>
                        <w:right w:val="none" w:sz="0" w:space="0" w:color="auto"/>
                      </w:divBdr>
                    </w:div>
                  </w:divsChild>
                </w:div>
                <w:div w:id="99567322">
                  <w:marLeft w:val="0"/>
                  <w:marRight w:val="0"/>
                  <w:marTop w:val="0"/>
                  <w:marBottom w:val="0"/>
                  <w:divBdr>
                    <w:top w:val="none" w:sz="0" w:space="0" w:color="auto"/>
                    <w:left w:val="none" w:sz="0" w:space="0" w:color="auto"/>
                    <w:bottom w:val="none" w:sz="0" w:space="0" w:color="auto"/>
                    <w:right w:val="none" w:sz="0" w:space="0" w:color="auto"/>
                  </w:divBdr>
                  <w:divsChild>
                    <w:div w:id="2068719272">
                      <w:marLeft w:val="0"/>
                      <w:marRight w:val="0"/>
                      <w:marTop w:val="0"/>
                      <w:marBottom w:val="0"/>
                      <w:divBdr>
                        <w:top w:val="none" w:sz="0" w:space="0" w:color="auto"/>
                        <w:left w:val="none" w:sz="0" w:space="0" w:color="auto"/>
                        <w:bottom w:val="none" w:sz="0" w:space="0" w:color="auto"/>
                        <w:right w:val="none" w:sz="0" w:space="0" w:color="auto"/>
                      </w:divBdr>
                    </w:div>
                  </w:divsChild>
                </w:div>
                <w:div w:id="967081485">
                  <w:marLeft w:val="0"/>
                  <w:marRight w:val="0"/>
                  <w:marTop w:val="0"/>
                  <w:marBottom w:val="0"/>
                  <w:divBdr>
                    <w:top w:val="none" w:sz="0" w:space="0" w:color="auto"/>
                    <w:left w:val="none" w:sz="0" w:space="0" w:color="auto"/>
                    <w:bottom w:val="none" w:sz="0" w:space="0" w:color="auto"/>
                    <w:right w:val="none" w:sz="0" w:space="0" w:color="auto"/>
                  </w:divBdr>
                  <w:divsChild>
                    <w:div w:id="231475172">
                      <w:marLeft w:val="0"/>
                      <w:marRight w:val="0"/>
                      <w:marTop w:val="0"/>
                      <w:marBottom w:val="0"/>
                      <w:divBdr>
                        <w:top w:val="none" w:sz="0" w:space="0" w:color="auto"/>
                        <w:left w:val="none" w:sz="0" w:space="0" w:color="auto"/>
                        <w:bottom w:val="none" w:sz="0" w:space="0" w:color="auto"/>
                        <w:right w:val="none" w:sz="0" w:space="0" w:color="auto"/>
                      </w:divBdr>
                    </w:div>
                  </w:divsChild>
                </w:div>
                <w:div w:id="243804643">
                  <w:marLeft w:val="0"/>
                  <w:marRight w:val="0"/>
                  <w:marTop w:val="0"/>
                  <w:marBottom w:val="0"/>
                  <w:divBdr>
                    <w:top w:val="none" w:sz="0" w:space="0" w:color="auto"/>
                    <w:left w:val="none" w:sz="0" w:space="0" w:color="auto"/>
                    <w:bottom w:val="none" w:sz="0" w:space="0" w:color="auto"/>
                    <w:right w:val="none" w:sz="0" w:space="0" w:color="auto"/>
                  </w:divBdr>
                  <w:divsChild>
                    <w:div w:id="1462305722">
                      <w:marLeft w:val="0"/>
                      <w:marRight w:val="0"/>
                      <w:marTop w:val="0"/>
                      <w:marBottom w:val="0"/>
                      <w:divBdr>
                        <w:top w:val="none" w:sz="0" w:space="0" w:color="auto"/>
                        <w:left w:val="none" w:sz="0" w:space="0" w:color="auto"/>
                        <w:bottom w:val="none" w:sz="0" w:space="0" w:color="auto"/>
                        <w:right w:val="none" w:sz="0" w:space="0" w:color="auto"/>
                      </w:divBdr>
                    </w:div>
                  </w:divsChild>
                </w:div>
                <w:div w:id="249436094">
                  <w:marLeft w:val="0"/>
                  <w:marRight w:val="0"/>
                  <w:marTop w:val="0"/>
                  <w:marBottom w:val="0"/>
                  <w:divBdr>
                    <w:top w:val="none" w:sz="0" w:space="0" w:color="auto"/>
                    <w:left w:val="none" w:sz="0" w:space="0" w:color="auto"/>
                    <w:bottom w:val="none" w:sz="0" w:space="0" w:color="auto"/>
                    <w:right w:val="none" w:sz="0" w:space="0" w:color="auto"/>
                  </w:divBdr>
                  <w:divsChild>
                    <w:div w:id="830635248">
                      <w:marLeft w:val="0"/>
                      <w:marRight w:val="0"/>
                      <w:marTop w:val="0"/>
                      <w:marBottom w:val="0"/>
                      <w:divBdr>
                        <w:top w:val="none" w:sz="0" w:space="0" w:color="auto"/>
                        <w:left w:val="none" w:sz="0" w:space="0" w:color="auto"/>
                        <w:bottom w:val="none" w:sz="0" w:space="0" w:color="auto"/>
                        <w:right w:val="none" w:sz="0" w:space="0" w:color="auto"/>
                      </w:divBdr>
                    </w:div>
                    <w:div w:id="913398614">
                      <w:marLeft w:val="0"/>
                      <w:marRight w:val="0"/>
                      <w:marTop w:val="0"/>
                      <w:marBottom w:val="0"/>
                      <w:divBdr>
                        <w:top w:val="none" w:sz="0" w:space="0" w:color="auto"/>
                        <w:left w:val="none" w:sz="0" w:space="0" w:color="auto"/>
                        <w:bottom w:val="none" w:sz="0" w:space="0" w:color="auto"/>
                        <w:right w:val="none" w:sz="0" w:space="0" w:color="auto"/>
                      </w:divBdr>
                    </w:div>
                  </w:divsChild>
                </w:div>
                <w:div w:id="544413958">
                  <w:marLeft w:val="0"/>
                  <w:marRight w:val="0"/>
                  <w:marTop w:val="0"/>
                  <w:marBottom w:val="0"/>
                  <w:divBdr>
                    <w:top w:val="none" w:sz="0" w:space="0" w:color="auto"/>
                    <w:left w:val="none" w:sz="0" w:space="0" w:color="auto"/>
                    <w:bottom w:val="none" w:sz="0" w:space="0" w:color="auto"/>
                    <w:right w:val="none" w:sz="0" w:space="0" w:color="auto"/>
                  </w:divBdr>
                  <w:divsChild>
                    <w:div w:id="303655470">
                      <w:marLeft w:val="0"/>
                      <w:marRight w:val="0"/>
                      <w:marTop w:val="0"/>
                      <w:marBottom w:val="0"/>
                      <w:divBdr>
                        <w:top w:val="none" w:sz="0" w:space="0" w:color="auto"/>
                        <w:left w:val="none" w:sz="0" w:space="0" w:color="auto"/>
                        <w:bottom w:val="none" w:sz="0" w:space="0" w:color="auto"/>
                        <w:right w:val="none" w:sz="0" w:space="0" w:color="auto"/>
                      </w:divBdr>
                    </w:div>
                  </w:divsChild>
                </w:div>
                <w:div w:id="1493526769">
                  <w:marLeft w:val="0"/>
                  <w:marRight w:val="0"/>
                  <w:marTop w:val="0"/>
                  <w:marBottom w:val="0"/>
                  <w:divBdr>
                    <w:top w:val="none" w:sz="0" w:space="0" w:color="auto"/>
                    <w:left w:val="none" w:sz="0" w:space="0" w:color="auto"/>
                    <w:bottom w:val="none" w:sz="0" w:space="0" w:color="auto"/>
                    <w:right w:val="none" w:sz="0" w:space="0" w:color="auto"/>
                  </w:divBdr>
                  <w:divsChild>
                    <w:div w:id="339040311">
                      <w:marLeft w:val="0"/>
                      <w:marRight w:val="0"/>
                      <w:marTop w:val="0"/>
                      <w:marBottom w:val="0"/>
                      <w:divBdr>
                        <w:top w:val="none" w:sz="0" w:space="0" w:color="auto"/>
                        <w:left w:val="none" w:sz="0" w:space="0" w:color="auto"/>
                        <w:bottom w:val="none" w:sz="0" w:space="0" w:color="auto"/>
                        <w:right w:val="none" w:sz="0" w:space="0" w:color="auto"/>
                      </w:divBdr>
                    </w:div>
                  </w:divsChild>
                </w:div>
                <w:div w:id="809831400">
                  <w:marLeft w:val="0"/>
                  <w:marRight w:val="0"/>
                  <w:marTop w:val="0"/>
                  <w:marBottom w:val="0"/>
                  <w:divBdr>
                    <w:top w:val="none" w:sz="0" w:space="0" w:color="auto"/>
                    <w:left w:val="none" w:sz="0" w:space="0" w:color="auto"/>
                    <w:bottom w:val="none" w:sz="0" w:space="0" w:color="auto"/>
                    <w:right w:val="none" w:sz="0" w:space="0" w:color="auto"/>
                  </w:divBdr>
                  <w:divsChild>
                    <w:div w:id="489685016">
                      <w:marLeft w:val="0"/>
                      <w:marRight w:val="0"/>
                      <w:marTop w:val="0"/>
                      <w:marBottom w:val="0"/>
                      <w:divBdr>
                        <w:top w:val="none" w:sz="0" w:space="0" w:color="auto"/>
                        <w:left w:val="none" w:sz="0" w:space="0" w:color="auto"/>
                        <w:bottom w:val="none" w:sz="0" w:space="0" w:color="auto"/>
                        <w:right w:val="none" w:sz="0" w:space="0" w:color="auto"/>
                      </w:divBdr>
                    </w:div>
                  </w:divsChild>
                </w:div>
                <w:div w:id="490872746">
                  <w:marLeft w:val="0"/>
                  <w:marRight w:val="0"/>
                  <w:marTop w:val="0"/>
                  <w:marBottom w:val="0"/>
                  <w:divBdr>
                    <w:top w:val="none" w:sz="0" w:space="0" w:color="auto"/>
                    <w:left w:val="none" w:sz="0" w:space="0" w:color="auto"/>
                    <w:bottom w:val="none" w:sz="0" w:space="0" w:color="auto"/>
                    <w:right w:val="none" w:sz="0" w:space="0" w:color="auto"/>
                  </w:divBdr>
                  <w:divsChild>
                    <w:div w:id="1209996684">
                      <w:marLeft w:val="0"/>
                      <w:marRight w:val="0"/>
                      <w:marTop w:val="0"/>
                      <w:marBottom w:val="0"/>
                      <w:divBdr>
                        <w:top w:val="none" w:sz="0" w:space="0" w:color="auto"/>
                        <w:left w:val="none" w:sz="0" w:space="0" w:color="auto"/>
                        <w:bottom w:val="none" w:sz="0" w:space="0" w:color="auto"/>
                        <w:right w:val="none" w:sz="0" w:space="0" w:color="auto"/>
                      </w:divBdr>
                    </w:div>
                  </w:divsChild>
                </w:div>
                <w:div w:id="1103501963">
                  <w:marLeft w:val="0"/>
                  <w:marRight w:val="0"/>
                  <w:marTop w:val="0"/>
                  <w:marBottom w:val="0"/>
                  <w:divBdr>
                    <w:top w:val="none" w:sz="0" w:space="0" w:color="auto"/>
                    <w:left w:val="none" w:sz="0" w:space="0" w:color="auto"/>
                    <w:bottom w:val="none" w:sz="0" w:space="0" w:color="auto"/>
                    <w:right w:val="none" w:sz="0" w:space="0" w:color="auto"/>
                  </w:divBdr>
                  <w:divsChild>
                    <w:div w:id="512577186">
                      <w:marLeft w:val="0"/>
                      <w:marRight w:val="0"/>
                      <w:marTop w:val="0"/>
                      <w:marBottom w:val="0"/>
                      <w:divBdr>
                        <w:top w:val="none" w:sz="0" w:space="0" w:color="auto"/>
                        <w:left w:val="none" w:sz="0" w:space="0" w:color="auto"/>
                        <w:bottom w:val="none" w:sz="0" w:space="0" w:color="auto"/>
                        <w:right w:val="none" w:sz="0" w:space="0" w:color="auto"/>
                      </w:divBdr>
                    </w:div>
                    <w:div w:id="1104350200">
                      <w:marLeft w:val="0"/>
                      <w:marRight w:val="0"/>
                      <w:marTop w:val="0"/>
                      <w:marBottom w:val="0"/>
                      <w:divBdr>
                        <w:top w:val="none" w:sz="0" w:space="0" w:color="auto"/>
                        <w:left w:val="none" w:sz="0" w:space="0" w:color="auto"/>
                        <w:bottom w:val="none" w:sz="0" w:space="0" w:color="auto"/>
                        <w:right w:val="none" w:sz="0" w:space="0" w:color="auto"/>
                      </w:divBdr>
                    </w:div>
                  </w:divsChild>
                </w:div>
                <w:div w:id="536434796">
                  <w:marLeft w:val="0"/>
                  <w:marRight w:val="0"/>
                  <w:marTop w:val="0"/>
                  <w:marBottom w:val="0"/>
                  <w:divBdr>
                    <w:top w:val="none" w:sz="0" w:space="0" w:color="auto"/>
                    <w:left w:val="none" w:sz="0" w:space="0" w:color="auto"/>
                    <w:bottom w:val="none" w:sz="0" w:space="0" w:color="auto"/>
                    <w:right w:val="none" w:sz="0" w:space="0" w:color="auto"/>
                  </w:divBdr>
                  <w:divsChild>
                    <w:div w:id="1324894110">
                      <w:marLeft w:val="0"/>
                      <w:marRight w:val="0"/>
                      <w:marTop w:val="0"/>
                      <w:marBottom w:val="0"/>
                      <w:divBdr>
                        <w:top w:val="none" w:sz="0" w:space="0" w:color="auto"/>
                        <w:left w:val="none" w:sz="0" w:space="0" w:color="auto"/>
                        <w:bottom w:val="none" w:sz="0" w:space="0" w:color="auto"/>
                        <w:right w:val="none" w:sz="0" w:space="0" w:color="auto"/>
                      </w:divBdr>
                    </w:div>
                  </w:divsChild>
                </w:div>
                <w:div w:id="1128746422">
                  <w:marLeft w:val="0"/>
                  <w:marRight w:val="0"/>
                  <w:marTop w:val="0"/>
                  <w:marBottom w:val="0"/>
                  <w:divBdr>
                    <w:top w:val="none" w:sz="0" w:space="0" w:color="auto"/>
                    <w:left w:val="none" w:sz="0" w:space="0" w:color="auto"/>
                    <w:bottom w:val="none" w:sz="0" w:space="0" w:color="auto"/>
                    <w:right w:val="none" w:sz="0" w:space="0" w:color="auto"/>
                  </w:divBdr>
                  <w:divsChild>
                    <w:div w:id="681014749">
                      <w:marLeft w:val="0"/>
                      <w:marRight w:val="0"/>
                      <w:marTop w:val="0"/>
                      <w:marBottom w:val="0"/>
                      <w:divBdr>
                        <w:top w:val="none" w:sz="0" w:space="0" w:color="auto"/>
                        <w:left w:val="none" w:sz="0" w:space="0" w:color="auto"/>
                        <w:bottom w:val="none" w:sz="0" w:space="0" w:color="auto"/>
                        <w:right w:val="none" w:sz="0" w:space="0" w:color="auto"/>
                      </w:divBdr>
                    </w:div>
                    <w:div w:id="1402437438">
                      <w:marLeft w:val="0"/>
                      <w:marRight w:val="0"/>
                      <w:marTop w:val="0"/>
                      <w:marBottom w:val="0"/>
                      <w:divBdr>
                        <w:top w:val="none" w:sz="0" w:space="0" w:color="auto"/>
                        <w:left w:val="none" w:sz="0" w:space="0" w:color="auto"/>
                        <w:bottom w:val="none" w:sz="0" w:space="0" w:color="auto"/>
                        <w:right w:val="none" w:sz="0" w:space="0" w:color="auto"/>
                      </w:divBdr>
                    </w:div>
                  </w:divsChild>
                </w:div>
                <w:div w:id="709690250">
                  <w:marLeft w:val="0"/>
                  <w:marRight w:val="0"/>
                  <w:marTop w:val="0"/>
                  <w:marBottom w:val="0"/>
                  <w:divBdr>
                    <w:top w:val="none" w:sz="0" w:space="0" w:color="auto"/>
                    <w:left w:val="none" w:sz="0" w:space="0" w:color="auto"/>
                    <w:bottom w:val="none" w:sz="0" w:space="0" w:color="auto"/>
                    <w:right w:val="none" w:sz="0" w:space="0" w:color="auto"/>
                  </w:divBdr>
                  <w:divsChild>
                    <w:div w:id="1625428187">
                      <w:marLeft w:val="0"/>
                      <w:marRight w:val="0"/>
                      <w:marTop w:val="0"/>
                      <w:marBottom w:val="0"/>
                      <w:divBdr>
                        <w:top w:val="none" w:sz="0" w:space="0" w:color="auto"/>
                        <w:left w:val="none" w:sz="0" w:space="0" w:color="auto"/>
                        <w:bottom w:val="none" w:sz="0" w:space="0" w:color="auto"/>
                        <w:right w:val="none" w:sz="0" w:space="0" w:color="auto"/>
                      </w:divBdr>
                    </w:div>
                  </w:divsChild>
                </w:div>
                <w:div w:id="838619223">
                  <w:marLeft w:val="0"/>
                  <w:marRight w:val="0"/>
                  <w:marTop w:val="0"/>
                  <w:marBottom w:val="0"/>
                  <w:divBdr>
                    <w:top w:val="none" w:sz="0" w:space="0" w:color="auto"/>
                    <w:left w:val="none" w:sz="0" w:space="0" w:color="auto"/>
                    <w:bottom w:val="none" w:sz="0" w:space="0" w:color="auto"/>
                    <w:right w:val="none" w:sz="0" w:space="0" w:color="auto"/>
                  </w:divBdr>
                  <w:divsChild>
                    <w:div w:id="1312253080">
                      <w:marLeft w:val="0"/>
                      <w:marRight w:val="0"/>
                      <w:marTop w:val="0"/>
                      <w:marBottom w:val="0"/>
                      <w:divBdr>
                        <w:top w:val="none" w:sz="0" w:space="0" w:color="auto"/>
                        <w:left w:val="none" w:sz="0" w:space="0" w:color="auto"/>
                        <w:bottom w:val="none" w:sz="0" w:space="0" w:color="auto"/>
                        <w:right w:val="none" w:sz="0" w:space="0" w:color="auto"/>
                      </w:divBdr>
                    </w:div>
                  </w:divsChild>
                </w:div>
                <w:div w:id="1390574193">
                  <w:marLeft w:val="0"/>
                  <w:marRight w:val="0"/>
                  <w:marTop w:val="0"/>
                  <w:marBottom w:val="0"/>
                  <w:divBdr>
                    <w:top w:val="none" w:sz="0" w:space="0" w:color="auto"/>
                    <w:left w:val="none" w:sz="0" w:space="0" w:color="auto"/>
                    <w:bottom w:val="none" w:sz="0" w:space="0" w:color="auto"/>
                    <w:right w:val="none" w:sz="0" w:space="0" w:color="auto"/>
                  </w:divBdr>
                  <w:divsChild>
                    <w:div w:id="884484801">
                      <w:marLeft w:val="0"/>
                      <w:marRight w:val="0"/>
                      <w:marTop w:val="0"/>
                      <w:marBottom w:val="0"/>
                      <w:divBdr>
                        <w:top w:val="none" w:sz="0" w:space="0" w:color="auto"/>
                        <w:left w:val="none" w:sz="0" w:space="0" w:color="auto"/>
                        <w:bottom w:val="none" w:sz="0" w:space="0" w:color="auto"/>
                        <w:right w:val="none" w:sz="0" w:space="0" w:color="auto"/>
                      </w:divBdr>
                    </w:div>
                  </w:divsChild>
                </w:div>
                <w:div w:id="888296651">
                  <w:marLeft w:val="0"/>
                  <w:marRight w:val="0"/>
                  <w:marTop w:val="0"/>
                  <w:marBottom w:val="0"/>
                  <w:divBdr>
                    <w:top w:val="none" w:sz="0" w:space="0" w:color="auto"/>
                    <w:left w:val="none" w:sz="0" w:space="0" w:color="auto"/>
                    <w:bottom w:val="none" w:sz="0" w:space="0" w:color="auto"/>
                    <w:right w:val="none" w:sz="0" w:space="0" w:color="auto"/>
                  </w:divBdr>
                  <w:divsChild>
                    <w:div w:id="2027560013">
                      <w:marLeft w:val="0"/>
                      <w:marRight w:val="0"/>
                      <w:marTop w:val="0"/>
                      <w:marBottom w:val="0"/>
                      <w:divBdr>
                        <w:top w:val="none" w:sz="0" w:space="0" w:color="auto"/>
                        <w:left w:val="none" w:sz="0" w:space="0" w:color="auto"/>
                        <w:bottom w:val="none" w:sz="0" w:space="0" w:color="auto"/>
                        <w:right w:val="none" w:sz="0" w:space="0" w:color="auto"/>
                      </w:divBdr>
                    </w:div>
                  </w:divsChild>
                </w:div>
                <w:div w:id="1383094218">
                  <w:marLeft w:val="0"/>
                  <w:marRight w:val="0"/>
                  <w:marTop w:val="0"/>
                  <w:marBottom w:val="0"/>
                  <w:divBdr>
                    <w:top w:val="none" w:sz="0" w:space="0" w:color="auto"/>
                    <w:left w:val="none" w:sz="0" w:space="0" w:color="auto"/>
                    <w:bottom w:val="none" w:sz="0" w:space="0" w:color="auto"/>
                    <w:right w:val="none" w:sz="0" w:space="0" w:color="auto"/>
                  </w:divBdr>
                  <w:divsChild>
                    <w:div w:id="1776633553">
                      <w:marLeft w:val="0"/>
                      <w:marRight w:val="0"/>
                      <w:marTop w:val="0"/>
                      <w:marBottom w:val="0"/>
                      <w:divBdr>
                        <w:top w:val="none" w:sz="0" w:space="0" w:color="auto"/>
                        <w:left w:val="none" w:sz="0" w:space="0" w:color="auto"/>
                        <w:bottom w:val="none" w:sz="0" w:space="0" w:color="auto"/>
                        <w:right w:val="none" w:sz="0" w:space="0" w:color="auto"/>
                      </w:divBdr>
                    </w:div>
                  </w:divsChild>
                </w:div>
                <w:div w:id="1668435223">
                  <w:marLeft w:val="0"/>
                  <w:marRight w:val="0"/>
                  <w:marTop w:val="0"/>
                  <w:marBottom w:val="0"/>
                  <w:divBdr>
                    <w:top w:val="none" w:sz="0" w:space="0" w:color="auto"/>
                    <w:left w:val="none" w:sz="0" w:space="0" w:color="auto"/>
                    <w:bottom w:val="none" w:sz="0" w:space="0" w:color="auto"/>
                    <w:right w:val="none" w:sz="0" w:space="0" w:color="auto"/>
                  </w:divBdr>
                  <w:divsChild>
                    <w:div w:id="1417361621">
                      <w:marLeft w:val="0"/>
                      <w:marRight w:val="0"/>
                      <w:marTop w:val="0"/>
                      <w:marBottom w:val="0"/>
                      <w:divBdr>
                        <w:top w:val="none" w:sz="0" w:space="0" w:color="auto"/>
                        <w:left w:val="none" w:sz="0" w:space="0" w:color="auto"/>
                        <w:bottom w:val="none" w:sz="0" w:space="0" w:color="auto"/>
                        <w:right w:val="none" w:sz="0" w:space="0" w:color="auto"/>
                      </w:divBdr>
                    </w:div>
                  </w:divsChild>
                </w:div>
                <w:div w:id="1721442342">
                  <w:marLeft w:val="0"/>
                  <w:marRight w:val="0"/>
                  <w:marTop w:val="0"/>
                  <w:marBottom w:val="0"/>
                  <w:divBdr>
                    <w:top w:val="none" w:sz="0" w:space="0" w:color="auto"/>
                    <w:left w:val="none" w:sz="0" w:space="0" w:color="auto"/>
                    <w:bottom w:val="none" w:sz="0" w:space="0" w:color="auto"/>
                    <w:right w:val="none" w:sz="0" w:space="0" w:color="auto"/>
                  </w:divBdr>
                  <w:divsChild>
                    <w:div w:id="157654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693297">
          <w:marLeft w:val="0"/>
          <w:marRight w:val="0"/>
          <w:marTop w:val="0"/>
          <w:marBottom w:val="0"/>
          <w:divBdr>
            <w:top w:val="none" w:sz="0" w:space="0" w:color="auto"/>
            <w:left w:val="none" w:sz="0" w:space="0" w:color="auto"/>
            <w:bottom w:val="none" w:sz="0" w:space="0" w:color="auto"/>
            <w:right w:val="none" w:sz="0" w:space="0" w:color="auto"/>
          </w:divBdr>
          <w:divsChild>
            <w:div w:id="1994025727">
              <w:marLeft w:val="-75"/>
              <w:marRight w:val="0"/>
              <w:marTop w:val="30"/>
              <w:marBottom w:val="30"/>
              <w:divBdr>
                <w:top w:val="none" w:sz="0" w:space="0" w:color="auto"/>
                <w:left w:val="none" w:sz="0" w:space="0" w:color="auto"/>
                <w:bottom w:val="none" w:sz="0" w:space="0" w:color="auto"/>
                <w:right w:val="none" w:sz="0" w:space="0" w:color="auto"/>
              </w:divBdr>
              <w:divsChild>
                <w:div w:id="37165419">
                  <w:marLeft w:val="0"/>
                  <w:marRight w:val="0"/>
                  <w:marTop w:val="0"/>
                  <w:marBottom w:val="0"/>
                  <w:divBdr>
                    <w:top w:val="none" w:sz="0" w:space="0" w:color="auto"/>
                    <w:left w:val="none" w:sz="0" w:space="0" w:color="auto"/>
                    <w:bottom w:val="none" w:sz="0" w:space="0" w:color="auto"/>
                    <w:right w:val="none" w:sz="0" w:space="0" w:color="auto"/>
                  </w:divBdr>
                  <w:divsChild>
                    <w:div w:id="1541362170">
                      <w:marLeft w:val="0"/>
                      <w:marRight w:val="0"/>
                      <w:marTop w:val="0"/>
                      <w:marBottom w:val="0"/>
                      <w:divBdr>
                        <w:top w:val="none" w:sz="0" w:space="0" w:color="auto"/>
                        <w:left w:val="none" w:sz="0" w:space="0" w:color="auto"/>
                        <w:bottom w:val="none" w:sz="0" w:space="0" w:color="auto"/>
                        <w:right w:val="none" w:sz="0" w:space="0" w:color="auto"/>
                      </w:divBdr>
                    </w:div>
                  </w:divsChild>
                </w:div>
                <w:div w:id="89476137">
                  <w:marLeft w:val="0"/>
                  <w:marRight w:val="0"/>
                  <w:marTop w:val="0"/>
                  <w:marBottom w:val="0"/>
                  <w:divBdr>
                    <w:top w:val="none" w:sz="0" w:space="0" w:color="auto"/>
                    <w:left w:val="none" w:sz="0" w:space="0" w:color="auto"/>
                    <w:bottom w:val="none" w:sz="0" w:space="0" w:color="auto"/>
                    <w:right w:val="none" w:sz="0" w:space="0" w:color="auto"/>
                  </w:divBdr>
                  <w:divsChild>
                    <w:div w:id="504246199">
                      <w:marLeft w:val="0"/>
                      <w:marRight w:val="0"/>
                      <w:marTop w:val="0"/>
                      <w:marBottom w:val="0"/>
                      <w:divBdr>
                        <w:top w:val="none" w:sz="0" w:space="0" w:color="auto"/>
                        <w:left w:val="none" w:sz="0" w:space="0" w:color="auto"/>
                        <w:bottom w:val="none" w:sz="0" w:space="0" w:color="auto"/>
                        <w:right w:val="none" w:sz="0" w:space="0" w:color="auto"/>
                      </w:divBdr>
                    </w:div>
                  </w:divsChild>
                </w:div>
                <w:div w:id="99691800">
                  <w:marLeft w:val="0"/>
                  <w:marRight w:val="0"/>
                  <w:marTop w:val="0"/>
                  <w:marBottom w:val="0"/>
                  <w:divBdr>
                    <w:top w:val="none" w:sz="0" w:space="0" w:color="auto"/>
                    <w:left w:val="none" w:sz="0" w:space="0" w:color="auto"/>
                    <w:bottom w:val="none" w:sz="0" w:space="0" w:color="auto"/>
                    <w:right w:val="none" w:sz="0" w:space="0" w:color="auto"/>
                  </w:divBdr>
                  <w:divsChild>
                    <w:div w:id="152527078">
                      <w:marLeft w:val="0"/>
                      <w:marRight w:val="0"/>
                      <w:marTop w:val="0"/>
                      <w:marBottom w:val="0"/>
                      <w:divBdr>
                        <w:top w:val="none" w:sz="0" w:space="0" w:color="auto"/>
                        <w:left w:val="none" w:sz="0" w:space="0" w:color="auto"/>
                        <w:bottom w:val="none" w:sz="0" w:space="0" w:color="auto"/>
                        <w:right w:val="none" w:sz="0" w:space="0" w:color="auto"/>
                      </w:divBdr>
                    </w:div>
                  </w:divsChild>
                </w:div>
                <w:div w:id="118187573">
                  <w:marLeft w:val="0"/>
                  <w:marRight w:val="0"/>
                  <w:marTop w:val="0"/>
                  <w:marBottom w:val="0"/>
                  <w:divBdr>
                    <w:top w:val="none" w:sz="0" w:space="0" w:color="auto"/>
                    <w:left w:val="none" w:sz="0" w:space="0" w:color="auto"/>
                    <w:bottom w:val="none" w:sz="0" w:space="0" w:color="auto"/>
                    <w:right w:val="none" w:sz="0" w:space="0" w:color="auto"/>
                  </w:divBdr>
                  <w:divsChild>
                    <w:div w:id="2084135596">
                      <w:marLeft w:val="0"/>
                      <w:marRight w:val="0"/>
                      <w:marTop w:val="0"/>
                      <w:marBottom w:val="0"/>
                      <w:divBdr>
                        <w:top w:val="none" w:sz="0" w:space="0" w:color="auto"/>
                        <w:left w:val="none" w:sz="0" w:space="0" w:color="auto"/>
                        <w:bottom w:val="none" w:sz="0" w:space="0" w:color="auto"/>
                        <w:right w:val="none" w:sz="0" w:space="0" w:color="auto"/>
                      </w:divBdr>
                    </w:div>
                  </w:divsChild>
                </w:div>
                <w:div w:id="1216507460">
                  <w:marLeft w:val="0"/>
                  <w:marRight w:val="0"/>
                  <w:marTop w:val="0"/>
                  <w:marBottom w:val="0"/>
                  <w:divBdr>
                    <w:top w:val="none" w:sz="0" w:space="0" w:color="auto"/>
                    <w:left w:val="none" w:sz="0" w:space="0" w:color="auto"/>
                    <w:bottom w:val="none" w:sz="0" w:space="0" w:color="auto"/>
                    <w:right w:val="none" w:sz="0" w:space="0" w:color="auto"/>
                  </w:divBdr>
                  <w:divsChild>
                    <w:div w:id="199785396">
                      <w:marLeft w:val="0"/>
                      <w:marRight w:val="0"/>
                      <w:marTop w:val="0"/>
                      <w:marBottom w:val="0"/>
                      <w:divBdr>
                        <w:top w:val="none" w:sz="0" w:space="0" w:color="auto"/>
                        <w:left w:val="none" w:sz="0" w:space="0" w:color="auto"/>
                        <w:bottom w:val="none" w:sz="0" w:space="0" w:color="auto"/>
                        <w:right w:val="none" w:sz="0" w:space="0" w:color="auto"/>
                      </w:divBdr>
                    </w:div>
                  </w:divsChild>
                </w:div>
                <w:div w:id="211893773">
                  <w:marLeft w:val="0"/>
                  <w:marRight w:val="0"/>
                  <w:marTop w:val="0"/>
                  <w:marBottom w:val="0"/>
                  <w:divBdr>
                    <w:top w:val="none" w:sz="0" w:space="0" w:color="auto"/>
                    <w:left w:val="none" w:sz="0" w:space="0" w:color="auto"/>
                    <w:bottom w:val="none" w:sz="0" w:space="0" w:color="auto"/>
                    <w:right w:val="none" w:sz="0" w:space="0" w:color="auto"/>
                  </w:divBdr>
                  <w:divsChild>
                    <w:div w:id="426461074">
                      <w:marLeft w:val="0"/>
                      <w:marRight w:val="0"/>
                      <w:marTop w:val="0"/>
                      <w:marBottom w:val="0"/>
                      <w:divBdr>
                        <w:top w:val="none" w:sz="0" w:space="0" w:color="auto"/>
                        <w:left w:val="none" w:sz="0" w:space="0" w:color="auto"/>
                        <w:bottom w:val="none" w:sz="0" w:space="0" w:color="auto"/>
                        <w:right w:val="none" w:sz="0" w:space="0" w:color="auto"/>
                      </w:divBdr>
                    </w:div>
                    <w:div w:id="1161653142">
                      <w:marLeft w:val="0"/>
                      <w:marRight w:val="0"/>
                      <w:marTop w:val="0"/>
                      <w:marBottom w:val="0"/>
                      <w:divBdr>
                        <w:top w:val="none" w:sz="0" w:space="0" w:color="auto"/>
                        <w:left w:val="none" w:sz="0" w:space="0" w:color="auto"/>
                        <w:bottom w:val="none" w:sz="0" w:space="0" w:color="auto"/>
                        <w:right w:val="none" w:sz="0" w:space="0" w:color="auto"/>
                      </w:divBdr>
                    </w:div>
                  </w:divsChild>
                </w:div>
                <w:div w:id="1879776563">
                  <w:marLeft w:val="0"/>
                  <w:marRight w:val="0"/>
                  <w:marTop w:val="0"/>
                  <w:marBottom w:val="0"/>
                  <w:divBdr>
                    <w:top w:val="none" w:sz="0" w:space="0" w:color="auto"/>
                    <w:left w:val="none" w:sz="0" w:space="0" w:color="auto"/>
                    <w:bottom w:val="none" w:sz="0" w:space="0" w:color="auto"/>
                    <w:right w:val="none" w:sz="0" w:space="0" w:color="auto"/>
                  </w:divBdr>
                  <w:divsChild>
                    <w:div w:id="271668159">
                      <w:marLeft w:val="0"/>
                      <w:marRight w:val="0"/>
                      <w:marTop w:val="0"/>
                      <w:marBottom w:val="0"/>
                      <w:divBdr>
                        <w:top w:val="none" w:sz="0" w:space="0" w:color="auto"/>
                        <w:left w:val="none" w:sz="0" w:space="0" w:color="auto"/>
                        <w:bottom w:val="none" w:sz="0" w:space="0" w:color="auto"/>
                        <w:right w:val="none" w:sz="0" w:space="0" w:color="auto"/>
                      </w:divBdr>
                    </w:div>
                  </w:divsChild>
                </w:div>
                <w:div w:id="529952340">
                  <w:marLeft w:val="0"/>
                  <w:marRight w:val="0"/>
                  <w:marTop w:val="0"/>
                  <w:marBottom w:val="0"/>
                  <w:divBdr>
                    <w:top w:val="none" w:sz="0" w:space="0" w:color="auto"/>
                    <w:left w:val="none" w:sz="0" w:space="0" w:color="auto"/>
                    <w:bottom w:val="none" w:sz="0" w:space="0" w:color="auto"/>
                    <w:right w:val="none" w:sz="0" w:space="0" w:color="auto"/>
                  </w:divBdr>
                  <w:divsChild>
                    <w:div w:id="289824105">
                      <w:marLeft w:val="0"/>
                      <w:marRight w:val="0"/>
                      <w:marTop w:val="0"/>
                      <w:marBottom w:val="0"/>
                      <w:divBdr>
                        <w:top w:val="none" w:sz="0" w:space="0" w:color="auto"/>
                        <w:left w:val="none" w:sz="0" w:space="0" w:color="auto"/>
                        <w:bottom w:val="none" w:sz="0" w:space="0" w:color="auto"/>
                        <w:right w:val="none" w:sz="0" w:space="0" w:color="auto"/>
                      </w:divBdr>
                    </w:div>
                  </w:divsChild>
                </w:div>
                <w:div w:id="325204446">
                  <w:marLeft w:val="0"/>
                  <w:marRight w:val="0"/>
                  <w:marTop w:val="0"/>
                  <w:marBottom w:val="0"/>
                  <w:divBdr>
                    <w:top w:val="none" w:sz="0" w:space="0" w:color="auto"/>
                    <w:left w:val="none" w:sz="0" w:space="0" w:color="auto"/>
                    <w:bottom w:val="none" w:sz="0" w:space="0" w:color="auto"/>
                    <w:right w:val="none" w:sz="0" w:space="0" w:color="auto"/>
                  </w:divBdr>
                  <w:divsChild>
                    <w:div w:id="2035230513">
                      <w:marLeft w:val="0"/>
                      <w:marRight w:val="0"/>
                      <w:marTop w:val="0"/>
                      <w:marBottom w:val="0"/>
                      <w:divBdr>
                        <w:top w:val="none" w:sz="0" w:space="0" w:color="auto"/>
                        <w:left w:val="none" w:sz="0" w:space="0" w:color="auto"/>
                        <w:bottom w:val="none" w:sz="0" w:space="0" w:color="auto"/>
                        <w:right w:val="none" w:sz="0" w:space="0" w:color="auto"/>
                      </w:divBdr>
                    </w:div>
                  </w:divsChild>
                </w:div>
                <w:div w:id="523859886">
                  <w:marLeft w:val="0"/>
                  <w:marRight w:val="0"/>
                  <w:marTop w:val="0"/>
                  <w:marBottom w:val="0"/>
                  <w:divBdr>
                    <w:top w:val="none" w:sz="0" w:space="0" w:color="auto"/>
                    <w:left w:val="none" w:sz="0" w:space="0" w:color="auto"/>
                    <w:bottom w:val="none" w:sz="0" w:space="0" w:color="auto"/>
                    <w:right w:val="none" w:sz="0" w:space="0" w:color="auto"/>
                  </w:divBdr>
                  <w:divsChild>
                    <w:div w:id="1974286124">
                      <w:marLeft w:val="0"/>
                      <w:marRight w:val="0"/>
                      <w:marTop w:val="0"/>
                      <w:marBottom w:val="0"/>
                      <w:divBdr>
                        <w:top w:val="none" w:sz="0" w:space="0" w:color="auto"/>
                        <w:left w:val="none" w:sz="0" w:space="0" w:color="auto"/>
                        <w:bottom w:val="none" w:sz="0" w:space="0" w:color="auto"/>
                        <w:right w:val="none" w:sz="0" w:space="0" w:color="auto"/>
                      </w:divBdr>
                    </w:div>
                  </w:divsChild>
                </w:div>
                <w:div w:id="575436191">
                  <w:marLeft w:val="0"/>
                  <w:marRight w:val="0"/>
                  <w:marTop w:val="0"/>
                  <w:marBottom w:val="0"/>
                  <w:divBdr>
                    <w:top w:val="none" w:sz="0" w:space="0" w:color="auto"/>
                    <w:left w:val="none" w:sz="0" w:space="0" w:color="auto"/>
                    <w:bottom w:val="none" w:sz="0" w:space="0" w:color="auto"/>
                    <w:right w:val="none" w:sz="0" w:space="0" w:color="auto"/>
                  </w:divBdr>
                  <w:divsChild>
                    <w:div w:id="1481651788">
                      <w:marLeft w:val="0"/>
                      <w:marRight w:val="0"/>
                      <w:marTop w:val="0"/>
                      <w:marBottom w:val="0"/>
                      <w:divBdr>
                        <w:top w:val="none" w:sz="0" w:space="0" w:color="auto"/>
                        <w:left w:val="none" w:sz="0" w:space="0" w:color="auto"/>
                        <w:bottom w:val="none" w:sz="0" w:space="0" w:color="auto"/>
                        <w:right w:val="none" w:sz="0" w:space="0" w:color="auto"/>
                      </w:divBdr>
                    </w:div>
                  </w:divsChild>
                </w:div>
                <w:div w:id="579829518">
                  <w:marLeft w:val="0"/>
                  <w:marRight w:val="0"/>
                  <w:marTop w:val="0"/>
                  <w:marBottom w:val="0"/>
                  <w:divBdr>
                    <w:top w:val="none" w:sz="0" w:space="0" w:color="auto"/>
                    <w:left w:val="none" w:sz="0" w:space="0" w:color="auto"/>
                    <w:bottom w:val="none" w:sz="0" w:space="0" w:color="auto"/>
                    <w:right w:val="none" w:sz="0" w:space="0" w:color="auto"/>
                  </w:divBdr>
                  <w:divsChild>
                    <w:div w:id="732508461">
                      <w:marLeft w:val="0"/>
                      <w:marRight w:val="0"/>
                      <w:marTop w:val="0"/>
                      <w:marBottom w:val="0"/>
                      <w:divBdr>
                        <w:top w:val="none" w:sz="0" w:space="0" w:color="auto"/>
                        <w:left w:val="none" w:sz="0" w:space="0" w:color="auto"/>
                        <w:bottom w:val="none" w:sz="0" w:space="0" w:color="auto"/>
                        <w:right w:val="none" w:sz="0" w:space="0" w:color="auto"/>
                      </w:divBdr>
                    </w:div>
                  </w:divsChild>
                </w:div>
                <w:div w:id="632753912">
                  <w:marLeft w:val="0"/>
                  <w:marRight w:val="0"/>
                  <w:marTop w:val="0"/>
                  <w:marBottom w:val="0"/>
                  <w:divBdr>
                    <w:top w:val="none" w:sz="0" w:space="0" w:color="auto"/>
                    <w:left w:val="none" w:sz="0" w:space="0" w:color="auto"/>
                    <w:bottom w:val="none" w:sz="0" w:space="0" w:color="auto"/>
                    <w:right w:val="none" w:sz="0" w:space="0" w:color="auto"/>
                  </w:divBdr>
                  <w:divsChild>
                    <w:div w:id="861941724">
                      <w:marLeft w:val="0"/>
                      <w:marRight w:val="0"/>
                      <w:marTop w:val="0"/>
                      <w:marBottom w:val="0"/>
                      <w:divBdr>
                        <w:top w:val="none" w:sz="0" w:space="0" w:color="auto"/>
                        <w:left w:val="none" w:sz="0" w:space="0" w:color="auto"/>
                        <w:bottom w:val="none" w:sz="0" w:space="0" w:color="auto"/>
                        <w:right w:val="none" w:sz="0" w:space="0" w:color="auto"/>
                      </w:divBdr>
                    </w:div>
                  </w:divsChild>
                </w:div>
                <w:div w:id="680086231">
                  <w:marLeft w:val="0"/>
                  <w:marRight w:val="0"/>
                  <w:marTop w:val="0"/>
                  <w:marBottom w:val="0"/>
                  <w:divBdr>
                    <w:top w:val="none" w:sz="0" w:space="0" w:color="auto"/>
                    <w:left w:val="none" w:sz="0" w:space="0" w:color="auto"/>
                    <w:bottom w:val="none" w:sz="0" w:space="0" w:color="auto"/>
                    <w:right w:val="none" w:sz="0" w:space="0" w:color="auto"/>
                  </w:divBdr>
                  <w:divsChild>
                    <w:div w:id="1009721778">
                      <w:marLeft w:val="0"/>
                      <w:marRight w:val="0"/>
                      <w:marTop w:val="0"/>
                      <w:marBottom w:val="0"/>
                      <w:divBdr>
                        <w:top w:val="none" w:sz="0" w:space="0" w:color="auto"/>
                        <w:left w:val="none" w:sz="0" w:space="0" w:color="auto"/>
                        <w:bottom w:val="none" w:sz="0" w:space="0" w:color="auto"/>
                        <w:right w:val="none" w:sz="0" w:space="0" w:color="auto"/>
                      </w:divBdr>
                    </w:div>
                  </w:divsChild>
                </w:div>
                <w:div w:id="1832019406">
                  <w:marLeft w:val="0"/>
                  <w:marRight w:val="0"/>
                  <w:marTop w:val="0"/>
                  <w:marBottom w:val="0"/>
                  <w:divBdr>
                    <w:top w:val="none" w:sz="0" w:space="0" w:color="auto"/>
                    <w:left w:val="none" w:sz="0" w:space="0" w:color="auto"/>
                    <w:bottom w:val="none" w:sz="0" w:space="0" w:color="auto"/>
                    <w:right w:val="none" w:sz="0" w:space="0" w:color="auto"/>
                  </w:divBdr>
                  <w:divsChild>
                    <w:div w:id="700860297">
                      <w:marLeft w:val="0"/>
                      <w:marRight w:val="0"/>
                      <w:marTop w:val="0"/>
                      <w:marBottom w:val="0"/>
                      <w:divBdr>
                        <w:top w:val="none" w:sz="0" w:space="0" w:color="auto"/>
                        <w:left w:val="none" w:sz="0" w:space="0" w:color="auto"/>
                        <w:bottom w:val="none" w:sz="0" w:space="0" w:color="auto"/>
                        <w:right w:val="none" w:sz="0" w:space="0" w:color="auto"/>
                      </w:divBdr>
                    </w:div>
                    <w:div w:id="1956137133">
                      <w:marLeft w:val="0"/>
                      <w:marRight w:val="0"/>
                      <w:marTop w:val="0"/>
                      <w:marBottom w:val="0"/>
                      <w:divBdr>
                        <w:top w:val="none" w:sz="0" w:space="0" w:color="auto"/>
                        <w:left w:val="none" w:sz="0" w:space="0" w:color="auto"/>
                        <w:bottom w:val="none" w:sz="0" w:space="0" w:color="auto"/>
                        <w:right w:val="none" w:sz="0" w:space="0" w:color="auto"/>
                      </w:divBdr>
                    </w:div>
                  </w:divsChild>
                </w:div>
                <w:div w:id="722412603">
                  <w:marLeft w:val="0"/>
                  <w:marRight w:val="0"/>
                  <w:marTop w:val="0"/>
                  <w:marBottom w:val="0"/>
                  <w:divBdr>
                    <w:top w:val="none" w:sz="0" w:space="0" w:color="auto"/>
                    <w:left w:val="none" w:sz="0" w:space="0" w:color="auto"/>
                    <w:bottom w:val="none" w:sz="0" w:space="0" w:color="auto"/>
                    <w:right w:val="none" w:sz="0" w:space="0" w:color="auto"/>
                  </w:divBdr>
                  <w:divsChild>
                    <w:div w:id="913472565">
                      <w:marLeft w:val="0"/>
                      <w:marRight w:val="0"/>
                      <w:marTop w:val="0"/>
                      <w:marBottom w:val="0"/>
                      <w:divBdr>
                        <w:top w:val="none" w:sz="0" w:space="0" w:color="auto"/>
                        <w:left w:val="none" w:sz="0" w:space="0" w:color="auto"/>
                        <w:bottom w:val="none" w:sz="0" w:space="0" w:color="auto"/>
                        <w:right w:val="none" w:sz="0" w:space="0" w:color="auto"/>
                      </w:divBdr>
                    </w:div>
                  </w:divsChild>
                </w:div>
                <w:div w:id="1795514367">
                  <w:marLeft w:val="0"/>
                  <w:marRight w:val="0"/>
                  <w:marTop w:val="0"/>
                  <w:marBottom w:val="0"/>
                  <w:divBdr>
                    <w:top w:val="none" w:sz="0" w:space="0" w:color="auto"/>
                    <w:left w:val="none" w:sz="0" w:space="0" w:color="auto"/>
                    <w:bottom w:val="none" w:sz="0" w:space="0" w:color="auto"/>
                    <w:right w:val="none" w:sz="0" w:space="0" w:color="auto"/>
                  </w:divBdr>
                  <w:divsChild>
                    <w:div w:id="818614035">
                      <w:marLeft w:val="0"/>
                      <w:marRight w:val="0"/>
                      <w:marTop w:val="0"/>
                      <w:marBottom w:val="0"/>
                      <w:divBdr>
                        <w:top w:val="none" w:sz="0" w:space="0" w:color="auto"/>
                        <w:left w:val="none" w:sz="0" w:space="0" w:color="auto"/>
                        <w:bottom w:val="none" w:sz="0" w:space="0" w:color="auto"/>
                        <w:right w:val="none" w:sz="0" w:space="0" w:color="auto"/>
                      </w:divBdr>
                    </w:div>
                  </w:divsChild>
                </w:div>
                <w:div w:id="1498763751">
                  <w:marLeft w:val="0"/>
                  <w:marRight w:val="0"/>
                  <w:marTop w:val="0"/>
                  <w:marBottom w:val="0"/>
                  <w:divBdr>
                    <w:top w:val="none" w:sz="0" w:space="0" w:color="auto"/>
                    <w:left w:val="none" w:sz="0" w:space="0" w:color="auto"/>
                    <w:bottom w:val="none" w:sz="0" w:space="0" w:color="auto"/>
                    <w:right w:val="none" w:sz="0" w:space="0" w:color="auto"/>
                  </w:divBdr>
                  <w:divsChild>
                    <w:div w:id="873612031">
                      <w:marLeft w:val="0"/>
                      <w:marRight w:val="0"/>
                      <w:marTop w:val="0"/>
                      <w:marBottom w:val="0"/>
                      <w:divBdr>
                        <w:top w:val="none" w:sz="0" w:space="0" w:color="auto"/>
                        <w:left w:val="none" w:sz="0" w:space="0" w:color="auto"/>
                        <w:bottom w:val="none" w:sz="0" w:space="0" w:color="auto"/>
                        <w:right w:val="none" w:sz="0" w:space="0" w:color="auto"/>
                      </w:divBdr>
                    </w:div>
                  </w:divsChild>
                </w:div>
                <w:div w:id="1101412442">
                  <w:marLeft w:val="0"/>
                  <w:marRight w:val="0"/>
                  <w:marTop w:val="0"/>
                  <w:marBottom w:val="0"/>
                  <w:divBdr>
                    <w:top w:val="none" w:sz="0" w:space="0" w:color="auto"/>
                    <w:left w:val="none" w:sz="0" w:space="0" w:color="auto"/>
                    <w:bottom w:val="none" w:sz="0" w:space="0" w:color="auto"/>
                    <w:right w:val="none" w:sz="0" w:space="0" w:color="auto"/>
                  </w:divBdr>
                  <w:divsChild>
                    <w:div w:id="1947079953">
                      <w:marLeft w:val="0"/>
                      <w:marRight w:val="0"/>
                      <w:marTop w:val="0"/>
                      <w:marBottom w:val="0"/>
                      <w:divBdr>
                        <w:top w:val="none" w:sz="0" w:space="0" w:color="auto"/>
                        <w:left w:val="none" w:sz="0" w:space="0" w:color="auto"/>
                        <w:bottom w:val="none" w:sz="0" w:space="0" w:color="auto"/>
                        <w:right w:val="none" w:sz="0" w:space="0" w:color="auto"/>
                      </w:divBdr>
                    </w:div>
                  </w:divsChild>
                </w:div>
                <w:div w:id="1605966400">
                  <w:marLeft w:val="0"/>
                  <w:marRight w:val="0"/>
                  <w:marTop w:val="0"/>
                  <w:marBottom w:val="0"/>
                  <w:divBdr>
                    <w:top w:val="none" w:sz="0" w:space="0" w:color="auto"/>
                    <w:left w:val="none" w:sz="0" w:space="0" w:color="auto"/>
                    <w:bottom w:val="none" w:sz="0" w:space="0" w:color="auto"/>
                    <w:right w:val="none" w:sz="0" w:space="0" w:color="auto"/>
                  </w:divBdr>
                  <w:divsChild>
                    <w:div w:id="1347631037">
                      <w:marLeft w:val="0"/>
                      <w:marRight w:val="0"/>
                      <w:marTop w:val="0"/>
                      <w:marBottom w:val="0"/>
                      <w:divBdr>
                        <w:top w:val="none" w:sz="0" w:space="0" w:color="auto"/>
                        <w:left w:val="none" w:sz="0" w:space="0" w:color="auto"/>
                        <w:bottom w:val="none" w:sz="0" w:space="0" w:color="auto"/>
                        <w:right w:val="none" w:sz="0" w:space="0" w:color="auto"/>
                      </w:divBdr>
                    </w:div>
                  </w:divsChild>
                </w:div>
                <w:div w:id="1387607844">
                  <w:marLeft w:val="0"/>
                  <w:marRight w:val="0"/>
                  <w:marTop w:val="0"/>
                  <w:marBottom w:val="0"/>
                  <w:divBdr>
                    <w:top w:val="none" w:sz="0" w:space="0" w:color="auto"/>
                    <w:left w:val="none" w:sz="0" w:space="0" w:color="auto"/>
                    <w:bottom w:val="none" w:sz="0" w:space="0" w:color="auto"/>
                    <w:right w:val="none" w:sz="0" w:space="0" w:color="auto"/>
                  </w:divBdr>
                  <w:divsChild>
                    <w:div w:id="178665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42342">
          <w:marLeft w:val="0"/>
          <w:marRight w:val="0"/>
          <w:marTop w:val="0"/>
          <w:marBottom w:val="0"/>
          <w:divBdr>
            <w:top w:val="none" w:sz="0" w:space="0" w:color="auto"/>
            <w:left w:val="none" w:sz="0" w:space="0" w:color="auto"/>
            <w:bottom w:val="none" w:sz="0" w:space="0" w:color="auto"/>
            <w:right w:val="none" w:sz="0" w:space="0" w:color="auto"/>
          </w:divBdr>
        </w:div>
        <w:div w:id="149516878">
          <w:marLeft w:val="0"/>
          <w:marRight w:val="0"/>
          <w:marTop w:val="0"/>
          <w:marBottom w:val="0"/>
          <w:divBdr>
            <w:top w:val="none" w:sz="0" w:space="0" w:color="auto"/>
            <w:left w:val="none" w:sz="0" w:space="0" w:color="auto"/>
            <w:bottom w:val="none" w:sz="0" w:space="0" w:color="auto"/>
            <w:right w:val="none" w:sz="0" w:space="0" w:color="auto"/>
          </w:divBdr>
        </w:div>
        <w:div w:id="190581780">
          <w:marLeft w:val="0"/>
          <w:marRight w:val="0"/>
          <w:marTop w:val="0"/>
          <w:marBottom w:val="0"/>
          <w:divBdr>
            <w:top w:val="none" w:sz="0" w:space="0" w:color="auto"/>
            <w:left w:val="none" w:sz="0" w:space="0" w:color="auto"/>
            <w:bottom w:val="none" w:sz="0" w:space="0" w:color="auto"/>
            <w:right w:val="none" w:sz="0" w:space="0" w:color="auto"/>
          </w:divBdr>
          <w:divsChild>
            <w:div w:id="2145809286">
              <w:marLeft w:val="-75"/>
              <w:marRight w:val="0"/>
              <w:marTop w:val="30"/>
              <w:marBottom w:val="30"/>
              <w:divBdr>
                <w:top w:val="none" w:sz="0" w:space="0" w:color="auto"/>
                <w:left w:val="none" w:sz="0" w:space="0" w:color="auto"/>
                <w:bottom w:val="none" w:sz="0" w:space="0" w:color="auto"/>
                <w:right w:val="none" w:sz="0" w:space="0" w:color="auto"/>
              </w:divBdr>
              <w:divsChild>
                <w:div w:id="874272242">
                  <w:marLeft w:val="0"/>
                  <w:marRight w:val="0"/>
                  <w:marTop w:val="0"/>
                  <w:marBottom w:val="0"/>
                  <w:divBdr>
                    <w:top w:val="none" w:sz="0" w:space="0" w:color="auto"/>
                    <w:left w:val="none" w:sz="0" w:space="0" w:color="auto"/>
                    <w:bottom w:val="none" w:sz="0" w:space="0" w:color="auto"/>
                    <w:right w:val="none" w:sz="0" w:space="0" w:color="auto"/>
                  </w:divBdr>
                  <w:divsChild>
                    <w:div w:id="167136973">
                      <w:marLeft w:val="0"/>
                      <w:marRight w:val="0"/>
                      <w:marTop w:val="0"/>
                      <w:marBottom w:val="0"/>
                      <w:divBdr>
                        <w:top w:val="none" w:sz="0" w:space="0" w:color="auto"/>
                        <w:left w:val="none" w:sz="0" w:space="0" w:color="auto"/>
                        <w:bottom w:val="none" w:sz="0" w:space="0" w:color="auto"/>
                        <w:right w:val="none" w:sz="0" w:space="0" w:color="auto"/>
                      </w:divBdr>
                    </w:div>
                  </w:divsChild>
                </w:div>
                <w:div w:id="329842954">
                  <w:marLeft w:val="0"/>
                  <w:marRight w:val="0"/>
                  <w:marTop w:val="0"/>
                  <w:marBottom w:val="0"/>
                  <w:divBdr>
                    <w:top w:val="none" w:sz="0" w:space="0" w:color="auto"/>
                    <w:left w:val="none" w:sz="0" w:space="0" w:color="auto"/>
                    <w:bottom w:val="none" w:sz="0" w:space="0" w:color="auto"/>
                    <w:right w:val="none" w:sz="0" w:space="0" w:color="auto"/>
                  </w:divBdr>
                  <w:divsChild>
                    <w:div w:id="747072730">
                      <w:marLeft w:val="0"/>
                      <w:marRight w:val="0"/>
                      <w:marTop w:val="0"/>
                      <w:marBottom w:val="0"/>
                      <w:divBdr>
                        <w:top w:val="none" w:sz="0" w:space="0" w:color="auto"/>
                        <w:left w:val="none" w:sz="0" w:space="0" w:color="auto"/>
                        <w:bottom w:val="none" w:sz="0" w:space="0" w:color="auto"/>
                        <w:right w:val="none" w:sz="0" w:space="0" w:color="auto"/>
                      </w:divBdr>
                    </w:div>
                  </w:divsChild>
                </w:div>
                <w:div w:id="1585532236">
                  <w:marLeft w:val="0"/>
                  <w:marRight w:val="0"/>
                  <w:marTop w:val="0"/>
                  <w:marBottom w:val="0"/>
                  <w:divBdr>
                    <w:top w:val="none" w:sz="0" w:space="0" w:color="auto"/>
                    <w:left w:val="none" w:sz="0" w:space="0" w:color="auto"/>
                    <w:bottom w:val="none" w:sz="0" w:space="0" w:color="auto"/>
                    <w:right w:val="none" w:sz="0" w:space="0" w:color="auto"/>
                  </w:divBdr>
                  <w:divsChild>
                    <w:div w:id="348333274">
                      <w:marLeft w:val="0"/>
                      <w:marRight w:val="0"/>
                      <w:marTop w:val="0"/>
                      <w:marBottom w:val="0"/>
                      <w:divBdr>
                        <w:top w:val="none" w:sz="0" w:space="0" w:color="auto"/>
                        <w:left w:val="none" w:sz="0" w:space="0" w:color="auto"/>
                        <w:bottom w:val="none" w:sz="0" w:space="0" w:color="auto"/>
                        <w:right w:val="none" w:sz="0" w:space="0" w:color="auto"/>
                      </w:divBdr>
                    </w:div>
                  </w:divsChild>
                </w:div>
                <w:div w:id="367803182">
                  <w:marLeft w:val="0"/>
                  <w:marRight w:val="0"/>
                  <w:marTop w:val="0"/>
                  <w:marBottom w:val="0"/>
                  <w:divBdr>
                    <w:top w:val="none" w:sz="0" w:space="0" w:color="auto"/>
                    <w:left w:val="none" w:sz="0" w:space="0" w:color="auto"/>
                    <w:bottom w:val="none" w:sz="0" w:space="0" w:color="auto"/>
                    <w:right w:val="none" w:sz="0" w:space="0" w:color="auto"/>
                  </w:divBdr>
                  <w:divsChild>
                    <w:div w:id="1869950463">
                      <w:marLeft w:val="0"/>
                      <w:marRight w:val="0"/>
                      <w:marTop w:val="0"/>
                      <w:marBottom w:val="0"/>
                      <w:divBdr>
                        <w:top w:val="none" w:sz="0" w:space="0" w:color="auto"/>
                        <w:left w:val="none" w:sz="0" w:space="0" w:color="auto"/>
                        <w:bottom w:val="none" w:sz="0" w:space="0" w:color="auto"/>
                        <w:right w:val="none" w:sz="0" w:space="0" w:color="auto"/>
                      </w:divBdr>
                    </w:div>
                  </w:divsChild>
                </w:div>
                <w:div w:id="430012690">
                  <w:marLeft w:val="0"/>
                  <w:marRight w:val="0"/>
                  <w:marTop w:val="0"/>
                  <w:marBottom w:val="0"/>
                  <w:divBdr>
                    <w:top w:val="none" w:sz="0" w:space="0" w:color="auto"/>
                    <w:left w:val="none" w:sz="0" w:space="0" w:color="auto"/>
                    <w:bottom w:val="none" w:sz="0" w:space="0" w:color="auto"/>
                    <w:right w:val="none" w:sz="0" w:space="0" w:color="auto"/>
                  </w:divBdr>
                  <w:divsChild>
                    <w:div w:id="1953631290">
                      <w:marLeft w:val="0"/>
                      <w:marRight w:val="0"/>
                      <w:marTop w:val="0"/>
                      <w:marBottom w:val="0"/>
                      <w:divBdr>
                        <w:top w:val="none" w:sz="0" w:space="0" w:color="auto"/>
                        <w:left w:val="none" w:sz="0" w:space="0" w:color="auto"/>
                        <w:bottom w:val="none" w:sz="0" w:space="0" w:color="auto"/>
                        <w:right w:val="none" w:sz="0" w:space="0" w:color="auto"/>
                      </w:divBdr>
                    </w:div>
                  </w:divsChild>
                </w:div>
                <w:div w:id="479925450">
                  <w:marLeft w:val="0"/>
                  <w:marRight w:val="0"/>
                  <w:marTop w:val="0"/>
                  <w:marBottom w:val="0"/>
                  <w:divBdr>
                    <w:top w:val="none" w:sz="0" w:space="0" w:color="auto"/>
                    <w:left w:val="none" w:sz="0" w:space="0" w:color="auto"/>
                    <w:bottom w:val="none" w:sz="0" w:space="0" w:color="auto"/>
                    <w:right w:val="none" w:sz="0" w:space="0" w:color="auto"/>
                  </w:divBdr>
                  <w:divsChild>
                    <w:div w:id="596058172">
                      <w:marLeft w:val="0"/>
                      <w:marRight w:val="0"/>
                      <w:marTop w:val="0"/>
                      <w:marBottom w:val="0"/>
                      <w:divBdr>
                        <w:top w:val="none" w:sz="0" w:space="0" w:color="auto"/>
                        <w:left w:val="none" w:sz="0" w:space="0" w:color="auto"/>
                        <w:bottom w:val="none" w:sz="0" w:space="0" w:color="auto"/>
                        <w:right w:val="none" w:sz="0" w:space="0" w:color="auto"/>
                      </w:divBdr>
                    </w:div>
                  </w:divsChild>
                </w:div>
                <w:div w:id="528418424">
                  <w:marLeft w:val="0"/>
                  <w:marRight w:val="0"/>
                  <w:marTop w:val="0"/>
                  <w:marBottom w:val="0"/>
                  <w:divBdr>
                    <w:top w:val="none" w:sz="0" w:space="0" w:color="auto"/>
                    <w:left w:val="none" w:sz="0" w:space="0" w:color="auto"/>
                    <w:bottom w:val="none" w:sz="0" w:space="0" w:color="auto"/>
                    <w:right w:val="none" w:sz="0" w:space="0" w:color="auto"/>
                  </w:divBdr>
                  <w:divsChild>
                    <w:div w:id="1859195152">
                      <w:marLeft w:val="0"/>
                      <w:marRight w:val="0"/>
                      <w:marTop w:val="0"/>
                      <w:marBottom w:val="0"/>
                      <w:divBdr>
                        <w:top w:val="none" w:sz="0" w:space="0" w:color="auto"/>
                        <w:left w:val="none" w:sz="0" w:space="0" w:color="auto"/>
                        <w:bottom w:val="none" w:sz="0" w:space="0" w:color="auto"/>
                        <w:right w:val="none" w:sz="0" w:space="0" w:color="auto"/>
                      </w:divBdr>
                    </w:div>
                  </w:divsChild>
                </w:div>
                <w:div w:id="1038160147">
                  <w:marLeft w:val="0"/>
                  <w:marRight w:val="0"/>
                  <w:marTop w:val="0"/>
                  <w:marBottom w:val="0"/>
                  <w:divBdr>
                    <w:top w:val="none" w:sz="0" w:space="0" w:color="auto"/>
                    <w:left w:val="none" w:sz="0" w:space="0" w:color="auto"/>
                    <w:bottom w:val="none" w:sz="0" w:space="0" w:color="auto"/>
                    <w:right w:val="none" w:sz="0" w:space="0" w:color="auto"/>
                  </w:divBdr>
                  <w:divsChild>
                    <w:div w:id="538248984">
                      <w:marLeft w:val="0"/>
                      <w:marRight w:val="0"/>
                      <w:marTop w:val="0"/>
                      <w:marBottom w:val="0"/>
                      <w:divBdr>
                        <w:top w:val="none" w:sz="0" w:space="0" w:color="auto"/>
                        <w:left w:val="none" w:sz="0" w:space="0" w:color="auto"/>
                        <w:bottom w:val="none" w:sz="0" w:space="0" w:color="auto"/>
                        <w:right w:val="none" w:sz="0" w:space="0" w:color="auto"/>
                      </w:divBdr>
                    </w:div>
                  </w:divsChild>
                </w:div>
                <w:div w:id="771097420">
                  <w:marLeft w:val="0"/>
                  <w:marRight w:val="0"/>
                  <w:marTop w:val="0"/>
                  <w:marBottom w:val="0"/>
                  <w:divBdr>
                    <w:top w:val="none" w:sz="0" w:space="0" w:color="auto"/>
                    <w:left w:val="none" w:sz="0" w:space="0" w:color="auto"/>
                    <w:bottom w:val="none" w:sz="0" w:space="0" w:color="auto"/>
                    <w:right w:val="none" w:sz="0" w:space="0" w:color="auto"/>
                  </w:divBdr>
                  <w:divsChild>
                    <w:div w:id="1830435995">
                      <w:marLeft w:val="0"/>
                      <w:marRight w:val="0"/>
                      <w:marTop w:val="0"/>
                      <w:marBottom w:val="0"/>
                      <w:divBdr>
                        <w:top w:val="none" w:sz="0" w:space="0" w:color="auto"/>
                        <w:left w:val="none" w:sz="0" w:space="0" w:color="auto"/>
                        <w:bottom w:val="none" w:sz="0" w:space="0" w:color="auto"/>
                        <w:right w:val="none" w:sz="0" w:space="0" w:color="auto"/>
                      </w:divBdr>
                    </w:div>
                  </w:divsChild>
                </w:div>
                <w:div w:id="1016080061">
                  <w:marLeft w:val="0"/>
                  <w:marRight w:val="0"/>
                  <w:marTop w:val="0"/>
                  <w:marBottom w:val="0"/>
                  <w:divBdr>
                    <w:top w:val="none" w:sz="0" w:space="0" w:color="auto"/>
                    <w:left w:val="none" w:sz="0" w:space="0" w:color="auto"/>
                    <w:bottom w:val="none" w:sz="0" w:space="0" w:color="auto"/>
                    <w:right w:val="none" w:sz="0" w:space="0" w:color="auto"/>
                  </w:divBdr>
                  <w:divsChild>
                    <w:div w:id="842552027">
                      <w:marLeft w:val="0"/>
                      <w:marRight w:val="0"/>
                      <w:marTop w:val="0"/>
                      <w:marBottom w:val="0"/>
                      <w:divBdr>
                        <w:top w:val="none" w:sz="0" w:space="0" w:color="auto"/>
                        <w:left w:val="none" w:sz="0" w:space="0" w:color="auto"/>
                        <w:bottom w:val="none" w:sz="0" w:space="0" w:color="auto"/>
                        <w:right w:val="none" w:sz="0" w:space="0" w:color="auto"/>
                      </w:divBdr>
                    </w:div>
                  </w:divsChild>
                </w:div>
                <w:div w:id="875430613">
                  <w:marLeft w:val="0"/>
                  <w:marRight w:val="0"/>
                  <w:marTop w:val="0"/>
                  <w:marBottom w:val="0"/>
                  <w:divBdr>
                    <w:top w:val="none" w:sz="0" w:space="0" w:color="auto"/>
                    <w:left w:val="none" w:sz="0" w:space="0" w:color="auto"/>
                    <w:bottom w:val="none" w:sz="0" w:space="0" w:color="auto"/>
                    <w:right w:val="none" w:sz="0" w:space="0" w:color="auto"/>
                  </w:divBdr>
                  <w:divsChild>
                    <w:div w:id="1588154318">
                      <w:marLeft w:val="0"/>
                      <w:marRight w:val="0"/>
                      <w:marTop w:val="0"/>
                      <w:marBottom w:val="0"/>
                      <w:divBdr>
                        <w:top w:val="none" w:sz="0" w:space="0" w:color="auto"/>
                        <w:left w:val="none" w:sz="0" w:space="0" w:color="auto"/>
                        <w:bottom w:val="none" w:sz="0" w:space="0" w:color="auto"/>
                        <w:right w:val="none" w:sz="0" w:space="0" w:color="auto"/>
                      </w:divBdr>
                    </w:div>
                  </w:divsChild>
                </w:div>
                <w:div w:id="884870143">
                  <w:marLeft w:val="0"/>
                  <w:marRight w:val="0"/>
                  <w:marTop w:val="0"/>
                  <w:marBottom w:val="0"/>
                  <w:divBdr>
                    <w:top w:val="none" w:sz="0" w:space="0" w:color="auto"/>
                    <w:left w:val="none" w:sz="0" w:space="0" w:color="auto"/>
                    <w:bottom w:val="none" w:sz="0" w:space="0" w:color="auto"/>
                    <w:right w:val="none" w:sz="0" w:space="0" w:color="auto"/>
                  </w:divBdr>
                  <w:divsChild>
                    <w:div w:id="1792163562">
                      <w:marLeft w:val="0"/>
                      <w:marRight w:val="0"/>
                      <w:marTop w:val="0"/>
                      <w:marBottom w:val="0"/>
                      <w:divBdr>
                        <w:top w:val="none" w:sz="0" w:space="0" w:color="auto"/>
                        <w:left w:val="none" w:sz="0" w:space="0" w:color="auto"/>
                        <w:bottom w:val="none" w:sz="0" w:space="0" w:color="auto"/>
                        <w:right w:val="none" w:sz="0" w:space="0" w:color="auto"/>
                      </w:divBdr>
                    </w:div>
                  </w:divsChild>
                </w:div>
                <w:div w:id="1593078675">
                  <w:marLeft w:val="0"/>
                  <w:marRight w:val="0"/>
                  <w:marTop w:val="0"/>
                  <w:marBottom w:val="0"/>
                  <w:divBdr>
                    <w:top w:val="none" w:sz="0" w:space="0" w:color="auto"/>
                    <w:left w:val="none" w:sz="0" w:space="0" w:color="auto"/>
                    <w:bottom w:val="none" w:sz="0" w:space="0" w:color="auto"/>
                    <w:right w:val="none" w:sz="0" w:space="0" w:color="auto"/>
                  </w:divBdr>
                  <w:divsChild>
                    <w:div w:id="1483892962">
                      <w:marLeft w:val="0"/>
                      <w:marRight w:val="0"/>
                      <w:marTop w:val="0"/>
                      <w:marBottom w:val="0"/>
                      <w:divBdr>
                        <w:top w:val="none" w:sz="0" w:space="0" w:color="auto"/>
                        <w:left w:val="none" w:sz="0" w:space="0" w:color="auto"/>
                        <w:bottom w:val="none" w:sz="0" w:space="0" w:color="auto"/>
                        <w:right w:val="none" w:sz="0" w:space="0" w:color="auto"/>
                      </w:divBdr>
                    </w:div>
                  </w:divsChild>
                </w:div>
                <w:div w:id="1673024387">
                  <w:marLeft w:val="0"/>
                  <w:marRight w:val="0"/>
                  <w:marTop w:val="0"/>
                  <w:marBottom w:val="0"/>
                  <w:divBdr>
                    <w:top w:val="none" w:sz="0" w:space="0" w:color="auto"/>
                    <w:left w:val="none" w:sz="0" w:space="0" w:color="auto"/>
                    <w:bottom w:val="none" w:sz="0" w:space="0" w:color="auto"/>
                    <w:right w:val="none" w:sz="0" w:space="0" w:color="auto"/>
                  </w:divBdr>
                  <w:divsChild>
                    <w:div w:id="206544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39140">
          <w:marLeft w:val="0"/>
          <w:marRight w:val="0"/>
          <w:marTop w:val="0"/>
          <w:marBottom w:val="0"/>
          <w:divBdr>
            <w:top w:val="none" w:sz="0" w:space="0" w:color="auto"/>
            <w:left w:val="none" w:sz="0" w:space="0" w:color="auto"/>
            <w:bottom w:val="none" w:sz="0" w:space="0" w:color="auto"/>
            <w:right w:val="none" w:sz="0" w:space="0" w:color="auto"/>
          </w:divBdr>
        </w:div>
        <w:div w:id="350377181">
          <w:marLeft w:val="0"/>
          <w:marRight w:val="0"/>
          <w:marTop w:val="0"/>
          <w:marBottom w:val="0"/>
          <w:divBdr>
            <w:top w:val="none" w:sz="0" w:space="0" w:color="auto"/>
            <w:left w:val="none" w:sz="0" w:space="0" w:color="auto"/>
            <w:bottom w:val="none" w:sz="0" w:space="0" w:color="auto"/>
            <w:right w:val="none" w:sz="0" w:space="0" w:color="auto"/>
          </w:divBdr>
        </w:div>
        <w:div w:id="478570227">
          <w:marLeft w:val="0"/>
          <w:marRight w:val="0"/>
          <w:marTop w:val="0"/>
          <w:marBottom w:val="0"/>
          <w:divBdr>
            <w:top w:val="none" w:sz="0" w:space="0" w:color="auto"/>
            <w:left w:val="none" w:sz="0" w:space="0" w:color="auto"/>
            <w:bottom w:val="none" w:sz="0" w:space="0" w:color="auto"/>
            <w:right w:val="none" w:sz="0" w:space="0" w:color="auto"/>
          </w:divBdr>
        </w:div>
        <w:div w:id="501899685">
          <w:marLeft w:val="0"/>
          <w:marRight w:val="0"/>
          <w:marTop w:val="0"/>
          <w:marBottom w:val="0"/>
          <w:divBdr>
            <w:top w:val="none" w:sz="0" w:space="0" w:color="auto"/>
            <w:left w:val="none" w:sz="0" w:space="0" w:color="auto"/>
            <w:bottom w:val="none" w:sz="0" w:space="0" w:color="auto"/>
            <w:right w:val="none" w:sz="0" w:space="0" w:color="auto"/>
          </w:divBdr>
        </w:div>
        <w:div w:id="696739605">
          <w:marLeft w:val="0"/>
          <w:marRight w:val="0"/>
          <w:marTop w:val="0"/>
          <w:marBottom w:val="0"/>
          <w:divBdr>
            <w:top w:val="none" w:sz="0" w:space="0" w:color="auto"/>
            <w:left w:val="none" w:sz="0" w:space="0" w:color="auto"/>
            <w:bottom w:val="none" w:sz="0" w:space="0" w:color="auto"/>
            <w:right w:val="none" w:sz="0" w:space="0" w:color="auto"/>
          </w:divBdr>
        </w:div>
        <w:div w:id="752358045">
          <w:marLeft w:val="0"/>
          <w:marRight w:val="0"/>
          <w:marTop w:val="0"/>
          <w:marBottom w:val="0"/>
          <w:divBdr>
            <w:top w:val="none" w:sz="0" w:space="0" w:color="auto"/>
            <w:left w:val="none" w:sz="0" w:space="0" w:color="auto"/>
            <w:bottom w:val="none" w:sz="0" w:space="0" w:color="auto"/>
            <w:right w:val="none" w:sz="0" w:space="0" w:color="auto"/>
          </w:divBdr>
        </w:div>
        <w:div w:id="892084261">
          <w:marLeft w:val="0"/>
          <w:marRight w:val="0"/>
          <w:marTop w:val="0"/>
          <w:marBottom w:val="0"/>
          <w:divBdr>
            <w:top w:val="none" w:sz="0" w:space="0" w:color="auto"/>
            <w:left w:val="none" w:sz="0" w:space="0" w:color="auto"/>
            <w:bottom w:val="none" w:sz="0" w:space="0" w:color="auto"/>
            <w:right w:val="none" w:sz="0" w:space="0" w:color="auto"/>
          </w:divBdr>
        </w:div>
        <w:div w:id="1046222488">
          <w:marLeft w:val="0"/>
          <w:marRight w:val="0"/>
          <w:marTop w:val="0"/>
          <w:marBottom w:val="0"/>
          <w:divBdr>
            <w:top w:val="none" w:sz="0" w:space="0" w:color="auto"/>
            <w:left w:val="none" w:sz="0" w:space="0" w:color="auto"/>
            <w:bottom w:val="none" w:sz="0" w:space="0" w:color="auto"/>
            <w:right w:val="none" w:sz="0" w:space="0" w:color="auto"/>
          </w:divBdr>
        </w:div>
        <w:div w:id="1131941333">
          <w:marLeft w:val="0"/>
          <w:marRight w:val="0"/>
          <w:marTop w:val="0"/>
          <w:marBottom w:val="0"/>
          <w:divBdr>
            <w:top w:val="none" w:sz="0" w:space="0" w:color="auto"/>
            <w:left w:val="none" w:sz="0" w:space="0" w:color="auto"/>
            <w:bottom w:val="none" w:sz="0" w:space="0" w:color="auto"/>
            <w:right w:val="none" w:sz="0" w:space="0" w:color="auto"/>
          </w:divBdr>
        </w:div>
        <w:div w:id="1160393245">
          <w:marLeft w:val="0"/>
          <w:marRight w:val="0"/>
          <w:marTop w:val="0"/>
          <w:marBottom w:val="0"/>
          <w:divBdr>
            <w:top w:val="none" w:sz="0" w:space="0" w:color="auto"/>
            <w:left w:val="none" w:sz="0" w:space="0" w:color="auto"/>
            <w:bottom w:val="none" w:sz="0" w:space="0" w:color="auto"/>
            <w:right w:val="none" w:sz="0" w:space="0" w:color="auto"/>
          </w:divBdr>
        </w:div>
        <w:div w:id="1237132217">
          <w:marLeft w:val="0"/>
          <w:marRight w:val="0"/>
          <w:marTop w:val="0"/>
          <w:marBottom w:val="0"/>
          <w:divBdr>
            <w:top w:val="none" w:sz="0" w:space="0" w:color="auto"/>
            <w:left w:val="none" w:sz="0" w:space="0" w:color="auto"/>
            <w:bottom w:val="none" w:sz="0" w:space="0" w:color="auto"/>
            <w:right w:val="none" w:sz="0" w:space="0" w:color="auto"/>
          </w:divBdr>
        </w:div>
        <w:div w:id="1361280188">
          <w:marLeft w:val="0"/>
          <w:marRight w:val="0"/>
          <w:marTop w:val="0"/>
          <w:marBottom w:val="0"/>
          <w:divBdr>
            <w:top w:val="none" w:sz="0" w:space="0" w:color="auto"/>
            <w:left w:val="none" w:sz="0" w:space="0" w:color="auto"/>
            <w:bottom w:val="none" w:sz="0" w:space="0" w:color="auto"/>
            <w:right w:val="none" w:sz="0" w:space="0" w:color="auto"/>
          </w:divBdr>
        </w:div>
        <w:div w:id="1561742681">
          <w:marLeft w:val="0"/>
          <w:marRight w:val="0"/>
          <w:marTop w:val="0"/>
          <w:marBottom w:val="0"/>
          <w:divBdr>
            <w:top w:val="none" w:sz="0" w:space="0" w:color="auto"/>
            <w:left w:val="none" w:sz="0" w:space="0" w:color="auto"/>
            <w:bottom w:val="none" w:sz="0" w:space="0" w:color="auto"/>
            <w:right w:val="none" w:sz="0" w:space="0" w:color="auto"/>
          </w:divBdr>
        </w:div>
        <w:div w:id="1859468985">
          <w:marLeft w:val="0"/>
          <w:marRight w:val="0"/>
          <w:marTop w:val="0"/>
          <w:marBottom w:val="0"/>
          <w:divBdr>
            <w:top w:val="none" w:sz="0" w:space="0" w:color="auto"/>
            <w:left w:val="none" w:sz="0" w:space="0" w:color="auto"/>
            <w:bottom w:val="none" w:sz="0" w:space="0" w:color="auto"/>
            <w:right w:val="none" w:sz="0" w:space="0" w:color="auto"/>
          </w:divBdr>
        </w:div>
        <w:div w:id="1933126897">
          <w:marLeft w:val="0"/>
          <w:marRight w:val="0"/>
          <w:marTop w:val="0"/>
          <w:marBottom w:val="0"/>
          <w:divBdr>
            <w:top w:val="none" w:sz="0" w:space="0" w:color="auto"/>
            <w:left w:val="none" w:sz="0" w:space="0" w:color="auto"/>
            <w:bottom w:val="none" w:sz="0" w:space="0" w:color="auto"/>
            <w:right w:val="none" w:sz="0" w:space="0" w:color="auto"/>
          </w:divBdr>
        </w:div>
        <w:div w:id="2002148755">
          <w:marLeft w:val="0"/>
          <w:marRight w:val="0"/>
          <w:marTop w:val="0"/>
          <w:marBottom w:val="0"/>
          <w:divBdr>
            <w:top w:val="none" w:sz="0" w:space="0" w:color="auto"/>
            <w:left w:val="none" w:sz="0" w:space="0" w:color="auto"/>
            <w:bottom w:val="none" w:sz="0" w:space="0" w:color="auto"/>
            <w:right w:val="none" w:sz="0" w:space="0" w:color="auto"/>
          </w:divBdr>
        </w:div>
      </w:divsChild>
    </w:div>
    <w:div w:id="1491481558">
      <w:bodyDiv w:val="1"/>
      <w:marLeft w:val="0"/>
      <w:marRight w:val="0"/>
      <w:marTop w:val="0"/>
      <w:marBottom w:val="0"/>
      <w:divBdr>
        <w:top w:val="none" w:sz="0" w:space="0" w:color="auto"/>
        <w:left w:val="none" w:sz="0" w:space="0" w:color="auto"/>
        <w:bottom w:val="none" w:sz="0" w:space="0" w:color="auto"/>
        <w:right w:val="none" w:sz="0" w:space="0" w:color="auto"/>
      </w:divBdr>
      <w:divsChild>
        <w:div w:id="339554129">
          <w:marLeft w:val="0"/>
          <w:marRight w:val="0"/>
          <w:marTop w:val="0"/>
          <w:marBottom w:val="0"/>
          <w:divBdr>
            <w:top w:val="none" w:sz="0" w:space="0" w:color="auto"/>
            <w:left w:val="none" w:sz="0" w:space="0" w:color="auto"/>
            <w:bottom w:val="none" w:sz="0" w:space="0" w:color="auto"/>
            <w:right w:val="none" w:sz="0" w:space="0" w:color="auto"/>
          </w:divBdr>
        </w:div>
        <w:div w:id="381944516">
          <w:marLeft w:val="0"/>
          <w:marRight w:val="0"/>
          <w:marTop w:val="0"/>
          <w:marBottom w:val="0"/>
          <w:divBdr>
            <w:top w:val="none" w:sz="0" w:space="0" w:color="auto"/>
            <w:left w:val="none" w:sz="0" w:space="0" w:color="auto"/>
            <w:bottom w:val="none" w:sz="0" w:space="0" w:color="auto"/>
            <w:right w:val="none" w:sz="0" w:space="0" w:color="auto"/>
          </w:divBdr>
        </w:div>
        <w:div w:id="462357026">
          <w:marLeft w:val="0"/>
          <w:marRight w:val="0"/>
          <w:marTop w:val="0"/>
          <w:marBottom w:val="0"/>
          <w:divBdr>
            <w:top w:val="none" w:sz="0" w:space="0" w:color="auto"/>
            <w:left w:val="none" w:sz="0" w:space="0" w:color="auto"/>
            <w:bottom w:val="none" w:sz="0" w:space="0" w:color="auto"/>
            <w:right w:val="none" w:sz="0" w:space="0" w:color="auto"/>
          </w:divBdr>
        </w:div>
        <w:div w:id="735713069">
          <w:marLeft w:val="0"/>
          <w:marRight w:val="0"/>
          <w:marTop w:val="0"/>
          <w:marBottom w:val="0"/>
          <w:divBdr>
            <w:top w:val="none" w:sz="0" w:space="0" w:color="auto"/>
            <w:left w:val="none" w:sz="0" w:space="0" w:color="auto"/>
            <w:bottom w:val="none" w:sz="0" w:space="0" w:color="auto"/>
            <w:right w:val="none" w:sz="0" w:space="0" w:color="auto"/>
          </w:divBdr>
        </w:div>
        <w:div w:id="1024483890">
          <w:marLeft w:val="0"/>
          <w:marRight w:val="0"/>
          <w:marTop w:val="0"/>
          <w:marBottom w:val="0"/>
          <w:divBdr>
            <w:top w:val="none" w:sz="0" w:space="0" w:color="auto"/>
            <w:left w:val="none" w:sz="0" w:space="0" w:color="auto"/>
            <w:bottom w:val="none" w:sz="0" w:space="0" w:color="auto"/>
            <w:right w:val="none" w:sz="0" w:space="0" w:color="auto"/>
          </w:divBdr>
        </w:div>
        <w:div w:id="1072240444">
          <w:marLeft w:val="0"/>
          <w:marRight w:val="0"/>
          <w:marTop w:val="0"/>
          <w:marBottom w:val="0"/>
          <w:divBdr>
            <w:top w:val="none" w:sz="0" w:space="0" w:color="auto"/>
            <w:left w:val="none" w:sz="0" w:space="0" w:color="auto"/>
            <w:bottom w:val="none" w:sz="0" w:space="0" w:color="auto"/>
            <w:right w:val="none" w:sz="0" w:space="0" w:color="auto"/>
          </w:divBdr>
        </w:div>
        <w:div w:id="1247349803">
          <w:marLeft w:val="0"/>
          <w:marRight w:val="0"/>
          <w:marTop w:val="0"/>
          <w:marBottom w:val="0"/>
          <w:divBdr>
            <w:top w:val="none" w:sz="0" w:space="0" w:color="auto"/>
            <w:left w:val="none" w:sz="0" w:space="0" w:color="auto"/>
            <w:bottom w:val="none" w:sz="0" w:space="0" w:color="auto"/>
            <w:right w:val="none" w:sz="0" w:space="0" w:color="auto"/>
          </w:divBdr>
        </w:div>
        <w:div w:id="1437559863">
          <w:marLeft w:val="0"/>
          <w:marRight w:val="0"/>
          <w:marTop w:val="0"/>
          <w:marBottom w:val="0"/>
          <w:divBdr>
            <w:top w:val="none" w:sz="0" w:space="0" w:color="auto"/>
            <w:left w:val="none" w:sz="0" w:space="0" w:color="auto"/>
            <w:bottom w:val="none" w:sz="0" w:space="0" w:color="auto"/>
            <w:right w:val="none" w:sz="0" w:space="0" w:color="auto"/>
          </w:divBdr>
        </w:div>
        <w:div w:id="1534926976">
          <w:marLeft w:val="0"/>
          <w:marRight w:val="0"/>
          <w:marTop w:val="0"/>
          <w:marBottom w:val="0"/>
          <w:divBdr>
            <w:top w:val="none" w:sz="0" w:space="0" w:color="auto"/>
            <w:left w:val="none" w:sz="0" w:space="0" w:color="auto"/>
            <w:bottom w:val="none" w:sz="0" w:space="0" w:color="auto"/>
            <w:right w:val="none" w:sz="0" w:space="0" w:color="auto"/>
          </w:divBdr>
        </w:div>
        <w:div w:id="1563372910">
          <w:marLeft w:val="0"/>
          <w:marRight w:val="0"/>
          <w:marTop w:val="0"/>
          <w:marBottom w:val="0"/>
          <w:divBdr>
            <w:top w:val="none" w:sz="0" w:space="0" w:color="auto"/>
            <w:left w:val="none" w:sz="0" w:space="0" w:color="auto"/>
            <w:bottom w:val="none" w:sz="0" w:space="0" w:color="auto"/>
            <w:right w:val="none" w:sz="0" w:space="0" w:color="auto"/>
          </w:divBdr>
        </w:div>
        <w:div w:id="1758360789">
          <w:marLeft w:val="0"/>
          <w:marRight w:val="0"/>
          <w:marTop w:val="0"/>
          <w:marBottom w:val="0"/>
          <w:divBdr>
            <w:top w:val="none" w:sz="0" w:space="0" w:color="auto"/>
            <w:left w:val="none" w:sz="0" w:space="0" w:color="auto"/>
            <w:bottom w:val="none" w:sz="0" w:space="0" w:color="auto"/>
            <w:right w:val="none" w:sz="0" w:space="0" w:color="auto"/>
          </w:divBdr>
        </w:div>
        <w:div w:id="1981878260">
          <w:marLeft w:val="0"/>
          <w:marRight w:val="0"/>
          <w:marTop w:val="0"/>
          <w:marBottom w:val="0"/>
          <w:divBdr>
            <w:top w:val="none" w:sz="0" w:space="0" w:color="auto"/>
            <w:left w:val="none" w:sz="0" w:space="0" w:color="auto"/>
            <w:bottom w:val="none" w:sz="0" w:space="0" w:color="auto"/>
            <w:right w:val="none" w:sz="0" w:space="0" w:color="auto"/>
          </w:divBdr>
        </w:div>
      </w:divsChild>
    </w:div>
    <w:div w:id="1504585159">
      <w:bodyDiv w:val="1"/>
      <w:marLeft w:val="0"/>
      <w:marRight w:val="0"/>
      <w:marTop w:val="0"/>
      <w:marBottom w:val="0"/>
      <w:divBdr>
        <w:top w:val="none" w:sz="0" w:space="0" w:color="auto"/>
        <w:left w:val="none" w:sz="0" w:space="0" w:color="auto"/>
        <w:bottom w:val="none" w:sz="0" w:space="0" w:color="auto"/>
        <w:right w:val="none" w:sz="0" w:space="0" w:color="auto"/>
      </w:divBdr>
      <w:divsChild>
        <w:div w:id="2120565543">
          <w:marLeft w:val="0"/>
          <w:marRight w:val="0"/>
          <w:marTop w:val="0"/>
          <w:marBottom w:val="0"/>
          <w:divBdr>
            <w:top w:val="none" w:sz="0" w:space="0" w:color="auto"/>
            <w:left w:val="none" w:sz="0" w:space="0" w:color="auto"/>
            <w:bottom w:val="none" w:sz="0" w:space="0" w:color="auto"/>
            <w:right w:val="none" w:sz="0" w:space="0" w:color="auto"/>
          </w:divBdr>
          <w:divsChild>
            <w:div w:id="212162803">
              <w:marLeft w:val="0"/>
              <w:marRight w:val="0"/>
              <w:marTop w:val="0"/>
              <w:marBottom w:val="0"/>
              <w:divBdr>
                <w:top w:val="none" w:sz="0" w:space="0" w:color="auto"/>
                <w:left w:val="none" w:sz="0" w:space="0" w:color="auto"/>
                <w:bottom w:val="none" w:sz="0" w:space="0" w:color="auto"/>
                <w:right w:val="none" w:sz="0" w:space="0" w:color="auto"/>
              </w:divBdr>
            </w:div>
            <w:div w:id="1340888199">
              <w:marLeft w:val="0"/>
              <w:marRight w:val="0"/>
              <w:marTop w:val="0"/>
              <w:marBottom w:val="0"/>
              <w:divBdr>
                <w:top w:val="none" w:sz="0" w:space="0" w:color="auto"/>
                <w:left w:val="none" w:sz="0" w:space="0" w:color="auto"/>
                <w:bottom w:val="none" w:sz="0" w:space="0" w:color="auto"/>
                <w:right w:val="none" w:sz="0" w:space="0" w:color="auto"/>
              </w:divBdr>
            </w:div>
            <w:div w:id="1395545883">
              <w:marLeft w:val="0"/>
              <w:marRight w:val="0"/>
              <w:marTop w:val="0"/>
              <w:marBottom w:val="0"/>
              <w:divBdr>
                <w:top w:val="none" w:sz="0" w:space="0" w:color="auto"/>
                <w:left w:val="none" w:sz="0" w:space="0" w:color="auto"/>
                <w:bottom w:val="none" w:sz="0" w:space="0" w:color="auto"/>
                <w:right w:val="none" w:sz="0" w:space="0" w:color="auto"/>
              </w:divBdr>
            </w:div>
            <w:div w:id="1396708444">
              <w:marLeft w:val="0"/>
              <w:marRight w:val="0"/>
              <w:marTop w:val="0"/>
              <w:marBottom w:val="0"/>
              <w:divBdr>
                <w:top w:val="none" w:sz="0" w:space="0" w:color="auto"/>
                <w:left w:val="none" w:sz="0" w:space="0" w:color="auto"/>
                <w:bottom w:val="none" w:sz="0" w:space="0" w:color="auto"/>
                <w:right w:val="none" w:sz="0" w:space="0" w:color="auto"/>
              </w:divBdr>
            </w:div>
            <w:div w:id="2058047824">
              <w:marLeft w:val="0"/>
              <w:marRight w:val="0"/>
              <w:marTop w:val="0"/>
              <w:marBottom w:val="0"/>
              <w:divBdr>
                <w:top w:val="none" w:sz="0" w:space="0" w:color="auto"/>
                <w:left w:val="none" w:sz="0" w:space="0" w:color="auto"/>
                <w:bottom w:val="none" w:sz="0" w:space="0" w:color="auto"/>
                <w:right w:val="none" w:sz="0" w:space="0" w:color="auto"/>
              </w:divBdr>
            </w:div>
          </w:divsChild>
        </w:div>
        <w:div w:id="1860192903">
          <w:marLeft w:val="0"/>
          <w:marRight w:val="0"/>
          <w:marTop w:val="0"/>
          <w:marBottom w:val="0"/>
          <w:divBdr>
            <w:top w:val="none" w:sz="0" w:space="0" w:color="auto"/>
            <w:left w:val="none" w:sz="0" w:space="0" w:color="auto"/>
            <w:bottom w:val="none" w:sz="0" w:space="0" w:color="auto"/>
            <w:right w:val="none" w:sz="0" w:space="0" w:color="auto"/>
          </w:divBdr>
          <w:divsChild>
            <w:div w:id="430203315">
              <w:marLeft w:val="0"/>
              <w:marRight w:val="0"/>
              <w:marTop w:val="0"/>
              <w:marBottom w:val="0"/>
              <w:divBdr>
                <w:top w:val="none" w:sz="0" w:space="0" w:color="auto"/>
                <w:left w:val="none" w:sz="0" w:space="0" w:color="auto"/>
                <w:bottom w:val="none" w:sz="0" w:space="0" w:color="auto"/>
                <w:right w:val="none" w:sz="0" w:space="0" w:color="auto"/>
              </w:divBdr>
            </w:div>
            <w:div w:id="1177111787">
              <w:marLeft w:val="0"/>
              <w:marRight w:val="0"/>
              <w:marTop w:val="0"/>
              <w:marBottom w:val="0"/>
              <w:divBdr>
                <w:top w:val="none" w:sz="0" w:space="0" w:color="auto"/>
                <w:left w:val="none" w:sz="0" w:space="0" w:color="auto"/>
                <w:bottom w:val="none" w:sz="0" w:space="0" w:color="auto"/>
                <w:right w:val="none" w:sz="0" w:space="0" w:color="auto"/>
              </w:divBdr>
            </w:div>
            <w:div w:id="1945073869">
              <w:marLeft w:val="0"/>
              <w:marRight w:val="0"/>
              <w:marTop w:val="0"/>
              <w:marBottom w:val="0"/>
              <w:divBdr>
                <w:top w:val="none" w:sz="0" w:space="0" w:color="auto"/>
                <w:left w:val="none" w:sz="0" w:space="0" w:color="auto"/>
                <w:bottom w:val="none" w:sz="0" w:space="0" w:color="auto"/>
                <w:right w:val="none" w:sz="0" w:space="0" w:color="auto"/>
              </w:divBdr>
            </w:div>
          </w:divsChild>
        </w:div>
        <w:div w:id="600724784">
          <w:marLeft w:val="0"/>
          <w:marRight w:val="0"/>
          <w:marTop w:val="0"/>
          <w:marBottom w:val="0"/>
          <w:divBdr>
            <w:top w:val="none" w:sz="0" w:space="0" w:color="auto"/>
            <w:left w:val="none" w:sz="0" w:space="0" w:color="auto"/>
            <w:bottom w:val="none" w:sz="0" w:space="0" w:color="auto"/>
            <w:right w:val="none" w:sz="0" w:space="0" w:color="auto"/>
          </w:divBdr>
          <w:divsChild>
            <w:div w:id="2039238916">
              <w:marLeft w:val="0"/>
              <w:marRight w:val="0"/>
              <w:marTop w:val="0"/>
              <w:marBottom w:val="0"/>
              <w:divBdr>
                <w:top w:val="none" w:sz="0" w:space="0" w:color="auto"/>
                <w:left w:val="none" w:sz="0" w:space="0" w:color="auto"/>
                <w:bottom w:val="none" w:sz="0" w:space="0" w:color="auto"/>
                <w:right w:val="none" w:sz="0" w:space="0" w:color="auto"/>
              </w:divBdr>
            </w:div>
          </w:divsChild>
        </w:div>
        <w:div w:id="1399860433">
          <w:marLeft w:val="0"/>
          <w:marRight w:val="0"/>
          <w:marTop w:val="0"/>
          <w:marBottom w:val="0"/>
          <w:divBdr>
            <w:top w:val="none" w:sz="0" w:space="0" w:color="auto"/>
            <w:left w:val="none" w:sz="0" w:space="0" w:color="auto"/>
            <w:bottom w:val="none" w:sz="0" w:space="0" w:color="auto"/>
            <w:right w:val="none" w:sz="0" w:space="0" w:color="auto"/>
          </w:divBdr>
          <w:divsChild>
            <w:div w:id="633678806">
              <w:marLeft w:val="0"/>
              <w:marRight w:val="0"/>
              <w:marTop w:val="0"/>
              <w:marBottom w:val="0"/>
              <w:divBdr>
                <w:top w:val="none" w:sz="0" w:space="0" w:color="auto"/>
                <w:left w:val="none" w:sz="0" w:space="0" w:color="auto"/>
                <w:bottom w:val="none" w:sz="0" w:space="0" w:color="auto"/>
                <w:right w:val="none" w:sz="0" w:space="0" w:color="auto"/>
              </w:divBdr>
            </w:div>
          </w:divsChild>
        </w:div>
        <w:div w:id="1974558849">
          <w:marLeft w:val="0"/>
          <w:marRight w:val="0"/>
          <w:marTop w:val="0"/>
          <w:marBottom w:val="0"/>
          <w:divBdr>
            <w:top w:val="none" w:sz="0" w:space="0" w:color="auto"/>
            <w:left w:val="none" w:sz="0" w:space="0" w:color="auto"/>
            <w:bottom w:val="none" w:sz="0" w:space="0" w:color="auto"/>
            <w:right w:val="none" w:sz="0" w:space="0" w:color="auto"/>
          </w:divBdr>
          <w:divsChild>
            <w:div w:id="668211972">
              <w:marLeft w:val="0"/>
              <w:marRight w:val="0"/>
              <w:marTop w:val="0"/>
              <w:marBottom w:val="0"/>
              <w:divBdr>
                <w:top w:val="none" w:sz="0" w:space="0" w:color="auto"/>
                <w:left w:val="none" w:sz="0" w:space="0" w:color="auto"/>
                <w:bottom w:val="none" w:sz="0" w:space="0" w:color="auto"/>
                <w:right w:val="none" w:sz="0" w:space="0" w:color="auto"/>
              </w:divBdr>
            </w:div>
          </w:divsChild>
        </w:div>
        <w:div w:id="861285804">
          <w:marLeft w:val="0"/>
          <w:marRight w:val="0"/>
          <w:marTop w:val="0"/>
          <w:marBottom w:val="0"/>
          <w:divBdr>
            <w:top w:val="none" w:sz="0" w:space="0" w:color="auto"/>
            <w:left w:val="none" w:sz="0" w:space="0" w:color="auto"/>
            <w:bottom w:val="none" w:sz="0" w:space="0" w:color="auto"/>
            <w:right w:val="none" w:sz="0" w:space="0" w:color="auto"/>
          </w:divBdr>
          <w:divsChild>
            <w:div w:id="983974291">
              <w:marLeft w:val="0"/>
              <w:marRight w:val="0"/>
              <w:marTop w:val="0"/>
              <w:marBottom w:val="0"/>
              <w:divBdr>
                <w:top w:val="none" w:sz="0" w:space="0" w:color="auto"/>
                <w:left w:val="none" w:sz="0" w:space="0" w:color="auto"/>
                <w:bottom w:val="none" w:sz="0" w:space="0" w:color="auto"/>
                <w:right w:val="none" w:sz="0" w:space="0" w:color="auto"/>
              </w:divBdr>
            </w:div>
          </w:divsChild>
        </w:div>
        <w:div w:id="2098091225">
          <w:marLeft w:val="0"/>
          <w:marRight w:val="0"/>
          <w:marTop w:val="0"/>
          <w:marBottom w:val="0"/>
          <w:divBdr>
            <w:top w:val="none" w:sz="0" w:space="0" w:color="auto"/>
            <w:left w:val="none" w:sz="0" w:space="0" w:color="auto"/>
            <w:bottom w:val="none" w:sz="0" w:space="0" w:color="auto"/>
            <w:right w:val="none" w:sz="0" w:space="0" w:color="auto"/>
          </w:divBdr>
          <w:divsChild>
            <w:div w:id="1000233737">
              <w:marLeft w:val="0"/>
              <w:marRight w:val="0"/>
              <w:marTop w:val="0"/>
              <w:marBottom w:val="0"/>
              <w:divBdr>
                <w:top w:val="none" w:sz="0" w:space="0" w:color="auto"/>
                <w:left w:val="none" w:sz="0" w:space="0" w:color="auto"/>
                <w:bottom w:val="none" w:sz="0" w:space="0" w:color="auto"/>
                <w:right w:val="none" w:sz="0" w:space="0" w:color="auto"/>
              </w:divBdr>
            </w:div>
          </w:divsChild>
        </w:div>
        <w:div w:id="1864901724">
          <w:marLeft w:val="0"/>
          <w:marRight w:val="0"/>
          <w:marTop w:val="0"/>
          <w:marBottom w:val="0"/>
          <w:divBdr>
            <w:top w:val="none" w:sz="0" w:space="0" w:color="auto"/>
            <w:left w:val="none" w:sz="0" w:space="0" w:color="auto"/>
            <w:bottom w:val="none" w:sz="0" w:space="0" w:color="auto"/>
            <w:right w:val="none" w:sz="0" w:space="0" w:color="auto"/>
          </w:divBdr>
          <w:divsChild>
            <w:div w:id="1099107038">
              <w:marLeft w:val="0"/>
              <w:marRight w:val="0"/>
              <w:marTop w:val="0"/>
              <w:marBottom w:val="0"/>
              <w:divBdr>
                <w:top w:val="none" w:sz="0" w:space="0" w:color="auto"/>
                <w:left w:val="none" w:sz="0" w:space="0" w:color="auto"/>
                <w:bottom w:val="none" w:sz="0" w:space="0" w:color="auto"/>
                <w:right w:val="none" w:sz="0" w:space="0" w:color="auto"/>
              </w:divBdr>
            </w:div>
          </w:divsChild>
        </w:div>
        <w:div w:id="1486819601">
          <w:marLeft w:val="0"/>
          <w:marRight w:val="0"/>
          <w:marTop w:val="0"/>
          <w:marBottom w:val="0"/>
          <w:divBdr>
            <w:top w:val="none" w:sz="0" w:space="0" w:color="auto"/>
            <w:left w:val="none" w:sz="0" w:space="0" w:color="auto"/>
            <w:bottom w:val="none" w:sz="0" w:space="0" w:color="auto"/>
            <w:right w:val="none" w:sz="0" w:space="0" w:color="auto"/>
          </w:divBdr>
          <w:divsChild>
            <w:div w:id="1201668262">
              <w:marLeft w:val="0"/>
              <w:marRight w:val="0"/>
              <w:marTop w:val="0"/>
              <w:marBottom w:val="0"/>
              <w:divBdr>
                <w:top w:val="none" w:sz="0" w:space="0" w:color="auto"/>
                <w:left w:val="none" w:sz="0" w:space="0" w:color="auto"/>
                <w:bottom w:val="none" w:sz="0" w:space="0" w:color="auto"/>
                <w:right w:val="none" w:sz="0" w:space="0" w:color="auto"/>
              </w:divBdr>
            </w:div>
          </w:divsChild>
        </w:div>
        <w:div w:id="1245578167">
          <w:marLeft w:val="0"/>
          <w:marRight w:val="0"/>
          <w:marTop w:val="0"/>
          <w:marBottom w:val="0"/>
          <w:divBdr>
            <w:top w:val="none" w:sz="0" w:space="0" w:color="auto"/>
            <w:left w:val="none" w:sz="0" w:space="0" w:color="auto"/>
            <w:bottom w:val="none" w:sz="0" w:space="0" w:color="auto"/>
            <w:right w:val="none" w:sz="0" w:space="0" w:color="auto"/>
          </w:divBdr>
          <w:divsChild>
            <w:div w:id="122710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81741">
      <w:bodyDiv w:val="1"/>
      <w:marLeft w:val="0"/>
      <w:marRight w:val="0"/>
      <w:marTop w:val="0"/>
      <w:marBottom w:val="0"/>
      <w:divBdr>
        <w:top w:val="none" w:sz="0" w:space="0" w:color="auto"/>
        <w:left w:val="none" w:sz="0" w:space="0" w:color="auto"/>
        <w:bottom w:val="none" w:sz="0" w:space="0" w:color="auto"/>
        <w:right w:val="none" w:sz="0" w:space="0" w:color="auto"/>
      </w:divBdr>
    </w:div>
    <w:div w:id="1539587343">
      <w:bodyDiv w:val="1"/>
      <w:marLeft w:val="0"/>
      <w:marRight w:val="0"/>
      <w:marTop w:val="0"/>
      <w:marBottom w:val="0"/>
      <w:divBdr>
        <w:top w:val="none" w:sz="0" w:space="0" w:color="auto"/>
        <w:left w:val="none" w:sz="0" w:space="0" w:color="auto"/>
        <w:bottom w:val="none" w:sz="0" w:space="0" w:color="auto"/>
        <w:right w:val="none" w:sz="0" w:space="0" w:color="auto"/>
      </w:divBdr>
    </w:div>
    <w:div w:id="1551529471">
      <w:bodyDiv w:val="1"/>
      <w:marLeft w:val="0"/>
      <w:marRight w:val="0"/>
      <w:marTop w:val="0"/>
      <w:marBottom w:val="0"/>
      <w:divBdr>
        <w:top w:val="none" w:sz="0" w:space="0" w:color="auto"/>
        <w:left w:val="none" w:sz="0" w:space="0" w:color="auto"/>
        <w:bottom w:val="none" w:sz="0" w:space="0" w:color="auto"/>
        <w:right w:val="none" w:sz="0" w:space="0" w:color="auto"/>
      </w:divBdr>
    </w:div>
    <w:div w:id="1577006867">
      <w:bodyDiv w:val="1"/>
      <w:marLeft w:val="0"/>
      <w:marRight w:val="0"/>
      <w:marTop w:val="0"/>
      <w:marBottom w:val="0"/>
      <w:divBdr>
        <w:top w:val="none" w:sz="0" w:space="0" w:color="auto"/>
        <w:left w:val="none" w:sz="0" w:space="0" w:color="auto"/>
        <w:bottom w:val="none" w:sz="0" w:space="0" w:color="auto"/>
        <w:right w:val="none" w:sz="0" w:space="0" w:color="auto"/>
      </w:divBdr>
    </w:div>
    <w:div w:id="1600601202">
      <w:bodyDiv w:val="1"/>
      <w:marLeft w:val="0"/>
      <w:marRight w:val="0"/>
      <w:marTop w:val="0"/>
      <w:marBottom w:val="0"/>
      <w:divBdr>
        <w:top w:val="none" w:sz="0" w:space="0" w:color="auto"/>
        <w:left w:val="none" w:sz="0" w:space="0" w:color="auto"/>
        <w:bottom w:val="none" w:sz="0" w:space="0" w:color="auto"/>
        <w:right w:val="none" w:sz="0" w:space="0" w:color="auto"/>
      </w:divBdr>
      <w:divsChild>
        <w:div w:id="383407720">
          <w:marLeft w:val="0"/>
          <w:marRight w:val="0"/>
          <w:marTop w:val="0"/>
          <w:marBottom w:val="0"/>
          <w:divBdr>
            <w:top w:val="none" w:sz="0" w:space="0" w:color="auto"/>
            <w:left w:val="none" w:sz="0" w:space="0" w:color="auto"/>
            <w:bottom w:val="none" w:sz="0" w:space="0" w:color="auto"/>
            <w:right w:val="none" w:sz="0" w:space="0" w:color="auto"/>
          </w:divBdr>
        </w:div>
        <w:div w:id="421221085">
          <w:marLeft w:val="0"/>
          <w:marRight w:val="0"/>
          <w:marTop w:val="0"/>
          <w:marBottom w:val="0"/>
          <w:divBdr>
            <w:top w:val="none" w:sz="0" w:space="0" w:color="auto"/>
            <w:left w:val="none" w:sz="0" w:space="0" w:color="auto"/>
            <w:bottom w:val="none" w:sz="0" w:space="0" w:color="auto"/>
            <w:right w:val="none" w:sz="0" w:space="0" w:color="auto"/>
          </w:divBdr>
        </w:div>
        <w:div w:id="463430159">
          <w:marLeft w:val="0"/>
          <w:marRight w:val="0"/>
          <w:marTop w:val="0"/>
          <w:marBottom w:val="0"/>
          <w:divBdr>
            <w:top w:val="none" w:sz="0" w:space="0" w:color="auto"/>
            <w:left w:val="none" w:sz="0" w:space="0" w:color="auto"/>
            <w:bottom w:val="none" w:sz="0" w:space="0" w:color="auto"/>
            <w:right w:val="none" w:sz="0" w:space="0" w:color="auto"/>
          </w:divBdr>
        </w:div>
        <w:div w:id="904803900">
          <w:marLeft w:val="0"/>
          <w:marRight w:val="0"/>
          <w:marTop w:val="0"/>
          <w:marBottom w:val="0"/>
          <w:divBdr>
            <w:top w:val="none" w:sz="0" w:space="0" w:color="auto"/>
            <w:left w:val="none" w:sz="0" w:space="0" w:color="auto"/>
            <w:bottom w:val="none" w:sz="0" w:space="0" w:color="auto"/>
            <w:right w:val="none" w:sz="0" w:space="0" w:color="auto"/>
          </w:divBdr>
        </w:div>
        <w:div w:id="1031683505">
          <w:marLeft w:val="0"/>
          <w:marRight w:val="0"/>
          <w:marTop w:val="0"/>
          <w:marBottom w:val="0"/>
          <w:divBdr>
            <w:top w:val="none" w:sz="0" w:space="0" w:color="auto"/>
            <w:left w:val="none" w:sz="0" w:space="0" w:color="auto"/>
            <w:bottom w:val="none" w:sz="0" w:space="0" w:color="auto"/>
            <w:right w:val="none" w:sz="0" w:space="0" w:color="auto"/>
          </w:divBdr>
        </w:div>
        <w:div w:id="1117219246">
          <w:marLeft w:val="0"/>
          <w:marRight w:val="0"/>
          <w:marTop w:val="0"/>
          <w:marBottom w:val="0"/>
          <w:divBdr>
            <w:top w:val="none" w:sz="0" w:space="0" w:color="auto"/>
            <w:left w:val="none" w:sz="0" w:space="0" w:color="auto"/>
            <w:bottom w:val="none" w:sz="0" w:space="0" w:color="auto"/>
            <w:right w:val="none" w:sz="0" w:space="0" w:color="auto"/>
          </w:divBdr>
        </w:div>
        <w:div w:id="1307933384">
          <w:marLeft w:val="0"/>
          <w:marRight w:val="0"/>
          <w:marTop w:val="0"/>
          <w:marBottom w:val="0"/>
          <w:divBdr>
            <w:top w:val="none" w:sz="0" w:space="0" w:color="auto"/>
            <w:left w:val="none" w:sz="0" w:space="0" w:color="auto"/>
            <w:bottom w:val="none" w:sz="0" w:space="0" w:color="auto"/>
            <w:right w:val="none" w:sz="0" w:space="0" w:color="auto"/>
          </w:divBdr>
        </w:div>
        <w:div w:id="1784767076">
          <w:marLeft w:val="0"/>
          <w:marRight w:val="0"/>
          <w:marTop w:val="0"/>
          <w:marBottom w:val="0"/>
          <w:divBdr>
            <w:top w:val="none" w:sz="0" w:space="0" w:color="auto"/>
            <w:left w:val="none" w:sz="0" w:space="0" w:color="auto"/>
            <w:bottom w:val="none" w:sz="0" w:space="0" w:color="auto"/>
            <w:right w:val="none" w:sz="0" w:space="0" w:color="auto"/>
          </w:divBdr>
        </w:div>
        <w:div w:id="1842160009">
          <w:marLeft w:val="0"/>
          <w:marRight w:val="0"/>
          <w:marTop w:val="0"/>
          <w:marBottom w:val="0"/>
          <w:divBdr>
            <w:top w:val="none" w:sz="0" w:space="0" w:color="auto"/>
            <w:left w:val="none" w:sz="0" w:space="0" w:color="auto"/>
            <w:bottom w:val="none" w:sz="0" w:space="0" w:color="auto"/>
            <w:right w:val="none" w:sz="0" w:space="0" w:color="auto"/>
          </w:divBdr>
        </w:div>
        <w:div w:id="1907568381">
          <w:marLeft w:val="0"/>
          <w:marRight w:val="0"/>
          <w:marTop w:val="0"/>
          <w:marBottom w:val="0"/>
          <w:divBdr>
            <w:top w:val="none" w:sz="0" w:space="0" w:color="auto"/>
            <w:left w:val="none" w:sz="0" w:space="0" w:color="auto"/>
            <w:bottom w:val="none" w:sz="0" w:space="0" w:color="auto"/>
            <w:right w:val="none" w:sz="0" w:space="0" w:color="auto"/>
          </w:divBdr>
        </w:div>
        <w:div w:id="1972973311">
          <w:marLeft w:val="0"/>
          <w:marRight w:val="0"/>
          <w:marTop w:val="0"/>
          <w:marBottom w:val="0"/>
          <w:divBdr>
            <w:top w:val="none" w:sz="0" w:space="0" w:color="auto"/>
            <w:left w:val="none" w:sz="0" w:space="0" w:color="auto"/>
            <w:bottom w:val="none" w:sz="0" w:space="0" w:color="auto"/>
            <w:right w:val="none" w:sz="0" w:space="0" w:color="auto"/>
          </w:divBdr>
        </w:div>
        <w:div w:id="2121218169">
          <w:marLeft w:val="0"/>
          <w:marRight w:val="0"/>
          <w:marTop w:val="0"/>
          <w:marBottom w:val="0"/>
          <w:divBdr>
            <w:top w:val="none" w:sz="0" w:space="0" w:color="auto"/>
            <w:left w:val="none" w:sz="0" w:space="0" w:color="auto"/>
            <w:bottom w:val="none" w:sz="0" w:space="0" w:color="auto"/>
            <w:right w:val="none" w:sz="0" w:space="0" w:color="auto"/>
          </w:divBdr>
        </w:div>
      </w:divsChild>
    </w:div>
    <w:div w:id="1625960627">
      <w:bodyDiv w:val="1"/>
      <w:marLeft w:val="0"/>
      <w:marRight w:val="0"/>
      <w:marTop w:val="0"/>
      <w:marBottom w:val="0"/>
      <w:divBdr>
        <w:top w:val="none" w:sz="0" w:space="0" w:color="auto"/>
        <w:left w:val="none" w:sz="0" w:space="0" w:color="auto"/>
        <w:bottom w:val="none" w:sz="0" w:space="0" w:color="auto"/>
        <w:right w:val="none" w:sz="0" w:space="0" w:color="auto"/>
      </w:divBdr>
    </w:div>
    <w:div w:id="1649020048">
      <w:bodyDiv w:val="1"/>
      <w:marLeft w:val="0"/>
      <w:marRight w:val="0"/>
      <w:marTop w:val="0"/>
      <w:marBottom w:val="0"/>
      <w:divBdr>
        <w:top w:val="none" w:sz="0" w:space="0" w:color="auto"/>
        <w:left w:val="none" w:sz="0" w:space="0" w:color="auto"/>
        <w:bottom w:val="none" w:sz="0" w:space="0" w:color="auto"/>
        <w:right w:val="none" w:sz="0" w:space="0" w:color="auto"/>
      </w:divBdr>
    </w:div>
    <w:div w:id="1650133517">
      <w:bodyDiv w:val="1"/>
      <w:marLeft w:val="0"/>
      <w:marRight w:val="0"/>
      <w:marTop w:val="0"/>
      <w:marBottom w:val="0"/>
      <w:divBdr>
        <w:top w:val="none" w:sz="0" w:space="0" w:color="auto"/>
        <w:left w:val="none" w:sz="0" w:space="0" w:color="auto"/>
        <w:bottom w:val="none" w:sz="0" w:space="0" w:color="auto"/>
        <w:right w:val="none" w:sz="0" w:space="0" w:color="auto"/>
      </w:divBdr>
    </w:div>
    <w:div w:id="1691488703">
      <w:bodyDiv w:val="1"/>
      <w:marLeft w:val="0"/>
      <w:marRight w:val="0"/>
      <w:marTop w:val="0"/>
      <w:marBottom w:val="0"/>
      <w:divBdr>
        <w:top w:val="none" w:sz="0" w:space="0" w:color="auto"/>
        <w:left w:val="none" w:sz="0" w:space="0" w:color="auto"/>
        <w:bottom w:val="none" w:sz="0" w:space="0" w:color="auto"/>
        <w:right w:val="none" w:sz="0" w:space="0" w:color="auto"/>
      </w:divBdr>
      <w:divsChild>
        <w:div w:id="1760100948">
          <w:marLeft w:val="0"/>
          <w:marRight w:val="0"/>
          <w:marTop w:val="0"/>
          <w:marBottom w:val="0"/>
          <w:divBdr>
            <w:top w:val="none" w:sz="0" w:space="0" w:color="auto"/>
            <w:left w:val="none" w:sz="0" w:space="0" w:color="auto"/>
            <w:bottom w:val="none" w:sz="0" w:space="0" w:color="auto"/>
            <w:right w:val="none" w:sz="0" w:space="0" w:color="auto"/>
          </w:divBdr>
        </w:div>
      </w:divsChild>
    </w:div>
    <w:div w:id="1693452512">
      <w:bodyDiv w:val="1"/>
      <w:marLeft w:val="0"/>
      <w:marRight w:val="0"/>
      <w:marTop w:val="0"/>
      <w:marBottom w:val="0"/>
      <w:divBdr>
        <w:top w:val="none" w:sz="0" w:space="0" w:color="auto"/>
        <w:left w:val="none" w:sz="0" w:space="0" w:color="auto"/>
        <w:bottom w:val="none" w:sz="0" w:space="0" w:color="auto"/>
        <w:right w:val="none" w:sz="0" w:space="0" w:color="auto"/>
      </w:divBdr>
    </w:div>
    <w:div w:id="1735152816">
      <w:bodyDiv w:val="1"/>
      <w:marLeft w:val="0"/>
      <w:marRight w:val="0"/>
      <w:marTop w:val="0"/>
      <w:marBottom w:val="0"/>
      <w:divBdr>
        <w:top w:val="none" w:sz="0" w:space="0" w:color="auto"/>
        <w:left w:val="none" w:sz="0" w:space="0" w:color="auto"/>
        <w:bottom w:val="none" w:sz="0" w:space="0" w:color="auto"/>
        <w:right w:val="none" w:sz="0" w:space="0" w:color="auto"/>
      </w:divBdr>
    </w:div>
    <w:div w:id="1743486554">
      <w:bodyDiv w:val="1"/>
      <w:marLeft w:val="0"/>
      <w:marRight w:val="0"/>
      <w:marTop w:val="0"/>
      <w:marBottom w:val="0"/>
      <w:divBdr>
        <w:top w:val="none" w:sz="0" w:space="0" w:color="auto"/>
        <w:left w:val="none" w:sz="0" w:space="0" w:color="auto"/>
        <w:bottom w:val="none" w:sz="0" w:space="0" w:color="auto"/>
        <w:right w:val="none" w:sz="0" w:space="0" w:color="auto"/>
      </w:divBdr>
    </w:div>
    <w:div w:id="1759473777">
      <w:bodyDiv w:val="1"/>
      <w:marLeft w:val="0"/>
      <w:marRight w:val="0"/>
      <w:marTop w:val="0"/>
      <w:marBottom w:val="0"/>
      <w:divBdr>
        <w:top w:val="none" w:sz="0" w:space="0" w:color="auto"/>
        <w:left w:val="none" w:sz="0" w:space="0" w:color="auto"/>
        <w:bottom w:val="none" w:sz="0" w:space="0" w:color="auto"/>
        <w:right w:val="none" w:sz="0" w:space="0" w:color="auto"/>
      </w:divBdr>
      <w:divsChild>
        <w:div w:id="1622303917">
          <w:marLeft w:val="0"/>
          <w:marRight w:val="0"/>
          <w:marTop w:val="0"/>
          <w:marBottom w:val="0"/>
          <w:divBdr>
            <w:top w:val="none" w:sz="0" w:space="0" w:color="auto"/>
            <w:left w:val="none" w:sz="0" w:space="0" w:color="auto"/>
            <w:bottom w:val="none" w:sz="0" w:space="0" w:color="auto"/>
            <w:right w:val="none" w:sz="0" w:space="0" w:color="auto"/>
          </w:divBdr>
        </w:div>
      </w:divsChild>
    </w:div>
    <w:div w:id="1819809030">
      <w:bodyDiv w:val="1"/>
      <w:marLeft w:val="0"/>
      <w:marRight w:val="0"/>
      <w:marTop w:val="0"/>
      <w:marBottom w:val="0"/>
      <w:divBdr>
        <w:top w:val="none" w:sz="0" w:space="0" w:color="auto"/>
        <w:left w:val="none" w:sz="0" w:space="0" w:color="auto"/>
        <w:bottom w:val="none" w:sz="0" w:space="0" w:color="auto"/>
        <w:right w:val="none" w:sz="0" w:space="0" w:color="auto"/>
      </w:divBdr>
    </w:div>
    <w:div w:id="1829445800">
      <w:bodyDiv w:val="1"/>
      <w:marLeft w:val="0"/>
      <w:marRight w:val="0"/>
      <w:marTop w:val="0"/>
      <w:marBottom w:val="0"/>
      <w:divBdr>
        <w:top w:val="none" w:sz="0" w:space="0" w:color="auto"/>
        <w:left w:val="none" w:sz="0" w:space="0" w:color="auto"/>
        <w:bottom w:val="none" w:sz="0" w:space="0" w:color="auto"/>
        <w:right w:val="none" w:sz="0" w:space="0" w:color="auto"/>
      </w:divBdr>
    </w:div>
    <w:div w:id="1835031062">
      <w:bodyDiv w:val="1"/>
      <w:marLeft w:val="0"/>
      <w:marRight w:val="0"/>
      <w:marTop w:val="0"/>
      <w:marBottom w:val="0"/>
      <w:divBdr>
        <w:top w:val="none" w:sz="0" w:space="0" w:color="auto"/>
        <w:left w:val="none" w:sz="0" w:space="0" w:color="auto"/>
        <w:bottom w:val="none" w:sz="0" w:space="0" w:color="auto"/>
        <w:right w:val="none" w:sz="0" w:space="0" w:color="auto"/>
      </w:divBdr>
    </w:div>
    <w:div w:id="1880240390">
      <w:bodyDiv w:val="1"/>
      <w:marLeft w:val="0"/>
      <w:marRight w:val="0"/>
      <w:marTop w:val="0"/>
      <w:marBottom w:val="0"/>
      <w:divBdr>
        <w:top w:val="none" w:sz="0" w:space="0" w:color="auto"/>
        <w:left w:val="none" w:sz="0" w:space="0" w:color="auto"/>
        <w:bottom w:val="none" w:sz="0" w:space="0" w:color="auto"/>
        <w:right w:val="none" w:sz="0" w:space="0" w:color="auto"/>
      </w:divBdr>
    </w:div>
    <w:div w:id="1916936817">
      <w:bodyDiv w:val="1"/>
      <w:marLeft w:val="0"/>
      <w:marRight w:val="0"/>
      <w:marTop w:val="0"/>
      <w:marBottom w:val="0"/>
      <w:divBdr>
        <w:top w:val="none" w:sz="0" w:space="0" w:color="auto"/>
        <w:left w:val="none" w:sz="0" w:space="0" w:color="auto"/>
        <w:bottom w:val="none" w:sz="0" w:space="0" w:color="auto"/>
        <w:right w:val="none" w:sz="0" w:space="0" w:color="auto"/>
      </w:divBdr>
    </w:div>
    <w:div w:id="1934320737">
      <w:bodyDiv w:val="1"/>
      <w:marLeft w:val="0"/>
      <w:marRight w:val="0"/>
      <w:marTop w:val="0"/>
      <w:marBottom w:val="0"/>
      <w:divBdr>
        <w:top w:val="none" w:sz="0" w:space="0" w:color="auto"/>
        <w:left w:val="none" w:sz="0" w:space="0" w:color="auto"/>
        <w:bottom w:val="none" w:sz="0" w:space="0" w:color="auto"/>
        <w:right w:val="none" w:sz="0" w:space="0" w:color="auto"/>
      </w:divBdr>
    </w:div>
    <w:div w:id="1965768839">
      <w:bodyDiv w:val="1"/>
      <w:marLeft w:val="0"/>
      <w:marRight w:val="0"/>
      <w:marTop w:val="0"/>
      <w:marBottom w:val="0"/>
      <w:divBdr>
        <w:top w:val="none" w:sz="0" w:space="0" w:color="auto"/>
        <w:left w:val="none" w:sz="0" w:space="0" w:color="auto"/>
        <w:bottom w:val="none" w:sz="0" w:space="0" w:color="auto"/>
        <w:right w:val="none" w:sz="0" w:space="0" w:color="auto"/>
      </w:divBdr>
    </w:div>
    <w:div w:id="1980305365">
      <w:bodyDiv w:val="1"/>
      <w:marLeft w:val="0"/>
      <w:marRight w:val="0"/>
      <w:marTop w:val="0"/>
      <w:marBottom w:val="0"/>
      <w:divBdr>
        <w:top w:val="none" w:sz="0" w:space="0" w:color="auto"/>
        <w:left w:val="none" w:sz="0" w:space="0" w:color="auto"/>
        <w:bottom w:val="none" w:sz="0" w:space="0" w:color="auto"/>
        <w:right w:val="none" w:sz="0" w:space="0" w:color="auto"/>
      </w:divBdr>
    </w:div>
    <w:div w:id="2013485335">
      <w:bodyDiv w:val="1"/>
      <w:marLeft w:val="0"/>
      <w:marRight w:val="0"/>
      <w:marTop w:val="0"/>
      <w:marBottom w:val="0"/>
      <w:divBdr>
        <w:top w:val="none" w:sz="0" w:space="0" w:color="auto"/>
        <w:left w:val="none" w:sz="0" w:space="0" w:color="auto"/>
        <w:bottom w:val="none" w:sz="0" w:space="0" w:color="auto"/>
        <w:right w:val="none" w:sz="0" w:space="0" w:color="auto"/>
      </w:divBdr>
    </w:div>
    <w:div w:id="2038458112">
      <w:bodyDiv w:val="1"/>
      <w:marLeft w:val="0"/>
      <w:marRight w:val="0"/>
      <w:marTop w:val="0"/>
      <w:marBottom w:val="0"/>
      <w:divBdr>
        <w:top w:val="none" w:sz="0" w:space="0" w:color="auto"/>
        <w:left w:val="none" w:sz="0" w:space="0" w:color="auto"/>
        <w:bottom w:val="none" w:sz="0" w:space="0" w:color="auto"/>
        <w:right w:val="none" w:sz="0" w:space="0" w:color="auto"/>
      </w:divBdr>
    </w:div>
    <w:div w:id="2039352081">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sChild>
        <w:div w:id="2110851596">
          <w:marLeft w:val="0"/>
          <w:marRight w:val="0"/>
          <w:marTop w:val="0"/>
          <w:marBottom w:val="0"/>
          <w:divBdr>
            <w:top w:val="none" w:sz="0" w:space="0" w:color="auto"/>
            <w:left w:val="none" w:sz="0" w:space="0" w:color="auto"/>
            <w:bottom w:val="none" w:sz="0" w:space="0" w:color="auto"/>
            <w:right w:val="none" w:sz="0" w:space="0" w:color="auto"/>
          </w:divBdr>
        </w:div>
      </w:divsChild>
    </w:div>
    <w:div w:id="2051682480">
      <w:bodyDiv w:val="1"/>
      <w:marLeft w:val="0"/>
      <w:marRight w:val="0"/>
      <w:marTop w:val="0"/>
      <w:marBottom w:val="0"/>
      <w:divBdr>
        <w:top w:val="none" w:sz="0" w:space="0" w:color="auto"/>
        <w:left w:val="none" w:sz="0" w:space="0" w:color="auto"/>
        <w:bottom w:val="none" w:sz="0" w:space="0" w:color="auto"/>
        <w:right w:val="none" w:sz="0" w:space="0" w:color="auto"/>
      </w:divBdr>
    </w:div>
    <w:div w:id="2053505189">
      <w:bodyDiv w:val="1"/>
      <w:marLeft w:val="0"/>
      <w:marRight w:val="0"/>
      <w:marTop w:val="0"/>
      <w:marBottom w:val="0"/>
      <w:divBdr>
        <w:top w:val="none" w:sz="0" w:space="0" w:color="auto"/>
        <w:left w:val="none" w:sz="0" w:space="0" w:color="auto"/>
        <w:bottom w:val="none" w:sz="0" w:space="0" w:color="auto"/>
        <w:right w:val="none" w:sz="0" w:space="0" w:color="auto"/>
      </w:divBdr>
    </w:div>
    <w:div w:id="2078280557">
      <w:bodyDiv w:val="1"/>
      <w:marLeft w:val="0"/>
      <w:marRight w:val="0"/>
      <w:marTop w:val="0"/>
      <w:marBottom w:val="0"/>
      <w:divBdr>
        <w:top w:val="none" w:sz="0" w:space="0" w:color="auto"/>
        <w:left w:val="none" w:sz="0" w:space="0" w:color="auto"/>
        <w:bottom w:val="none" w:sz="0" w:space="0" w:color="auto"/>
        <w:right w:val="none" w:sz="0" w:space="0" w:color="auto"/>
      </w:divBdr>
    </w:div>
    <w:div w:id="2096584891">
      <w:bodyDiv w:val="1"/>
      <w:marLeft w:val="0"/>
      <w:marRight w:val="0"/>
      <w:marTop w:val="0"/>
      <w:marBottom w:val="0"/>
      <w:divBdr>
        <w:top w:val="none" w:sz="0" w:space="0" w:color="auto"/>
        <w:left w:val="none" w:sz="0" w:space="0" w:color="auto"/>
        <w:bottom w:val="none" w:sz="0" w:space="0" w:color="auto"/>
        <w:right w:val="none" w:sz="0" w:space="0" w:color="auto"/>
      </w:divBdr>
    </w:div>
    <w:div w:id="2115323384">
      <w:bodyDiv w:val="1"/>
      <w:marLeft w:val="0"/>
      <w:marRight w:val="0"/>
      <w:marTop w:val="0"/>
      <w:marBottom w:val="0"/>
      <w:divBdr>
        <w:top w:val="none" w:sz="0" w:space="0" w:color="auto"/>
        <w:left w:val="none" w:sz="0" w:space="0" w:color="auto"/>
        <w:bottom w:val="none" w:sz="0" w:space="0" w:color="auto"/>
        <w:right w:val="none" w:sz="0" w:space="0" w:color="auto"/>
      </w:divBdr>
    </w:div>
    <w:div w:id="21157812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hyperlink" Target="https://www.dane.gov.co/files/sen/nomenclatura/ciiu/CIIU_Rev_4_AC2022.pdf" TargetMode="External"/><Relationship Id="rId89" Type="http://schemas.openxmlformats.org/officeDocument/2006/relationships/image" Target="media/image45.emf"/><Relationship Id="rId16" Type="http://schemas.openxmlformats.org/officeDocument/2006/relationships/image" Target="media/image5.png"/><Relationship Id="rId107" Type="http://schemas.openxmlformats.org/officeDocument/2006/relationships/footer" Target="footer3.xml"/><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chart" Target="charts/chart6.xml"/><Relationship Id="rId79" Type="http://schemas.openxmlformats.org/officeDocument/2006/relationships/image" Target="media/image56.emf"/><Relationship Id="rId102" Type="http://schemas.openxmlformats.org/officeDocument/2006/relationships/chart" Target="charts/chart12.xml"/><Relationship Id="rId5" Type="http://schemas.openxmlformats.org/officeDocument/2006/relationships/customXml" Target="../customXml/item5.xml"/><Relationship Id="rId90" Type="http://schemas.openxmlformats.org/officeDocument/2006/relationships/image" Target="media/image61.png"/><Relationship Id="rId95" Type="http://schemas.openxmlformats.org/officeDocument/2006/relationships/image" Target="media/image66.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chart" Target="charts/chart1.xml"/><Relationship Id="rId80" Type="http://schemas.openxmlformats.org/officeDocument/2006/relationships/image" Target="media/image57.emf"/><Relationship Id="rId12" Type="http://schemas.openxmlformats.org/officeDocument/2006/relationships/image" Target="media/image1.jp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header" Target="header1.xml"/><Relationship Id="rId108"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chart" Target="charts/chart2.xml"/><Relationship Id="rId75" Type="http://schemas.openxmlformats.org/officeDocument/2006/relationships/chart" Target="charts/chart7.xml"/><Relationship Id="rId83" Type="http://schemas.openxmlformats.org/officeDocument/2006/relationships/image" Target="media/image60.emf"/><Relationship Id="rId88" Type="http://schemas.openxmlformats.org/officeDocument/2006/relationships/image" Target="media/image44.emf"/><Relationship Id="rId91" Type="http://schemas.openxmlformats.org/officeDocument/2006/relationships/image" Target="media/image62.png"/><Relationship Id="rId96"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chart" Target="charts/chart5.xml"/><Relationship Id="rId78" Type="http://schemas.openxmlformats.org/officeDocument/2006/relationships/chart" Target="charts/chart10.xml"/><Relationship Id="rId81" Type="http://schemas.openxmlformats.org/officeDocument/2006/relationships/image" Target="media/image58.emf"/><Relationship Id="rId94" Type="http://schemas.openxmlformats.org/officeDocument/2006/relationships/image" Target="media/image65.png"/><Relationship Id="rId99" Type="http://schemas.openxmlformats.org/officeDocument/2006/relationships/image" Target="media/image69.png"/><Relationship Id="rId101" Type="http://schemas.openxmlformats.org/officeDocument/2006/relationships/image" Target="media/image71.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chart" Target="charts/chart8.xml"/><Relationship Id="rId97" Type="http://schemas.openxmlformats.org/officeDocument/2006/relationships/image" Target="media/image67.png"/><Relationship Id="rId104" Type="http://schemas.openxmlformats.org/officeDocument/2006/relationships/footer" Target="footer1.xml"/><Relationship Id="rId7" Type="http://schemas.openxmlformats.org/officeDocument/2006/relationships/styles" Target="styles.xml"/><Relationship Id="rId71" Type="http://schemas.openxmlformats.org/officeDocument/2006/relationships/chart" Target="charts/chart3.xml"/><Relationship Id="rId92"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110" Type="http://schemas.microsoft.com/office/2019/05/relationships/documenttasks" Target="documenttasks/documenttasks1.xml"/><Relationship Id="rId61" Type="http://schemas.openxmlformats.org/officeDocument/2006/relationships/image" Target="media/image50.png"/><Relationship Id="rId82" Type="http://schemas.openxmlformats.org/officeDocument/2006/relationships/image" Target="media/image59.e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chart" Target="charts/chart9.xml"/><Relationship Id="rId100" Type="http://schemas.openxmlformats.org/officeDocument/2006/relationships/image" Target="media/image70.emf"/><Relationship Id="rId105"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chart" Target="charts/chart4.xml"/><Relationship Id="rId93" Type="http://schemas.openxmlformats.org/officeDocument/2006/relationships/image" Target="media/image64.png"/><Relationship Id="rId98" Type="http://schemas.openxmlformats.org/officeDocument/2006/relationships/image" Target="media/image68.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hyperlink" Target="https://www.dane.gov.co/files/sen/nomenclatura/ciiu/CIIU_Rev_4_AC2022.pdf"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dane.gov.co/files/sen/nomenclatura/ciiu/CIIU_Rev_4_AC2022.pdf" TargetMode="External"/><Relationship Id="rId18" Type="http://schemas.openxmlformats.org/officeDocument/2006/relationships/hyperlink" Target="http://www.rues.org.co/RUES_Web/Consultas" TargetMode="External"/><Relationship Id="rId26" Type="http://schemas.openxmlformats.org/officeDocument/2006/relationships/hyperlink" Target="https://www.colombiacompra.gov.co/sites/cce_public/files/cce_documents/cce-eicp-ma-04._manual_requisitos_habilitantes_v3_29-09-2023.pdf" TargetMode="External"/><Relationship Id="rId3" Type="http://schemas.openxmlformats.org/officeDocument/2006/relationships/hyperlink" Target="https://www.dane.gov.co/files/operaciones/PIB/bol-PIB-IItrim2024.pdf" TargetMode="External"/><Relationship Id="rId21" Type="http://schemas.openxmlformats.org/officeDocument/2006/relationships/hyperlink" Target="https://www.colombiacompra.gov.co/sites/cce_public/files/cce_documents/cce-eicp-ma-04._manual_requisitos_habilitantes_v3_29-09-2023.pdf" TargetMode="External"/><Relationship Id="rId7" Type="http://schemas.openxmlformats.org/officeDocument/2006/relationships/hyperlink" Target="https://www.dane.gov.co/files/operaciones/IEAC/bol-IEAC-IItrim2024.pdf" TargetMode="External"/><Relationship Id="rId12" Type="http://schemas.openxmlformats.org/officeDocument/2006/relationships/hyperlink" Target="https://camacol.co/sites/default/files/descargables/Informe_Econ%C3%B3mico_119.pdf" TargetMode="External"/><Relationship Id="rId17" Type="http://schemas.openxmlformats.org/officeDocument/2006/relationships/hyperlink" Target="https://siis.ia.supersociedades.gov.co/" TargetMode="External"/><Relationship Id="rId25" Type="http://schemas.openxmlformats.org/officeDocument/2006/relationships/hyperlink" Target="https://www.colombiacompra.gov.co/sites/cce_public/files/cce_documentos/cce-eicp-gi-18._gees_v.2_2.pdf" TargetMode="External"/><Relationship Id="rId33" Type="http://schemas.openxmlformats.org/officeDocument/2006/relationships/hyperlink" Target="https://www.dane.gov.co/files/operaciones/EMICRON/bol-EMICRON-Itrim2024.pdf" TargetMode="External"/><Relationship Id="rId2" Type="http://schemas.openxmlformats.org/officeDocument/2006/relationships/hyperlink" Target="https://observatoriohabitat.org/wp-content/uploads/2024/08/PIB_Marzo_2024.pdf" TargetMode="External"/><Relationship Id="rId16" Type="http://schemas.openxmlformats.org/officeDocument/2006/relationships/hyperlink" Target="https://www.dane.gov.co/files/sen/nomenclatura/ciiu/CIIU_Rev_4_AC2022.pdf" TargetMode="External"/><Relationship Id="rId20" Type="http://schemas.openxmlformats.org/officeDocument/2006/relationships/hyperlink" Target="https://dapre.presidencia.gov.co/normativa/normativa/DECRETO%20957%20DEL%2005%20DE%20JUNIO%20DE%202019.pdf" TargetMode="External"/><Relationship Id="rId29" Type="http://schemas.openxmlformats.org/officeDocument/2006/relationships/hyperlink" Target="https://confecamaras.org.co/images/Informe-Dinamica-de-creacion-de-empresas-2023.pdf" TargetMode="External"/><Relationship Id="rId1" Type="http://schemas.openxmlformats.org/officeDocument/2006/relationships/hyperlink" Target="https://www.colombiaaprende.edu.co/sites/default/files/files_public/2021-08/caracterizacion-sector-construccion.pdf" TargetMode="External"/><Relationship Id="rId6" Type="http://schemas.openxmlformats.org/officeDocument/2006/relationships/hyperlink" Target="https://www.dane.gov.co/files/operaciones/IEAC/bol-IEAC-IItrim2024.pdf" TargetMode="External"/><Relationship Id="rId11" Type="http://schemas.openxmlformats.org/officeDocument/2006/relationships/hyperlink" Target="https://www.dane.gov.co/files/operaciones/IPC/bol-IPC-abr2024.pdf" TargetMode="External"/><Relationship Id="rId24" Type="http://schemas.openxmlformats.org/officeDocument/2006/relationships/hyperlink" Target="http://descuadrando.com/Rentabilidad_econ%C3%B3mica" TargetMode="External"/><Relationship Id="rId32" Type="http://schemas.openxmlformats.org/officeDocument/2006/relationships/hyperlink" Target="https://cutt.ly/7wF7kPBl" TargetMode="External"/><Relationship Id="rId5" Type="http://schemas.openxmlformats.org/officeDocument/2006/relationships/hyperlink" Target="https://investigaciones.corfi.com/documents/38211/0/27-08-2024-Informe-de-dinamica-sectorial-Edificaciones.pdf/94ac6c83-1304-7b3e-f419-b8850c3b459f?t=1726501371481" TargetMode="External"/><Relationship Id="rId15" Type="http://schemas.openxmlformats.org/officeDocument/2006/relationships/hyperlink" Target="https://www.dane.gov.co/files/sen/nomenclatura/ciiu/CIIU_Rev_4_AC2022.pdf" TargetMode="External"/><Relationship Id="rId23" Type="http://schemas.openxmlformats.org/officeDocument/2006/relationships/hyperlink" Target="http://www.slideshare.net/Solfin/tablas-frmulas-y-conceptos-financieros" TargetMode="External"/><Relationship Id="rId28" Type="http://schemas.openxmlformats.org/officeDocument/2006/relationships/hyperlink" Target="https://cutt.ly/eKioXyN" TargetMode="External"/><Relationship Id="rId10" Type="http://schemas.openxmlformats.org/officeDocument/2006/relationships/hyperlink" Target="https://www.dane.gov.co/files/operaciones/IPC/bol-IPC-abr2024.pdf" TargetMode="External"/><Relationship Id="rId19" Type="http://schemas.openxmlformats.org/officeDocument/2006/relationships/hyperlink" Target="https://www.funcionpublica.gov.co/eva/gestornormativo/norma.php?i=175187" TargetMode="External"/><Relationship Id="rId31" Type="http://schemas.openxmlformats.org/officeDocument/2006/relationships/hyperlink" Target="https://confecamaras.org.co/images/Informe-Dinamica-de-creacion-de-empresas-2023.pdf" TargetMode="External"/><Relationship Id="rId4" Type="http://schemas.openxmlformats.org/officeDocument/2006/relationships/hyperlink" Target="https://investigaciones.corfi.com/documents/38211/0/27-08-2024-Informe-de-dinamica-sectorial-Edificaciones.pdf/94ac6c83-1304-7b3e-f419-b8850c3b459f?t=1726501371481" TargetMode="External"/><Relationship Id="rId9" Type="http://schemas.openxmlformats.org/officeDocument/2006/relationships/hyperlink" Target="https://www.dane.gov.co/files/operaciones/IPC/bol-IPC-abr2024.pdf" TargetMode="External"/><Relationship Id="rId14" Type="http://schemas.openxmlformats.org/officeDocument/2006/relationships/hyperlink" Target="https://www.dane.gov.co/files/sen/nomenclatura/ciiu/CIIU_Rev_4_AC2022.pdf" TargetMode="External"/><Relationship Id="rId22" Type="http://schemas.openxmlformats.org/officeDocument/2006/relationships/hyperlink" Target="https://www.colombiacompra.gov.co/sites/cce_public/files/cce_documents/cce_manual_requisitos_habilitantes.pdf" TargetMode="External"/><Relationship Id="rId27" Type="http://schemas.openxmlformats.org/officeDocument/2006/relationships/hyperlink" Target="https://cutt.ly/NKioA96" TargetMode="External"/><Relationship Id="rId30" Type="http://schemas.openxmlformats.org/officeDocument/2006/relationships/hyperlink" Target="https://confecamaras.org.co/images/Informe-Dinamica-de-creacion-de-empresas-2023.pdf" TargetMode="External"/><Relationship Id="rId8" Type="http://schemas.openxmlformats.org/officeDocument/2006/relationships/hyperlink" Target="https://www.dane.gov.co/files/operaciones/PIB/bol-PIB-Itrim2024-v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2.png"/></Relationships>
</file>

<file path=word/_rels/header2.xml.rels><?xml version="1.0" encoding="UTF-8" standalone="yes"?>
<Relationships xmlns="http://schemas.openxmlformats.org/package/2006/relationships"><Relationship Id="rId1" Type="http://schemas.openxmlformats.org/officeDocument/2006/relationships/image" Target="media/image73.png"/></Relationships>
</file>

<file path=word/charts/_rels/chart1.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1_INF_FIN_BASE_2023_240729.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1_INF_FIN_BASE_2023_240729.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Users\lidamilena\Desktop\%20base%20transporte%20EMAE%20-%20Alexa%20Transp.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CN_SECOP_I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CN_SECOP_I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4/CCE/DT_INFR_SOCIAL/INF_FIN/02_INF_FIN_PROP_2023_240729.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C_IND!$B$8</c:f>
              <c:strCache>
                <c:ptCount val="1"/>
                <c:pt idx="0">
                  <c:v>Microempresa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Pt>
            <c:idx val="1"/>
            <c:invertIfNegative val="0"/>
            <c:bubble3D val="0"/>
            <c:extLst>
              <c:ext xmlns:c16="http://schemas.microsoft.com/office/drawing/2014/chart" uri="{C3380CC4-5D6E-409C-BE32-E72D297353CC}">
                <c16:uniqueId val="{00000000-0E8F-4A76-9D7B-669B59A82CD3}"/>
              </c:ext>
            </c:extLst>
          </c:dPt>
          <c:dPt>
            <c:idx val="2"/>
            <c:invertIfNegative val="0"/>
            <c:bubble3D val="0"/>
            <c:extLst>
              <c:ext xmlns:c16="http://schemas.microsoft.com/office/drawing/2014/chart" uri="{C3380CC4-5D6E-409C-BE32-E72D297353CC}">
                <c16:uniqueId val="{00000001-0E8F-4A76-9D7B-669B59A82CD3}"/>
              </c:ext>
            </c:extLst>
          </c:dPt>
          <c:dPt>
            <c:idx val="3"/>
            <c:invertIfNegative val="0"/>
            <c:bubble3D val="0"/>
            <c:extLst>
              <c:ext xmlns:c16="http://schemas.microsoft.com/office/drawing/2014/chart" uri="{C3380CC4-5D6E-409C-BE32-E72D297353CC}">
                <c16:uniqueId val="{00000002-0E8F-4A76-9D7B-669B59A82CD3}"/>
              </c:ext>
            </c:extLst>
          </c:dPt>
          <c:dPt>
            <c:idx val="4"/>
            <c:invertIfNegative val="0"/>
            <c:bubble3D val="0"/>
            <c:extLst>
              <c:ext xmlns:c16="http://schemas.microsoft.com/office/drawing/2014/chart" uri="{C3380CC4-5D6E-409C-BE32-E72D297353CC}">
                <c16:uniqueId val="{00000003-0E8F-4A76-9D7B-669B59A82CD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C_IND!$L$8</c:f>
              <c:numCache>
                <c:formatCode>0%</c:formatCode>
                <c:ptCount val="1"/>
                <c:pt idx="0">
                  <c:v>0.29360613810741687</c:v>
                </c:pt>
              </c:numCache>
            </c:numRef>
          </c:val>
          <c:extLst>
            <c:ext xmlns:c16="http://schemas.microsoft.com/office/drawing/2014/chart" uri="{C3380CC4-5D6E-409C-BE32-E72D297353CC}">
              <c16:uniqueId val="{00000004-0E8F-4A76-9D7B-669B59A82CD3}"/>
            </c:ext>
          </c:extLst>
        </c:ser>
        <c:ser>
          <c:idx val="1"/>
          <c:order val="1"/>
          <c:tx>
            <c:strRef>
              <c:f>C_IND!$B$9</c:f>
              <c:strCache>
                <c:ptCount val="1"/>
                <c:pt idx="0">
                  <c:v>Pequeña empresa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C_IND!$L$9</c:f>
              <c:numCache>
                <c:formatCode>0%</c:formatCode>
                <c:ptCount val="1"/>
                <c:pt idx="0">
                  <c:v>0.22762148337595908</c:v>
                </c:pt>
              </c:numCache>
            </c:numRef>
          </c:val>
          <c:extLst>
            <c:ext xmlns:c16="http://schemas.microsoft.com/office/drawing/2014/chart" uri="{C3380CC4-5D6E-409C-BE32-E72D297353CC}">
              <c16:uniqueId val="{00000005-0E8F-4A76-9D7B-669B59A82CD3}"/>
            </c:ext>
          </c:extLst>
        </c:ser>
        <c:ser>
          <c:idx val="2"/>
          <c:order val="2"/>
          <c:tx>
            <c:strRef>
              <c:f>C_IND!$B$10</c:f>
              <c:strCache>
                <c:ptCount val="1"/>
                <c:pt idx="0">
                  <c:v>Mediana empresa</c:v>
                </c:pt>
              </c:strCache>
            </c:strRef>
          </c:tx>
          <c:spPr>
            <a:gradFill flip="none" rotWithShape="1">
              <a:gsLst>
                <a:gs pos="0">
                  <a:schemeClr val="accent3"/>
                </a:gs>
                <a:gs pos="75000">
                  <a:schemeClr val="accent3">
                    <a:lumMod val="60000"/>
                    <a:lumOff val="40000"/>
                  </a:schemeClr>
                </a:gs>
                <a:gs pos="51000">
                  <a:schemeClr val="accent3">
                    <a:alpha val="75000"/>
                  </a:schemeClr>
                </a:gs>
                <a:gs pos="100000">
                  <a:schemeClr val="accent3">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C_IND!$L$10</c:f>
              <c:numCache>
                <c:formatCode>0%</c:formatCode>
                <c:ptCount val="1"/>
                <c:pt idx="0">
                  <c:v>0.25677749360613811</c:v>
                </c:pt>
              </c:numCache>
            </c:numRef>
          </c:val>
          <c:extLst>
            <c:ext xmlns:c16="http://schemas.microsoft.com/office/drawing/2014/chart" uri="{C3380CC4-5D6E-409C-BE32-E72D297353CC}">
              <c16:uniqueId val="{00000006-0E8F-4A76-9D7B-669B59A82CD3}"/>
            </c:ext>
          </c:extLst>
        </c:ser>
        <c:ser>
          <c:idx val="3"/>
          <c:order val="3"/>
          <c:tx>
            <c:strRef>
              <c:f>C_IND!$B$11</c:f>
              <c:strCache>
                <c:ptCount val="1"/>
                <c:pt idx="0">
                  <c:v>Gran empresa</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C_IND!$L$11</c:f>
              <c:numCache>
                <c:formatCode>0%</c:formatCode>
                <c:ptCount val="1"/>
                <c:pt idx="0">
                  <c:v>0.21585677749360613</c:v>
                </c:pt>
              </c:numCache>
            </c:numRef>
          </c:val>
          <c:extLst>
            <c:ext xmlns:c16="http://schemas.microsoft.com/office/drawing/2014/chart" uri="{C3380CC4-5D6E-409C-BE32-E72D297353CC}">
              <c16:uniqueId val="{00000007-0E8F-4A76-9D7B-669B59A82CD3}"/>
            </c:ext>
          </c:extLst>
        </c:ser>
        <c:ser>
          <c:idx val="4"/>
          <c:order val="4"/>
          <c:tx>
            <c:strRef>
              <c:f>C_IND!$B$12</c:f>
              <c:strCache>
                <c:ptCount val="1"/>
                <c:pt idx="0">
                  <c:v>Inf No Detallada</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C_IND!$L$12</c:f>
              <c:numCache>
                <c:formatCode>0%</c:formatCode>
                <c:ptCount val="1"/>
                <c:pt idx="0">
                  <c:v>6.1381074168797957E-3</c:v>
                </c:pt>
              </c:numCache>
            </c:numRef>
          </c:val>
          <c:extLst>
            <c:ext xmlns:c16="http://schemas.microsoft.com/office/drawing/2014/chart" uri="{C3380CC4-5D6E-409C-BE32-E72D297353CC}">
              <c16:uniqueId val="{00000008-0E8F-4A76-9D7B-669B59A82CD3}"/>
            </c:ext>
          </c:extLst>
        </c:ser>
        <c:dLbls>
          <c:showLegendKey val="0"/>
          <c:showVal val="1"/>
          <c:showCatName val="0"/>
          <c:showSerName val="0"/>
          <c:showPercent val="0"/>
          <c:showBubbleSize val="0"/>
        </c:dLbls>
        <c:gapWidth val="355"/>
        <c:overlap val="-70"/>
        <c:axId val="1107516495"/>
        <c:axId val="1107517455"/>
      </c:barChart>
      <c:catAx>
        <c:axId val="110751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7455"/>
        <c:crosses val="autoZero"/>
        <c:auto val="1"/>
        <c:lblAlgn val="ctr"/>
        <c:lblOffset val="100"/>
        <c:noMultiLvlLbl val="0"/>
      </c:catAx>
      <c:valAx>
        <c:axId val="1107517455"/>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649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Segmentos'!$I$5</c:f>
              <c:strCache>
                <c:ptCount val="1"/>
                <c:pt idx="0">
                  <c:v>RENTABILIDAD SOBRE ACTIVOS</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Segmentos'!$I$6:$I$9</c:f>
              <c:numCache>
                <c:formatCode>0.00</c:formatCode>
                <c:ptCount val="4"/>
                <c:pt idx="0" formatCode="General">
                  <c:v>0.01</c:v>
                </c:pt>
                <c:pt idx="1">
                  <c:v>0.06</c:v>
                </c:pt>
                <c:pt idx="2">
                  <c:v>0.08</c:v>
                </c:pt>
                <c:pt idx="3">
                  <c:v>0.1</c:v>
                </c:pt>
              </c:numCache>
            </c:numRef>
          </c:val>
          <c:smooth val="0"/>
          <c:extLst>
            <c:ext xmlns:c16="http://schemas.microsoft.com/office/drawing/2014/chart" uri="{C3380CC4-5D6E-409C-BE32-E72D297353CC}">
              <c16:uniqueId val="{00000000-3210-4276-BFD6-4DE1BA408DDC}"/>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C_IND!$B$8</c:f>
              <c:strCache>
                <c:ptCount val="1"/>
                <c:pt idx="0">
                  <c:v>Microempresa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Pt>
            <c:idx val="1"/>
            <c:invertIfNegative val="0"/>
            <c:bubble3D val="0"/>
            <c:extLst>
              <c:ext xmlns:c16="http://schemas.microsoft.com/office/drawing/2014/chart" uri="{C3380CC4-5D6E-409C-BE32-E72D297353CC}">
                <c16:uniqueId val="{00000000-9CC3-4250-BF15-ECEEF324D859}"/>
              </c:ext>
            </c:extLst>
          </c:dPt>
          <c:dPt>
            <c:idx val="2"/>
            <c:invertIfNegative val="0"/>
            <c:bubble3D val="0"/>
            <c:extLst>
              <c:ext xmlns:c16="http://schemas.microsoft.com/office/drawing/2014/chart" uri="{C3380CC4-5D6E-409C-BE32-E72D297353CC}">
                <c16:uniqueId val="{00000001-9CC3-4250-BF15-ECEEF324D859}"/>
              </c:ext>
            </c:extLst>
          </c:dPt>
          <c:dPt>
            <c:idx val="3"/>
            <c:invertIfNegative val="0"/>
            <c:bubble3D val="0"/>
            <c:extLst>
              <c:ext xmlns:c16="http://schemas.microsoft.com/office/drawing/2014/chart" uri="{C3380CC4-5D6E-409C-BE32-E72D297353CC}">
                <c16:uniqueId val="{00000002-9CC3-4250-BF15-ECEEF324D859}"/>
              </c:ext>
            </c:extLst>
          </c:dPt>
          <c:dPt>
            <c:idx val="4"/>
            <c:invertIfNegative val="0"/>
            <c:bubble3D val="0"/>
            <c:extLst>
              <c:ext xmlns:c16="http://schemas.microsoft.com/office/drawing/2014/chart" uri="{C3380CC4-5D6E-409C-BE32-E72D297353CC}">
                <c16:uniqueId val="{00000003-9CC3-4250-BF15-ECEEF324D85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C_IND!$L$8</c:f>
              <c:numCache>
                <c:formatCode>0%</c:formatCode>
                <c:ptCount val="1"/>
                <c:pt idx="0">
                  <c:v>0.29360613810741687</c:v>
                </c:pt>
              </c:numCache>
            </c:numRef>
          </c:val>
          <c:extLst>
            <c:ext xmlns:c16="http://schemas.microsoft.com/office/drawing/2014/chart" uri="{C3380CC4-5D6E-409C-BE32-E72D297353CC}">
              <c16:uniqueId val="{00000004-9CC3-4250-BF15-ECEEF324D859}"/>
            </c:ext>
          </c:extLst>
        </c:ser>
        <c:ser>
          <c:idx val="1"/>
          <c:order val="1"/>
          <c:tx>
            <c:strRef>
              <c:f>C_IND!$B$9</c:f>
              <c:strCache>
                <c:ptCount val="1"/>
                <c:pt idx="0">
                  <c:v>Pequeña empresa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C_IND!$L$9</c:f>
              <c:numCache>
                <c:formatCode>0%</c:formatCode>
                <c:ptCount val="1"/>
                <c:pt idx="0">
                  <c:v>0.22762148337595908</c:v>
                </c:pt>
              </c:numCache>
            </c:numRef>
          </c:val>
          <c:extLst>
            <c:ext xmlns:c16="http://schemas.microsoft.com/office/drawing/2014/chart" uri="{C3380CC4-5D6E-409C-BE32-E72D297353CC}">
              <c16:uniqueId val="{00000005-9CC3-4250-BF15-ECEEF324D859}"/>
            </c:ext>
          </c:extLst>
        </c:ser>
        <c:ser>
          <c:idx val="2"/>
          <c:order val="2"/>
          <c:tx>
            <c:strRef>
              <c:f>C_IND!$B$10</c:f>
              <c:strCache>
                <c:ptCount val="1"/>
                <c:pt idx="0">
                  <c:v>Mediana empresa</c:v>
                </c:pt>
              </c:strCache>
            </c:strRef>
          </c:tx>
          <c:spPr>
            <a:gradFill flip="none" rotWithShape="1">
              <a:gsLst>
                <a:gs pos="0">
                  <a:schemeClr val="accent3"/>
                </a:gs>
                <a:gs pos="75000">
                  <a:schemeClr val="accent3">
                    <a:lumMod val="60000"/>
                    <a:lumOff val="40000"/>
                  </a:schemeClr>
                </a:gs>
                <a:gs pos="51000">
                  <a:schemeClr val="accent3">
                    <a:alpha val="75000"/>
                  </a:schemeClr>
                </a:gs>
                <a:gs pos="100000">
                  <a:schemeClr val="accent3">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C_IND!$L$10</c:f>
              <c:numCache>
                <c:formatCode>0%</c:formatCode>
                <c:ptCount val="1"/>
                <c:pt idx="0">
                  <c:v>0.25677749360613811</c:v>
                </c:pt>
              </c:numCache>
            </c:numRef>
          </c:val>
          <c:extLst>
            <c:ext xmlns:c16="http://schemas.microsoft.com/office/drawing/2014/chart" uri="{C3380CC4-5D6E-409C-BE32-E72D297353CC}">
              <c16:uniqueId val="{00000006-9CC3-4250-BF15-ECEEF324D859}"/>
            </c:ext>
          </c:extLst>
        </c:ser>
        <c:ser>
          <c:idx val="3"/>
          <c:order val="3"/>
          <c:tx>
            <c:strRef>
              <c:f>C_IND!$B$11</c:f>
              <c:strCache>
                <c:ptCount val="1"/>
                <c:pt idx="0">
                  <c:v>Gran empresa</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C_IND!$L$11</c:f>
              <c:numCache>
                <c:formatCode>0%</c:formatCode>
                <c:ptCount val="1"/>
                <c:pt idx="0">
                  <c:v>0.21585677749360613</c:v>
                </c:pt>
              </c:numCache>
            </c:numRef>
          </c:val>
          <c:extLst>
            <c:ext xmlns:c16="http://schemas.microsoft.com/office/drawing/2014/chart" uri="{C3380CC4-5D6E-409C-BE32-E72D297353CC}">
              <c16:uniqueId val="{00000007-9CC3-4250-BF15-ECEEF324D859}"/>
            </c:ext>
          </c:extLst>
        </c:ser>
        <c:ser>
          <c:idx val="4"/>
          <c:order val="4"/>
          <c:tx>
            <c:strRef>
              <c:f>C_IND!$B$12</c:f>
              <c:strCache>
                <c:ptCount val="1"/>
                <c:pt idx="0">
                  <c:v>Inf No Detallada</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C_IND!$L$12</c:f>
              <c:numCache>
                <c:formatCode>0%</c:formatCode>
                <c:ptCount val="1"/>
                <c:pt idx="0">
                  <c:v>6.1381074168797957E-3</c:v>
                </c:pt>
              </c:numCache>
            </c:numRef>
          </c:val>
          <c:extLst>
            <c:ext xmlns:c16="http://schemas.microsoft.com/office/drawing/2014/chart" uri="{C3380CC4-5D6E-409C-BE32-E72D297353CC}">
              <c16:uniqueId val="{00000008-9CC3-4250-BF15-ECEEF324D859}"/>
            </c:ext>
          </c:extLst>
        </c:ser>
        <c:dLbls>
          <c:showLegendKey val="0"/>
          <c:showVal val="1"/>
          <c:showCatName val="0"/>
          <c:showSerName val="0"/>
          <c:showPercent val="0"/>
          <c:showBubbleSize val="0"/>
        </c:dLbls>
        <c:gapWidth val="355"/>
        <c:overlap val="-70"/>
        <c:axId val="1107516495"/>
        <c:axId val="1107517455"/>
      </c:barChart>
      <c:catAx>
        <c:axId val="110751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7455"/>
        <c:crosses val="autoZero"/>
        <c:auto val="1"/>
        <c:lblAlgn val="ctr"/>
        <c:lblOffset val="100"/>
        <c:noMultiLvlLbl val="0"/>
      </c:catAx>
      <c:valAx>
        <c:axId val="1107517455"/>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649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s-MX"/>
              <a:t>Cumplimiento Criterios Evaluación</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es-CO"/>
        </a:p>
      </c:txPr>
    </c:title>
    <c:autoTitleDeleted val="0"/>
    <c:view3D>
      <c:rotX val="30"/>
      <c:rotY val="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a:gsLst>
                  <a:gs pos="100000">
                    <a:schemeClr val="accent1">
                      <a:lumMod val="60000"/>
                      <a:lumOff val="40000"/>
                    </a:schemeClr>
                  </a:gs>
                  <a:gs pos="0">
                    <a:schemeClr val="accent1"/>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1-662E-48D1-A32C-0005015756B3}"/>
              </c:ext>
            </c:extLst>
          </c:dPt>
          <c:dPt>
            <c:idx val="1"/>
            <c:bubble3D val="0"/>
            <c:spPr>
              <a:gradFill>
                <a:gsLst>
                  <a:gs pos="100000">
                    <a:schemeClr val="accent2">
                      <a:lumMod val="60000"/>
                      <a:lumOff val="40000"/>
                    </a:schemeClr>
                  </a:gs>
                  <a:gs pos="0">
                    <a:schemeClr val="accent2"/>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3-662E-48D1-A32C-0005015756B3}"/>
              </c:ext>
            </c:extLst>
          </c:dPt>
          <c:dPt>
            <c:idx val="2"/>
            <c:bubble3D val="0"/>
            <c:spPr>
              <a:gradFill>
                <a:gsLst>
                  <a:gs pos="100000">
                    <a:schemeClr val="accent3">
                      <a:lumMod val="60000"/>
                      <a:lumOff val="40000"/>
                    </a:schemeClr>
                  </a:gs>
                  <a:gs pos="0">
                    <a:schemeClr val="accent3"/>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5-662E-48D1-A32C-0005015756B3}"/>
              </c:ext>
            </c:extLst>
          </c:dPt>
          <c:dPt>
            <c:idx val="3"/>
            <c:bubble3D val="0"/>
            <c:spPr>
              <a:gradFill>
                <a:gsLst>
                  <a:gs pos="100000">
                    <a:schemeClr val="accent4">
                      <a:lumMod val="60000"/>
                      <a:lumOff val="40000"/>
                    </a:schemeClr>
                  </a:gs>
                  <a:gs pos="0">
                    <a:schemeClr val="accent4"/>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7-662E-48D1-A32C-0005015756B3}"/>
              </c:ext>
            </c:extLst>
          </c:dPt>
          <c:dPt>
            <c:idx val="4"/>
            <c:bubble3D val="0"/>
            <c:spPr>
              <a:gradFill>
                <a:gsLst>
                  <a:gs pos="100000">
                    <a:schemeClr val="accent5">
                      <a:lumMod val="60000"/>
                      <a:lumOff val="40000"/>
                    </a:schemeClr>
                  </a:gs>
                  <a:gs pos="0">
                    <a:schemeClr val="accent5"/>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9-662E-48D1-A32C-0005015756B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CO"/>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Graficos!$C$18:$C$22</c:f>
              <c:strCache>
                <c:ptCount val="5"/>
                <c:pt idx="0">
                  <c:v>Apoyo Ind. Nacional</c:v>
                </c:pt>
                <c:pt idx="1">
                  <c:v>Discapacidad</c:v>
                </c:pt>
                <c:pt idx="2">
                  <c:v>OCCRE</c:v>
                </c:pt>
                <c:pt idx="3">
                  <c:v>Emprendimiento y E. Mujeres</c:v>
                </c:pt>
                <c:pt idx="4">
                  <c:v>Mipymes</c:v>
                </c:pt>
              </c:strCache>
            </c:strRef>
          </c:cat>
          <c:val>
            <c:numRef>
              <c:f>Graficos!$D$18:$D$22</c:f>
              <c:numCache>
                <c:formatCode>0%</c:formatCode>
                <c:ptCount val="5"/>
                <c:pt idx="0">
                  <c:v>1</c:v>
                </c:pt>
                <c:pt idx="1">
                  <c:v>0.6875</c:v>
                </c:pt>
                <c:pt idx="2">
                  <c:v>0</c:v>
                </c:pt>
                <c:pt idx="3">
                  <c:v>0.9375</c:v>
                </c:pt>
                <c:pt idx="4">
                  <c:v>0.9375</c:v>
                </c:pt>
              </c:numCache>
            </c:numRef>
          </c:val>
          <c:extLst>
            <c:ext xmlns:c16="http://schemas.microsoft.com/office/drawing/2014/chart" uri="{C3380CC4-5D6E-409C-BE32-E72D297353CC}">
              <c16:uniqueId val="{0000000A-662E-48D1-A32C-0005015756B3}"/>
            </c:ext>
          </c:extLst>
        </c:ser>
        <c:dLbls>
          <c:dLblPos val="inEnd"/>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[CN_SECOP_II.xlsx]TD!TablaDinámica1</c:name>
    <c:fmtId val="-1"/>
  </c:pivotSource>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Tipo de contratista</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TD!$H$12</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TD!$G$13:$G$16</c:f>
              <c:strCache>
                <c:ptCount val="3"/>
                <c:pt idx="0">
                  <c:v>Consorcio</c:v>
                </c:pt>
                <c:pt idx="1">
                  <c:v>Individual</c:v>
                </c:pt>
                <c:pt idx="2">
                  <c:v>Unión temporal</c:v>
                </c:pt>
              </c:strCache>
            </c:strRef>
          </c:cat>
          <c:val>
            <c:numRef>
              <c:f>TD!$H$13:$H$16</c:f>
              <c:numCache>
                <c:formatCode>General</c:formatCode>
                <c:ptCount val="3"/>
                <c:pt idx="0">
                  <c:v>1080</c:v>
                </c:pt>
                <c:pt idx="1">
                  <c:v>2539</c:v>
                </c:pt>
                <c:pt idx="2">
                  <c:v>157</c:v>
                </c:pt>
              </c:numCache>
            </c:numRef>
          </c:val>
          <c:extLst>
            <c:ext xmlns:c16="http://schemas.microsoft.com/office/drawing/2014/chart" uri="{C3380CC4-5D6E-409C-BE32-E72D297353CC}">
              <c16:uniqueId val="{00000000-ABC1-4DCB-8941-7F5B83D1BB36}"/>
            </c:ext>
          </c:extLst>
        </c:ser>
        <c:dLbls>
          <c:dLblPos val="outEnd"/>
          <c:showLegendKey val="0"/>
          <c:showVal val="1"/>
          <c:showCatName val="0"/>
          <c:showSerName val="0"/>
          <c:showPercent val="0"/>
          <c:showBubbleSize val="0"/>
        </c:dLbls>
        <c:gapWidth val="219"/>
        <c:overlap val="-27"/>
        <c:axId val="1719622064"/>
        <c:axId val="1719615344"/>
      </c:barChart>
      <c:catAx>
        <c:axId val="17196220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719615344"/>
        <c:crosses val="autoZero"/>
        <c:auto val="1"/>
        <c:lblAlgn val="ctr"/>
        <c:lblOffset val="100"/>
        <c:noMultiLvlLbl val="0"/>
      </c:catAx>
      <c:valAx>
        <c:axId val="1719615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7196220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[CN_SECOP_II.xlsx]TD_2!TablaDinámica2</c:name>
    <c:fmtId val="-1"/>
  </c:pivotSource>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Tipo de contratista</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TD_2!$G$4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TD_2!$F$5:$F$8</c:f>
              <c:strCache>
                <c:ptCount val="3"/>
                <c:pt idx="0">
                  <c:v>Consorcio</c:v>
                </c:pt>
                <c:pt idx="1">
                  <c:v>Individual</c:v>
                </c:pt>
                <c:pt idx="2">
                  <c:v>Unión temporal</c:v>
                </c:pt>
              </c:strCache>
            </c:strRef>
          </c:cat>
          <c:val>
            <c:numRef>
              <c:f>TD_2!$G$5:$G$8</c:f>
              <c:numCache>
                <c:formatCode>General</c:formatCode>
                <c:ptCount val="3"/>
                <c:pt idx="0">
                  <c:v>227</c:v>
                </c:pt>
                <c:pt idx="1">
                  <c:v>57</c:v>
                </c:pt>
                <c:pt idx="2">
                  <c:v>26</c:v>
                </c:pt>
              </c:numCache>
            </c:numRef>
          </c:val>
          <c:extLst>
            <c:ext xmlns:c16="http://schemas.microsoft.com/office/drawing/2014/chart" uri="{C3380CC4-5D6E-409C-BE32-E72D297353CC}">
              <c16:uniqueId val="{00000000-6964-44EE-83CC-4C6A4790BF7E}"/>
            </c:ext>
          </c:extLst>
        </c:ser>
        <c:dLbls>
          <c:dLblPos val="outEnd"/>
          <c:showLegendKey val="0"/>
          <c:showVal val="1"/>
          <c:showCatName val="0"/>
          <c:showSerName val="0"/>
          <c:showPercent val="0"/>
          <c:showBubbleSize val="0"/>
        </c:dLbls>
        <c:gapWidth val="219"/>
        <c:overlap val="-27"/>
        <c:axId val="1182758400"/>
        <c:axId val="1182770880"/>
      </c:barChart>
      <c:catAx>
        <c:axId val="1182758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182770880"/>
        <c:crosses val="autoZero"/>
        <c:auto val="1"/>
        <c:lblAlgn val="ctr"/>
        <c:lblOffset val="100"/>
        <c:noMultiLvlLbl val="0"/>
      </c:catAx>
      <c:valAx>
        <c:axId val="1182770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1827584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Segmentos'!$C$5</c:f>
              <c:strCache>
                <c:ptCount val="1"/>
                <c:pt idx="0">
                  <c:v>INDICE DE LIQUIDEZ</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Segmentos'!$C$6:$C$9</c:f>
              <c:numCache>
                <c:formatCode>General</c:formatCode>
                <c:ptCount val="4"/>
                <c:pt idx="0">
                  <c:v>8.19</c:v>
                </c:pt>
                <c:pt idx="1">
                  <c:v>4.07</c:v>
                </c:pt>
                <c:pt idx="2">
                  <c:v>3.92</c:v>
                </c:pt>
                <c:pt idx="3" formatCode="0.00">
                  <c:v>3.2</c:v>
                </c:pt>
              </c:numCache>
            </c:numRef>
          </c:val>
          <c:smooth val="0"/>
          <c:extLst>
            <c:ext xmlns:c16="http://schemas.microsoft.com/office/drawing/2014/chart" uri="{C3380CC4-5D6E-409C-BE32-E72D297353CC}">
              <c16:uniqueId val="{00000000-622E-45B6-A7C4-FDE8A7B1AFF7}"/>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Segmentos'!$E$5</c:f>
              <c:strCache>
                <c:ptCount val="1"/>
                <c:pt idx="0">
                  <c:v>RAZON COBERTURA INTERESES</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Segmentos'!$E$6:$E$9</c:f>
              <c:numCache>
                <c:formatCode>General</c:formatCode>
                <c:ptCount val="4"/>
                <c:pt idx="0">
                  <c:v>3.05</c:v>
                </c:pt>
                <c:pt idx="1">
                  <c:v>6.76</c:v>
                </c:pt>
                <c:pt idx="2">
                  <c:v>6.96</c:v>
                </c:pt>
                <c:pt idx="3">
                  <c:v>4.88</c:v>
                </c:pt>
              </c:numCache>
            </c:numRef>
          </c:val>
          <c:smooth val="0"/>
          <c:extLst>
            <c:ext xmlns:c16="http://schemas.microsoft.com/office/drawing/2014/chart" uri="{C3380CC4-5D6E-409C-BE32-E72D297353CC}">
              <c16:uniqueId val="{00000000-810B-40FF-AE2A-B54E30F50121}"/>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Segmentos'!$D$5</c:f>
              <c:strCache>
                <c:ptCount val="1"/>
                <c:pt idx="0">
                  <c:v>INDICE DE ENDEUDAMIENTO</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Segmentos'!$D$6:$D$9</c:f>
              <c:numCache>
                <c:formatCode>General</c:formatCode>
                <c:ptCount val="4"/>
                <c:pt idx="0">
                  <c:v>0.49</c:v>
                </c:pt>
                <c:pt idx="1">
                  <c:v>0.49</c:v>
                </c:pt>
                <c:pt idx="2" formatCode="0.00">
                  <c:v>0.5</c:v>
                </c:pt>
                <c:pt idx="3">
                  <c:v>0.56999999999999995</c:v>
                </c:pt>
              </c:numCache>
            </c:numRef>
          </c:val>
          <c:smooth val="0"/>
          <c:extLst>
            <c:ext xmlns:c16="http://schemas.microsoft.com/office/drawing/2014/chart" uri="{C3380CC4-5D6E-409C-BE32-E72D297353CC}">
              <c16:uniqueId val="{00000000-684E-42F4-A290-98C058703FDE}"/>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Segmentos'!$F$5</c:f>
              <c:strCache>
                <c:ptCount val="1"/>
                <c:pt idx="0">
                  <c:v>CAPITAL DE TRABAJO (miles de pesos)</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Segmentos'!$F$6:$F$9</c:f>
              <c:numCache>
                <c:formatCode>"$"\ #,##0</c:formatCode>
                <c:ptCount val="4"/>
                <c:pt idx="0">
                  <c:v>1352797.63</c:v>
                </c:pt>
                <c:pt idx="1">
                  <c:v>2331755.15</c:v>
                </c:pt>
                <c:pt idx="2">
                  <c:v>6229303.0099999998</c:v>
                </c:pt>
                <c:pt idx="3">
                  <c:v>21318371.379999999</c:v>
                </c:pt>
              </c:numCache>
            </c:numRef>
          </c:val>
          <c:smooth val="0"/>
          <c:extLst>
            <c:ext xmlns:c16="http://schemas.microsoft.com/office/drawing/2014/chart" uri="{C3380CC4-5D6E-409C-BE32-E72D297353CC}">
              <c16:uniqueId val="{00000000-DB57-49E2-B24D-6775ACBE5E2B}"/>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quot;$&quot;\ #,##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Segmentos'!$G$5</c:f>
              <c:strCache>
                <c:ptCount val="1"/>
                <c:pt idx="0">
                  <c:v>PATRIMONIO (miles de pesos)</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Segmentos'!$G$6:$G$9</c:f>
              <c:numCache>
                <c:formatCode>"$"\ #,##0</c:formatCode>
                <c:ptCount val="4"/>
                <c:pt idx="0">
                  <c:v>1656114.94</c:v>
                </c:pt>
                <c:pt idx="1">
                  <c:v>2603261.64</c:v>
                </c:pt>
                <c:pt idx="2">
                  <c:v>5961613.8399999999</c:v>
                </c:pt>
                <c:pt idx="3">
                  <c:v>21482018.100000001</c:v>
                </c:pt>
              </c:numCache>
            </c:numRef>
          </c:val>
          <c:smooth val="0"/>
          <c:extLst>
            <c:ext xmlns:c16="http://schemas.microsoft.com/office/drawing/2014/chart" uri="{C3380CC4-5D6E-409C-BE32-E72D297353CC}">
              <c16:uniqueId val="{00000000-6517-4F11-BC6E-A3CEB1DD6BB5}"/>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quot;$&quot;\ #,##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title>
    <c:autoTitleDeleted val="0"/>
    <c:plotArea>
      <c:layout/>
      <c:lineChart>
        <c:grouping val="stacked"/>
        <c:varyColors val="0"/>
        <c:ser>
          <c:idx val="0"/>
          <c:order val="0"/>
          <c:tx>
            <c:strRef>
              <c:f>'Promedio acotado Segmentos'!$H$5</c:f>
              <c:strCache>
                <c:ptCount val="1"/>
                <c:pt idx="0">
                  <c:v>RENTABILIDAD SOBRE PATRIMONIO</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50000"/>
                        <a:lumOff val="50000"/>
                      </a:schemeClr>
                    </a:solidFill>
                    <a:latin typeface="Arial Narrow" panose="020B060602020203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'Promedio acotado Segmentos'!$B$6:$B$9</c:f>
              <c:strCache>
                <c:ptCount val="4"/>
                <c:pt idx="0">
                  <c:v>Microempresa</c:v>
                </c:pt>
                <c:pt idx="1">
                  <c:v>Pequeña empresa</c:v>
                </c:pt>
                <c:pt idx="2">
                  <c:v>Mediana empresa</c:v>
                </c:pt>
                <c:pt idx="3">
                  <c:v>Gran empresa</c:v>
                </c:pt>
              </c:strCache>
            </c:strRef>
          </c:cat>
          <c:val>
            <c:numRef>
              <c:f>'Promedio acotado Segmentos'!$H$6:$H$9</c:f>
              <c:numCache>
                <c:formatCode>General</c:formatCode>
                <c:ptCount val="4"/>
                <c:pt idx="0">
                  <c:v>0.04</c:v>
                </c:pt>
                <c:pt idx="1">
                  <c:v>0.15</c:v>
                </c:pt>
                <c:pt idx="2" formatCode="0.00">
                  <c:v>0.2</c:v>
                </c:pt>
                <c:pt idx="3" formatCode="0.00">
                  <c:v>0.25</c:v>
                </c:pt>
              </c:numCache>
            </c:numRef>
          </c:val>
          <c:smooth val="0"/>
          <c:extLst>
            <c:ext xmlns:c16="http://schemas.microsoft.com/office/drawing/2014/chart" uri="{C3380CC4-5D6E-409C-BE32-E72D297353CC}">
              <c16:uniqueId val="{00000000-FF5D-4BA3-BE27-0A71B7D4C381}"/>
            </c:ext>
          </c:extLst>
        </c:ser>
        <c:dLbls>
          <c:dLblPos val="t"/>
          <c:showLegendKey val="0"/>
          <c:showVal val="1"/>
          <c:showCatName val="0"/>
          <c:showSerName val="0"/>
          <c:showPercent val="0"/>
          <c:showBubbleSize val="0"/>
        </c:dLbls>
        <c:marker val="1"/>
        <c:smooth val="0"/>
        <c:axId val="1665439632"/>
        <c:axId val="1665438192"/>
      </c:lineChart>
      <c:catAx>
        <c:axId val="1665439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cap="all" spc="120" normalizeH="0" baseline="0">
                <a:solidFill>
                  <a:schemeClr val="tx1">
                    <a:lumMod val="65000"/>
                    <a:lumOff val="35000"/>
                  </a:schemeClr>
                </a:solidFill>
                <a:latin typeface="Arial Narrow" panose="020B0606020202030204" pitchFamily="34" charset="0"/>
                <a:ea typeface="+mn-ea"/>
                <a:cs typeface="+mn-cs"/>
              </a:defRPr>
            </a:pPr>
            <a:endParaRPr lang="es-CO"/>
          </a:p>
        </c:txPr>
        <c:crossAx val="1665438192"/>
        <c:crosses val="autoZero"/>
        <c:auto val="1"/>
        <c:lblAlgn val="ctr"/>
        <c:lblOffset val="100"/>
        <c:noMultiLvlLbl val="0"/>
      </c:catAx>
      <c:valAx>
        <c:axId val="1665438192"/>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s-CO"/>
          </a:p>
        </c:txPr>
        <c:crossAx val="1665439632"/>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sz="800">
          <a:latin typeface="Arial Narrow" panose="020B0606020202030204" pitchFamily="34"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67">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ocumenttasks/documenttasks1.xml><?xml version="1.0" encoding="utf-8"?>
<t:Tasks xmlns:t="http://schemas.microsoft.com/office/tasks/2019/documenttasks" xmlns:oel="http://schemas.microsoft.com/office/2019/extlst">
  <t:Task id="{BA9D9B5C-2ED7-4DE6-BB80-CD87578A8F68}">
    <t:Anchor>
      <t:Comment id="801004700"/>
    </t:Anchor>
    <t:History>
      <t:Event id="{55D29770-627C-42BF-9BEA-5DF2EE43FD85}" time="2024-08-23T21:14:26.228Z">
        <t:Attribution userId="S::martha.romero@colombiacompra.gov.co::1961e835-1baa-4841-a9ea-3923b8667f05" userProvider="AD" userName="Martha Alicia Romero Vargas"/>
        <t:Anchor>
          <t:Comment id="801004700"/>
        </t:Anchor>
        <t:Create/>
      </t:Event>
      <t:Event id="{7FFA2DF4-3AD7-4D82-9B91-17AFEB42E011}" time="2024-08-23T21:14:26.228Z">
        <t:Attribution userId="S::martha.romero@colombiacompra.gov.co::1961e835-1baa-4841-a9ea-3923b8667f05" userProvider="AD" userName="Martha Alicia Romero Vargas"/>
        <t:Anchor>
          <t:Comment id="801004700"/>
        </t:Anchor>
        <t:Assign userId="S::alejandro.gamboa@colombiacompra.gov.co::a69ed65c-89ee-45a3-a643-e6b62744f33a" userProvider="AD" userName="Alejandro Gamboa Cardenas"/>
      </t:Event>
      <t:Event id="{0B57D5AB-2844-4C5B-849A-277D73F37C40}" time="2024-08-23T21:14:26.228Z">
        <t:Attribution userId="S::martha.romero@colombiacompra.gov.co::1961e835-1baa-4841-a9ea-3923b8667f05" userProvider="AD" userName="Martha Alicia Romero Vargas"/>
        <t:Anchor>
          <t:Comment id="801004700"/>
        </t:Anchor>
        <t:SetTitle title="@Alejandro Gamboa Cardenas importante actualizar a 2023"/>
      </t:Event>
    </t:History>
  </t:Task>
  <t:Task id="{B387CEDC-F918-491C-9221-DA03C6F27FB0}">
    <t:Anchor>
      <t:Comment id="2051514427"/>
    </t:Anchor>
    <t:History>
      <t:Event id="{78E7E563-994D-4058-B9EB-71FF1741F3ED}" time="2024-08-23T21:50:29.626Z">
        <t:Attribution userId="S::martha.romero@colombiacompra.gov.co::1961e835-1baa-4841-a9ea-3923b8667f05" userProvider="AD" userName="Martha Alicia Romero Vargas"/>
        <t:Anchor>
          <t:Comment id="2051514427"/>
        </t:Anchor>
        <t:Create/>
      </t:Event>
      <t:Event id="{638B0551-052D-4775-8E83-AC9EF9843727}" time="2024-08-23T21:50:29.626Z">
        <t:Attribution userId="S::martha.romero@colombiacompra.gov.co::1961e835-1baa-4841-a9ea-3923b8667f05" userProvider="AD" userName="Martha Alicia Romero Vargas"/>
        <t:Anchor>
          <t:Comment id="2051514427"/>
        </t:Anchor>
        <t:Assign userId="S::alejandro.gamboa@colombiacompra.gov.co::a69ed65c-89ee-45a3-a643-e6b62744f33a" userProvider="AD" userName="Alejandro Gamboa Cardenas"/>
      </t:Event>
      <t:Event id="{FF71DED2-DC18-4CC0-BC92-BA7BB91BDA52}" time="2024-08-23T21:50:29.626Z">
        <t:Attribution userId="S::martha.romero@colombiacompra.gov.co::1961e835-1baa-4841-a9ea-3923b8667f05" userProvider="AD" userName="Martha Alicia Romero Vargas"/>
        <t:Anchor>
          <t:Comment id="2051514427"/>
        </t:Anchor>
        <t:SetTitle title="@Alejandro Gamboa Cardenas esta información ya esta arriba por favor revisar y unificar"/>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6cb9e4b-f1d1-4245-83ec-6cad768d538a">
      <UserInfo>
        <DisplayName>Kevin Arlid Herrera Santa</DisplayName>
        <AccountId>353</AccountId>
        <AccountType/>
      </UserInfo>
      <UserInfo>
        <DisplayName>Alejandro Gamboa Cardenas</DisplayName>
        <AccountId>2942</AccountId>
        <AccountType/>
      </UserInfo>
      <UserInfo>
        <DisplayName>Sergio Enrique Caballero Lesmes</DisplayName>
        <AccountId>1562</AccountId>
        <AccountType/>
      </UserInfo>
      <UserInfo>
        <DisplayName>Gabriel Alejandro Murcia Taboada</DisplayName>
        <AccountId>983</AccountId>
        <AccountType/>
      </UserInfo>
      <UserInfo>
        <DisplayName>Martha Alicia Romero Vargas</DisplayName>
        <AccountId>1497</AccountId>
        <AccountType/>
      </UserInfo>
      <UserInfo>
        <DisplayName>Juan David Cárdenas Cabeza</DisplayName>
        <AccountId>1893</AccountId>
        <AccountType/>
      </UserInfo>
      <UserInfo>
        <DisplayName>Lida Milena Guanumen Pacheco</DisplayName>
        <AccountId>1658</AccountId>
        <AccountType/>
      </UserInfo>
      <UserInfo>
        <DisplayName>Adriana Katerine Lopez Rodriguez</DisplayName>
        <AccountId>2749</AccountId>
        <AccountType/>
      </UserInfo>
      <UserInfo>
        <DisplayName>Alexandra Rodriguez Motta</DisplayName>
        <AccountId>1671</AccountId>
        <AccountType/>
      </UserInfo>
      <UserInfo>
        <DisplayName>Cesar Augusto Henao Trujillo</DisplayName>
        <AccountId>2937</AccountId>
        <AccountType/>
      </UserInfo>
    </SharedWithUsers>
    <No xmlns="9d85dbaf-23eb-4e57-a637-93dcacc8b1a1" xsi:nil="true"/>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go:docsCustomData xmlns:go="http://customooxmlschemas.google.com/" roundtripDataSignature="AMtx7mjEPQ3vR+2Gp1iRq532yTinTjM9CA==">AMUW2mUGTfk7K3W/1iR+gzGuk+QM1CZf18fclOUtmTfAOfMFTlR/W2K53hUi4x5zeZN4sIuzZmpWz9iQV3XESlQvvB4no2cR7Jv8qP3H/4/ubOlZ76FvtnthDOyfJ1/en3Qm+xpvQ2+WNVhf/Oo8bcqCQ9oGBMt7Dk14KtJMgZZxx7LuJBNEJI5M3g1DBI2AKmy13C+MJHMq</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F7D86-B64A-45A2-BB78-D59446BDAAAE}">
  <ds:schemaRefs>
    <ds:schemaRef ds:uri="http://www.w3.org/XML/1998/namespace"/>
    <ds:schemaRef ds:uri="http://purl.org/dc/elements/1.1/"/>
    <ds:schemaRef ds:uri="9d85dbaf-23eb-4e57-a637-93dcacc8b1a1"/>
    <ds:schemaRef ds:uri="http://schemas.microsoft.com/office/2006/metadata/properties"/>
    <ds:schemaRef ds:uri="a6cb9e4b-f1d1-4245-83ec-6cad768d538a"/>
    <ds:schemaRef ds:uri="http://purl.org/dc/terms/"/>
    <ds:schemaRef ds:uri="http://purl.org/dc/dcmitype/"/>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F7D8CBC9-FE72-4B7A-A122-1FC179DAAC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8A9D62-9B94-40F9-A761-2454E7AFEFBE}">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50C33FBB-2C1C-49A0-BEA3-9E2AEB2F0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149</Pages>
  <Words>32085</Words>
  <Characters>176471</Characters>
  <Application>Microsoft Office Word</Application>
  <DocSecurity>0</DocSecurity>
  <Lines>1470</Lines>
  <Paragraphs>416</Paragraphs>
  <ScaleCrop>false</ScaleCrop>
  <Company/>
  <LinksUpToDate>false</LinksUpToDate>
  <CharactersWithSpaces>208140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Helena Alexandra Acevedo Villalba</dc:creator>
  <cp:keywords/>
  <cp:lastModifiedBy>Juan David Cárdenas Cabeza</cp:lastModifiedBy>
  <cp:revision>376</cp:revision>
  <dcterms:created xsi:type="dcterms:W3CDTF">2024-09-02T16:54:00Z</dcterms:created>
  <dcterms:modified xsi:type="dcterms:W3CDTF">2025-04-28T18:05:00Z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19896300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