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478C2" w14:textId="77777777" w:rsidR="00A05934" w:rsidRDefault="00A05934" w:rsidP="00C50568">
      <w:pPr>
        <w:spacing w:line="240" w:lineRule="auto"/>
        <w:ind w:right="27"/>
        <w:jc w:val="both"/>
        <w:rPr>
          <w:rFonts w:eastAsia="Arial Narrow" w:cs="Arial"/>
          <w:color w:val="000000" w:themeColor="text1"/>
          <w:szCs w:val="20"/>
          <w:highlight w:val="lightGray"/>
          <w:lang w:eastAsia="es-ES"/>
        </w:rPr>
      </w:pPr>
    </w:p>
    <w:p w14:paraId="6AA8725C" w14:textId="10297722" w:rsidR="00C50568" w:rsidRPr="00C50568" w:rsidRDefault="00C50568" w:rsidP="00C50568">
      <w:pPr>
        <w:spacing w:line="240" w:lineRule="auto"/>
        <w:ind w:right="27"/>
        <w:jc w:val="both"/>
        <w:rPr>
          <w:rFonts w:eastAsia="Arial Narrow" w:cs="Arial"/>
          <w:color w:val="000000" w:themeColor="text1"/>
          <w:szCs w:val="20"/>
          <w:highlight w:val="lightGray"/>
          <w:lang w:eastAsia="es-ES"/>
        </w:rPr>
      </w:pPr>
      <w:r w:rsidRPr="00C50568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[</w:t>
      </w:r>
      <w:r w:rsidRPr="00C50568">
        <w:rPr>
          <w:rFonts w:cs="Arial"/>
          <w:b/>
          <w:color w:val="auto"/>
          <w:szCs w:val="20"/>
          <w:highlight w:val="lightGray"/>
        </w:rPr>
        <w:t xml:space="preserve">Número del Proceso de Contratación] </w:t>
      </w:r>
    </w:p>
    <w:p w14:paraId="5B382D67" w14:textId="3EAC70E3" w:rsidR="00C50568" w:rsidRPr="00EE481E" w:rsidRDefault="00C50568" w:rsidP="48850BAF">
      <w:pPr>
        <w:widowControl w:val="0"/>
        <w:tabs>
          <w:tab w:val="left" w:pos="7780"/>
        </w:tabs>
        <w:autoSpaceDE w:val="0"/>
        <w:autoSpaceDN w:val="0"/>
        <w:adjustRightInd w:val="0"/>
        <w:spacing w:after="120" w:line="200" w:lineRule="exact"/>
        <w:ind w:right="-23"/>
        <w:jc w:val="center"/>
        <w:rPr>
          <w:rFonts w:cs="Arial"/>
          <w:b/>
          <w:bCs/>
          <w:color w:val="000000" w:themeColor="text1"/>
        </w:rPr>
      </w:pPr>
      <w:r w:rsidRPr="48850BAF">
        <w:rPr>
          <w:rFonts w:cs="Arial"/>
          <w:b/>
          <w:bCs/>
          <w:color w:val="000000" w:themeColor="text1"/>
        </w:rPr>
        <w:t xml:space="preserve">ANEXO </w:t>
      </w:r>
      <w:r w:rsidR="2E2F68CA" w:rsidRPr="48850BAF">
        <w:rPr>
          <w:rFonts w:cs="Arial"/>
          <w:b/>
          <w:bCs/>
          <w:color w:val="000000" w:themeColor="text1"/>
        </w:rPr>
        <w:t>4</w:t>
      </w:r>
    </w:p>
    <w:p w14:paraId="1532BD89" w14:textId="18A05029" w:rsidR="00C50568" w:rsidRPr="00EE481E" w:rsidRDefault="00C50568" w:rsidP="00C50568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center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AVISO LIMITACIÓN DEL </w:t>
      </w:r>
      <w:r w:rsidR="00ED60D6">
        <w:rPr>
          <w:rFonts w:cs="Arial"/>
          <w:b/>
          <w:color w:val="000000" w:themeColor="text1"/>
          <w:szCs w:val="20"/>
        </w:rPr>
        <w:t>PROCESO DE CONTRATACIÓN A MIPYME</w:t>
      </w:r>
    </w:p>
    <w:p w14:paraId="3FD53E5C" w14:textId="77777777" w:rsidR="00C22712" w:rsidRDefault="00C22712" w:rsidP="00C22712">
      <w:pPr>
        <w:spacing w:line="240" w:lineRule="auto"/>
        <w:ind w:right="27"/>
        <w:jc w:val="both"/>
        <w:rPr>
          <w:rFonts w:eastAsia="Arial Narrow" w:cs="Arial"/>
          <w:color w:val="000000" w:themeColor="text1"/>
          <w:szCs w:val="20"/>
          <w:highlight w:val="yellow"/>
          <w:lang w:eastAsia="es-ES"/>
        </w:rPr>
      </w:pPr>
    </w:p>
    <w:p w14:paraId="78D05B6D" w14:textId="5FEED4C4" w:rsidR="00C22712" w:rsidRPr="00ED60D6" w:rsidRDefault="00ED60D6" w:rsidP="00C22712">
      <w:pPr>
        <w:spacing w:line="240" w:lineRule="auto"/>
        <w:ind w:right="27"/>
        <w:jc w:val="both"/>
        <w:rPr>
          <w:rFonts w:eastAsia="Arial Narrow" w:cs="Arial"/>
          <w:color w:val="000000" w:themeColor="text1"/>
          <w:szCs w:val="20"/>
          <w:highlight w:val="lightGray"/>
          <w:lang w:eastAsia="es-ES"/>
        </w:rPr>
      </w:pPr>
      <w:r w:rsidRPr="00ED60D6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[L</w:t>
      </w:r>
      <w:r w:rsidR="00C22712" w:rsidRPr="00ED60D6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a Entidad, en atención a las solicitudes realizadas por los interesados para limitar la convocatoria a </w:t>
      </w:r>
      <w:proofErr w:type="spellStart"/>
      <w:r w:rsidR="00C22712" w:rsidRPr="00ED60D6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Mipyme</w:t>
      </w:r>
      <w:proofErr w:type="spellEnd"/>
      <w:r w:rsidR="00C22712" w:rsidRPr="00ED60D6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, incluirá alguna de las dos (2) opciones:] </w:t>
      </w:r>
    </w:p>
    <w:p w14:paraId="08071CFD" w14:textId="77777777" w:rsidR="005C1BC1" w:rsidRDefault="00C22712" w:rsidP="00C22712">
      <w:pPr>
        <w:spacing w:line="240" w:lineRule="auto"/>
        <w:ind w:right="27"/>
        <w:jc w:val="both"/>
        <w:rPr>
          <w:rFonts w:eastAsia="Arial Narrow" w:cs="Arial"/>
          <w:color w:val="000000" w:themeColor="text1"/>
          <w:szCs w:val="20"/>
          <w:lang w:eastAsia="es-ES"/>
        </w:rPr>
      </w:pPr>
      <w:r w:rsidRPr="00ED60D6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[Si procede la limitación de las convocatorias del Proceso de Contratación a </w:t>
      </w:r>
      <w:proofErr w:type="spellStart"/>
      <w:r w:rsidRPr="00ED60D6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Mipyme</w:t>
      </w:r>
      <w:proofErr w:type="spellEnd"/>
      <w:r w:rsidRPr="00ED60D6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] </w:t>
      </w:r>
      <w:r w:rsidRPr="00ED60D6">
        <w:rPr>
          <w:rFonts w:eastAsia="Arial Narrow" w:cs="Arial"/>
          <w:color w:val="000000" w:themeColor="text1"/>
          <w:szCs w:val="20"/>
          <w:lang w:eastAsia="es-ES"/>
        </w:rPr>
        <w:t xml:space="preserve">La Entidad limita la convocatoria de este Proceso de Contratación a las </w:t>
      </w:r>
      <w:proofErr w:type="spellStart"/>
      <w:r w:rsidRPr="00ED60D6">
        <w:rPr>
          <w:rFonts w:eastAsia="Arial Narrow" w:cs="Arial"/>
          <w:color w:val="000000" w:themeColor="text1"/>
          <w:szCs w:val="20"/>
          <w:lang w:eastAsia="es-ES"/>
        </w:rPr>
        <w:t>Mipyme</w:t>
      </w:r>
      <w:proofErr w:type="spellEnd"/>
      <w:r w:rsidRPr="00ED60D6">
        <w:rPr>
          <w:rFonts w:eastAsia="Arial Narrow" w:cs="Arial"/>
          <w:color w:val="000000" w:themeColor="text1"/>
          <w:szCs w:val="20"/>
          <w:lang w:eastAsia="es-ES"/>
        </w:rPr>
        <w:t xml:space="preserve"> colombianas por haberse verificado las condiciones establecidas en los artículos 2.2.1.2.4.2.2. y 2.2.1.2.4.2.4 del Decreto 1082 de 2015 o la norma que lo modifique, complemente o sustituya.</w:t>
      </w:r>
    </w:p>
    <w:p w14:paraId="6C506240" w14:textId="37EFF9B5" w:rsidR="00C22712" w:rsidRPr="00ED60D6" w:rsidRDefault="005C1BC1" w:rsidP="00C22712">
      <w:pPr>
        <w:spacing w:line="240" w:lineRule="auto"/>
        <w:ind w:right="27"/>
        <w:jc w:val="both"/>
        <w:rPr>
          <w:rFonts w:eastAsia="Arial Narrow" w:cs="Arial"/>
          <w:color w:val="000000" w:themeColor="text1"/>
          <w:szCs w:val="20"/>
          <w:lang w:eastAsia="es-ES"/>
        </w:rPr>
      </w:pPr>
      <w:r>
        <w:rPr>
          <w:rFonts w:eastAsia="Arial Narrow" w:cs="Arial"/>
          <w:color w:val="000000" w:themeColor="text1"/>
          <w:szCs w:val="20"/>
          <w:lang w:eastAsia="es-ES"/>
        </w:rPr>
        <w:t xml:space="preserve">En tal sentido, la Entidad verificó que las siguientes </w:t>
      </w:r>
      <w:proofErr w:type="spellStart"/>
      <w:r>
        <w:rPr>
          <w:rFonts w:eastAsia="Arial Narrow" w:cs="Arial"/>
          <w:color w:val="000000" w:themeColor="text1"/>
          <w:szCs w:val="20"/>
          <w:lang w:eastAsia="es-ES"/>
        </w:rPr>
        <w:t>Mipyme</w:t>
      </w:r>
      <w:proofErr w:type="spellEnd"/>
      <w:r>
        <w:rPr>
          <w:rFonts w:eastAsia="Arial Narrow" w:cs="Arial"/>
          <w:color w:val="000000" w:themeColor="text1"/>
          <w:szCs w:val="20"/>
          <w:lang w:eastAsia="es-ES"/>
        </w:rPr>
        <w:t xml:space="preserve"> </w:t>
      </w:r>
      <w:r w:rsidRPr="00E228AA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[Indicar </w:t>
      </w:r>
      <w:r w:rsidR="00A96ADF" w:rsidRPr="00E228AA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el nombre de las </w:t>
      </w:r>
      <w:r w:rsidR="00B92C9A" w:rsidRPr="00E228AA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dos (2) o más </w:t>
      </w:r>
      <w:proofErr w:type="spellStart"/>
      <w:r w:rsidR="00A96ADF" w:rsidRPr="00E228AA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Mipyme</w:t>
      </w:r>
      <w:proofErr w:type="spellEnd"/>
      <w:r w:rsidR="00A96ADF" w:rsidRPr="00E228AA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 </w:t>
      </w:r>
      <w:r w:rsidR="000326E1" w:rsidRPr="00E228AA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que solicitaron </w:t>
      </w:r>
      <w:r w:rsidR="00E679A5" w:rsidRPr="00E228AA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limitar el proceso </w:t>
      </w:r>
      <w:r w:rsidR="00412204" w:rsidRPr="00E228AA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de contratación a </w:t>
      </w:r>
      <w:proofErr w:type="spellStart"/>
      <w:r w:rsidR="00412204" w:rsidRPr="00E228AA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Mipyme</w:t>
      </w:r>
      <w:proofErr w:type="spellEnd"/>
      <w:r w:rsidR="004851DF">
        <w:rPr>
          <w:rFonts w:eastAsia="Arial Narrow" w:cs="Arial"/>
          <w:color w:val="000000" w:themeColor="text1"/>
          <w:szCs w:val="20"/>
          <w:lang w:eastAsia="es-ES"/>
        </w:rPr>
        <w:t>]</w:t>
      </w:r>
      <w:r w:rsidR="00B16E82">
        <w:rPr>
          <w:rFonts w:eastAsia="Arial Narrow" w:cs="Arial"/>
          <w:color w:val="000000" w:themeColor="text1"/>
          <w:szCs w:val="20"/>
          <w:lang w:eastAsia="es-ES"/>
        </w:rPr>
        <w:t xml:space="preserve"> cumplieron los </w:t>
      </w:r>
      <w:r w:rsidR="00B16E82" w:rsidRPr="00B16E82">
        <w:rPr>
          <w:rFonts w:eastAsia="Arial Narrow" w:cs="Arial"/>
          <w:color w:val="000000" w:themeColor="text1"/>
          <w:szCs w:val="20"/>
          <w:lang w:eastAsia="es-ES"/>
        </w:rPr>
        <w:t>requisitos definidos en el artículo 2.2.1.2.4.2.4 del Decreto 1082 de 2015</w:t>
      </w:r>
      <w:r w:rsidR="00B16E82">
        <w:rPr>
          <w:rFonts w:eastAsia="Arial Narrow" w:cs="Arial"/>
          <w:color w:val="000000" w:themeColor="text1"/>
          <w:szCs w:val="20"/>
          <w:lang w:eastAsia="es-ES"/>
        </w:rPr>
        <w:t>.</w:t>
      </w:r>
      <w:r w:rsidR="00055698">
        <w:rPr>
          <w:rFonts w:eastAsia="Arial Narrow" w:cs="Arial"/>
          <w:color w:val="000000" w:themeColor="text1"/>
          <w:szCs w:val="20"/>
          <w:lang w:eastAsia="es-ES"/>
        </w:rPr>
        <w:t xml:space="preserve"> </w:t>
      </w:r>
      <w:r w:rsidR="00C22712" w:rsidRPr="00046051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[En todo caso, la Entidad en esta sección determinará si la limitación es territorial, en los términos del artículo 2.2.1.2.4.2.3. del Decreto 1082 de 2015 y las reglas contenidas en</w:t>
      </w:r>
      <w:r w:rsidR="00633534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 la invitación</w:t>
      </w:r>
      <w:r w:rsidR="00C22712" w:rsidRPr="00046051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]</w:t>
      </w:r>
    </w:p>
    <w:p w14:paraId="62D6229D" w14:textId="77777777" w:rsidR="00C22712" w:rsidRPr="00297D33" w:rsidRDefault="00C22712" w:rsidP="00C22712">
      <w:pPr>
        <w:spacing w:line="240" w:lineRule="auto"/>
        <w:ind w:right="27"/>
        <w:jc w:val="both"/>
        <w:rPr>
          <w:rFonts w:eastAsia="Arial Narrow" w:cs="Arial"/>
          <w:color w:val="000000" w:themeColor="text1"/>
          <w:szCs w:val="20"/>
          <w:lang w:eastAsia="es-ES"/>
        </w:rPr>
      </w:pPr>
      <w:r w:rsidRPr="00EA5958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[</w:t>
      </w:r>
      <w:r w:rsidRPr="005233D8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Si </w:t>
      </w:r>
      <w:r w:rsidRPr="00046051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no procede la limitación de las convocatorias del Proceso de Contratación a </w:t>
      </w:r>
      <w:proofErr w:type="spellStart"/>
      <w:r w:rsidRPr="00046051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Mipyme</w:t>
      </w:r>
      <w:proofErr w:type="spellEnd"/>
      <w:r w:rsidRPr="00046051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, la Entidad incluirá lo siguiente]</w:t>
      </w:r>
      <w:r w:rsidRPr="00ED60D6">
        <w:rPr>
          <w:rFonts w:eastAsia="Arial Narrow" w:cs="Arial"/>
          <w:color w:val="000000" w:themeColor="text1"/>
          <w:szCs w:val="20"/>
          <w:lang w:eastAsia="es-ES"/>
        </w:rPr>
        <w:t xml:space="preserve"> La Entidad no limita el Proceso de Contratación a las </w:t>
      </w:r>
      <w:proofErr w:type="spellStart"/>
      <w:r w:rsidRPr="00ED60D6">
        <w:rPr>
          <w:rFonts w:eastAsia="Arial Narrow" w:cs="Arial"/>
          <w:color w:val="000000" w:themeColor="text1"/>
          <w:szCs w:val="20"/>
          <w:lang w:eastAsia="es-ES"/>
        </w:rPr>
        <w:t>Mipyme</w:t>
      </w:r>
      <w:proofErr w:type="spellEnd"/>
      <w:r w:rsidRPr="00ED60D6">
        <w:rPr>
          <w:rFonts w:eastAsia="Arial Narrow" w:cs="Arial"/>
          <w:color w:val="000000" w:themeColor="text1"/>
          <w:szCs w:val="20"/>
          <w:lang w:eastAsia="es-ES"/>
        </w:rPr>
        <w:t xml:space="preserve"> colombianas, por no haberse cumplido las condiciones establecidas en los artículos 2.2.1.2.4.2.2. y 2.2.1.2.4.2.4 del Decreto 1082 de 2015 o la norma que lo modifique, complemente o sustituya. En consecuencia, podrá participar cualquier interesado.</w:t>
      </w:r>
    </w:p>
    <w:p w14:paraId="7D8A3325" w14:textId="77777777" w:rsidR="00342EEB" w:rsidRPr="00342EEB" w:rsidRDefault="00342EEB" w:rsidP="00342EEB">
      <w:pPr>
        <w:spacing w:line="240" w:lineRule="auto"/>
        <w:ind w:right="27"/>
        <w:jc w:val="both"/>
        <w:rPr>
          <w:rFonts w:eastAsia="Arial Narrow" w:cs="Arial"/>
          <w:color w:val="000000" w:themeColor="text1"/>
          <w:szCs w:val="20"/>
          <w:lang w:eastAsia="es-ES"/>
        </w:rPr>
      </w:pPr>
      <w:r w:rsidRPr="00E228AA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[</w:t>
      </w:r>
      <w:r w:rsidRPr="00055698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P</w:t>
      </w:r>
      <w:r w:rsidRPr="00342EEB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ara los procesos adelantados en el </w:t>
      </w:r>
      <w:r w:rsidRPr="00342EEB">
        <w:rPr>
          <w:rFonts w:eastAsia="Arial Narrow" w:cs="Arial"/>
          <w:b/>
          <w:bCs/>
          <w:color w:val="000000" w:themeColor="text1"/>
          <w:szCs w:val="20"/>
          <w:highlight w:val="lightGray"/>
          <w:lang w:eastAsia="es-ES"/>
        </w:rPr>
        <w:t>SECOP II</w:t>
      </w:r>
      <w:r w:rsidRPr="00EA5958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,</w:t>
      </w:r>
      <w:r w:rsidRPr="005233D8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 </w:t>
      </w:r>
      <w:r w:rsidRPr="00342EEB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la Entidad, en atención a las solicitudes realizadas por los interesados para limitar la convocatoria a </w:t>
      </w:r>
      <w:proofErr w:type="spellStart"/>
      <w:r w:rsidRPr="00342EEB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Mipyme</w:t>
      </w:r>
      <w:proofErr w:type="spellEnd"/>
      <w:r w:rsidRPr="00342EEB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, incluirá la limitación del Proceso de Contratación a </w:t>
      </w:r>
      <w:proofErr w:type="spellStart"/>
      <w:r w:rsidRPr="00342EEB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Mipyme</w:t>
      </w:r>
      <w:proofErr w:type="spellEnd"/>
      <w:r w:rsidRPr="00342EEB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 en el espacio dispuesto por la plataforma del SECOP II.]</w:t>
      </w:r>
    </w:p>
    <w:p w14:paraId="5C1A07E2" w14:textId="77777777" w:rsidR="0010503A" w:rsidRDefault="0010503A"/>
    <w:sectPr w:rsidR="0010503A" w:rsidSect="00CD77DC">
      <w:headerReference w:type="default" r:id="rId9"/>
      <w:foot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1A08D" w14:textId="77777777" w:rsidR="00F56F26" w:rsidRDefault="00F56F26" w:rsidP="00FD5FDD">
      <w:pPr>
        <w:spacing w:after="0" w:line="240" w:lineRule="auto"/>
      </w:pPr>
      <w:r>
        <w:separator/>
      </w:r>
    </w:p>
  </w:endnote>
  <w:endnote w:type="continuationSeparator" w:id="0">
    <w:p w14:paraId="317CD5BF" w14:textId="77777777" w:rsidR="00F56F26" w:rsidRDefault="00F56F26" w:rsidP="00FD5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0" w:type="auto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4A0" w:firstRow="1" w:lastRow="0" w:firstColumn="1" w:lastColumn="0" w:noHBand="0" w:noVBand="1"/>
    </w:tblPr>
    <w:tblGrid>
      <w:gridCol w:w="965"/>
      <w:gridCol w:w="1845"/>
      <w:gridCol w:w="857"/>
      <w:gridCol w:w="622"/>
    </w:tblGrid>
    <w:tr w:rsidR="00CD77DC" w:rsidRPr="00DA45C0" w14:paraId="2D6513C4" w14:textId="77777777" w:rsidTr="00E131B6">
      <w:trPr>
        <w:trHeight w:val="132"/>
      </w:trPr>
      <w:tc>
        <w:tcPr>
          <w:tcW w:w="965" w:type="dxa"/>
        </w:tcPr>
        <w:p w14:paraId="4FFFBCA9" w14:textId="77777777" w:rsidR="00CD77DC" w:rsidRPr="00DA45C0" w:rsidRDefault="00CD77DC" w:rsidP="00CD77DC">
          <w:pPr>
            <w:pStyle w:val="Piedepgina"/>
            <w:rPr>
              <w:b/>
              <w:bCs/>
              <w:sz w:val="16"/>
              <w:szCs w:val="18"/>
            </w:rPr>
          </w:pPr>
          <w:r w:rsidRPr="00DA45C0">
            <w:rPr>
              <w:b/>
              <w:bCs/>
              <w:sz w:val="16"/>
              <w:szCs w:val="18"/>
            </w:rPr>
            <w:t>Código:</w:t>
          </w:r>
        </w:p>
      </w:tc>
      <w:tc>
        <w:tcPr>
          <w:tcW w:w="1845" w:type="dxa"/>
        </w:tcPr>
        <w:p w14:paraId="20F58EAA" w14:textId="6A707A54" w:rsidR="00CD77DC" w:rsidRPr="00DA45C0" w:rsidRDefault="00CD77DC" w:rsidP="00CD77DC">
          <w:pPr>
            <w:pStyle w:val="Piedepgina"/>
            <w:rPr>
              <w:sz w:val="16"/>
              <w:szCs w:val="18"/>
            </w:rPr>
          </w:pPr>
        </w:p>
      </w:tc>
      <w:tc>
        <w:tcPr>
          <w:tcW w:w="857" w:type="dxa"/>
        </w:tcPr>
        <w:p w14:paraId="076EDF7C" w14:textId="77777777" w:rsidR="00CD77DC" w:rsidRPr="00DA45C0" w:rsidRDefault="00CD77DC" w:rsidP="00CD77DC">
          <w:pPr>
            <w:pStyle w:val="Piedepgina"/>
            <w:rPr>
              <w:b/>
              <w:bCs/>
              <w:sz w:val="16"/>
              <w:szCs w:val="18"/>
            </w:rPr>
          </w:pPr>
          <w:r w:rsidRPr="00DA45C0">
            <w:rPr>
              <w:b/>
              <w:bCs/>
              <w:sz w:val="16"/>
              <w:szCs w:val="18"/>
            </w:rPr>
            <w:t>Versión:</w:t>
          </w:r>
        </w:p>
      </w:tc>
      <w:tc>
        <w:tcPr>
          <w:tcW w:w="622" w:type="dxa"/>
        </w:tcPr>
        <w:p w14:paraId="438055B7" w14:textId="6147D5F4" w:rsidR="00CD77DC" w:rsidRPr="00DA45C0" w:rsidRDefault="00E131B6" w:rsidP="00CD77DC">
          <w:pPr>
            <w:pStyle w:val="Piedepgina"/>
            <w:rPr>
              <w:sz w:val="16"/>
              <w:szCs w:val="18"/>
            </w:rPr>
          </w:pPr>
          <w:r>
            <w:rPr>
              <w:sz w:val="16"/>
              <w:szCs w:val="18"/>
            </w:rPr>
            <w:t>1</w:t>
          </w:r>
        </w:p>
      </w:tc>
    </w:tr>
  </w:tbl>
  <w:p w14:paraId="5EE9799D" w14:textId="77777777" w:rsidR="00CD77DC" w:rsidRDefault="00CD77D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B78ED" w14:textId="77777777" w:rsidR="00F56F26" w:rsidRDefault="00F56F26" w:rsidP="00FD5FDD">
      <w:pPr>
        <w:spacing w:after="0" w:line="240" w:lineRule="auto"/>
      </w:pPr>
      <w:r>
        <w:separator/>
      </w:r>
    </w:p>
  </w:footnote>
  <w:footnote w:type="continuationSeparator" w:id="0">
    <w:p w14:paraId="3F273ADC" w14:textId="77777777" w:rsidR="00F56F26" w:rsidRDefault="00F56F26" w:rsidP="00FD5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5318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49"/>
      <w:gridCol w:w="2476"/>
      <w:gridCol w:w="5964"/>
    </w:tblGrid>
    <w:tr w:rsidR="00FD5FDD" w:rsidRPr="00F26AA4" w14:paraId="44F37264" w14:textId="77777777" w:rsidTr="7F345293">
      <w:trPr>
        <w:trHeight w:val="193"/>
        <w:jc w:val="center"/>
      </w:trPr>
      <w:tc>
        <w:tcPr>
          <w:tcW w:w="599" w:type="pct"/>
          <w:shd w:val="clear" w:color="auto" w:fill="auto"/>
          <w:vAlign w:val="center"/>
        </w:tcPr>
        <w:p w14:paraId="732AB730" w14:textId="77777777" w:rsidR="00FD5FDD" w:rsidRPr="004A5C40" w:rsidRDefault="00FD5FDD" w:rsidP="00FD5FDD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4A5C40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291" w:type="pct"/>
          <w:shd w:val="clear" w:color="auto" w:fill="auto"/>
          <w:vAlign w:val="center"/>
        </w:tcPr>
        <w:p w14:paraId="48C28F58" w14:textId="1F4A9730" w:rsidR="00FD5FDD" w:rsidRPr="004A5C40" w:rsidRDefault="00FD5FDD" w:rsidP="00FD5FDD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</w:p>
      </w:tc>
      <w:tc>
        <w:tcPr>
          <w:tcW w:w="3110" w:type="pct"/>
          <w:vMerge w:val="restart"/>
          <w:shd w:val="clear" w:color="auto" w:fill="auto"/>
          <w:vAlign w:val="center"/>
        </w:tcPr>
        <w:p w14:paraId="6B01F3D0" w14:textId="504D590D" w:rsidR="00FD5FDD" w:rsidRPr="004A5C40" w:rsidRDefault="7F345293" w:rsidP="7F345293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bCs/>
              <w:sz w:val="16"/>
              <w:szCs w:val="16"/>
              <w:lang w:eastAsia="es-CO"/>
            </w:rPr>
          </w:pPr>
          <w:r w:rsidRPr="7F345293">
            <w:rPr>
              <w:rFonts w:eastAsia="Arial" w:cs="Arial"/>
              <w:b/>
              <w:bCs/>
              <w:sz w:val="16"/>
              <w:szCs w:val="16"/>
              <w:lang w:eastAsia="es-CO"/>
            </w:rPr>
            <w:t xml:space="preserve">MÍNIMA CUANTÍA DE INFRAESTRUCTURA </w:t>
          </w:r>
          <w:r w:rsidR="00E131B6">
            <w:rPr>
              <w:rFonts w:eastAsia="Arial" w:cs="Arial"/>
              <w:b/>
              <w:bCs/>
              <w:sz w:val="16"/>
              <w:szCs w:val="16"/>
              <w:lang w:eastAsia="es-CO"/>
            </w:rPr>
            <w:t>SOCIAL</w:t>
          </w:r>
          <w:r w:rsidRPr="7F345293">
            <w:rPr>
              <w:rFonts w:eastAsia="Arial" w:cs="Arial"/>
              <w:b/>
              <w:bCs/>
              <w:sz w:val="16"/>
              <w:szCs w:val="16"/>
              <w:lang w:eastAsia="es-CO"/>
            </w:rPr>
            <w:t xml:space="preserve"> – VERSIÓN </w:t>
          </w:r>
          <w:r w:rsidR="00E131B6">
            <w:rPr>
              <w:rFonts w:eastAsia="Arial" w:cs="Arial"/>
              <w:b/>
              <w:bCs/>
              <w:sz w:val="16"/>
              <w:szCs w:val="16"/>
              <w:lang w:eastAsia="es-CO"/>
            </w:rPr>
            <w:t>1</w:t>
          </w:r>
        </w:p>
      </w:tc>
    </w:tr>
    <w:tr w:rsidR="00FD5FDD" w:rsidRPr="00F26AA4" w14:paraId="5E364846" w14:textId="77777777" w:rsidTr="7F345293">
      <w:trPr>
        <w:trHeight w:val="60"/>
        <w:jc w:val="center"/>
      </w:trPr>
      <w:tc>
        <w:tcPr>
          <w:tcW w:w="599" w:type="pct"/>
          <w:shd w:val="clear" w:color="auto" w:fill="auto"/>
          <w:vAlign w:val="center"/>
        </w:tcPr>
        <w:p w14:paraId="4A783BAC" w14:textId="77777777" w:rsidR="00FD5FDD" w:rsidRPr="004A5C40" w:rsidRDefault="00FD5FDD" w:rsidP="00FD5FDD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4A5C40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1291" w:type="pct"/>
          <w:shd w:val="clear" w:color="auto" w:fill="auto"/>
          <w:vAlign w:val="center"/>
        </w:tcPr>
        <w:p w14:paraId="01960B0E" w14:textId="322A9BB9" w:rsidR="00FD5FDD" w:rsidRPr="004A5C40" w:rsidRDefault="00E131B6" w:rsidP="00FD5FDD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  <w:tc>
        <w:tcPr>
          <w:tcW w:w="3110" w:type="pct"/>
          <w:vMerge/>
          <w:vAlign w:val="center"/>
        </w:tcPr>
        <w:p w14:paraId="7432DC31" w14:textId="77777777" w:rsidR="00FD5FDD" w:rsidRPr="004A5C40" w:rsidRDefault="00FD5FDD" w:rsidP="00FD5FDD">
          <w:pPr>
            <w:spacing w:after="4" w:line="249" w:lineRule="auto"/>
            <w:ind w:left="10" w:hanging="10"/>
            <w:rPr>
              <w:rFonts w:eastAsia="Arial" w:cs="Arial"/>
              <w:sz w:val="18"/>
              <w:szCs w:val="18"/>
              <w:lang w:eastAsia="es-CO"/>
            </w:rPr>
          </w:pPr>
        </w:p>
      </w:tc>
    </w:tr>
  </w:tbl>
  <w:p w14:paraId="39D5BC1A" w14:textId="2993FDB3" w:rsidR="00FD5FDD" w:rsidRDefault="00FD5FD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5BBB809"/>
    <w:rsid w:val="000326E1"/>
    <w:rsid w:val="00046051"/>
    <w:rsid w:val="00055698"/>
    <w:rsid w:val="000B1A5D"/>
    <w:rsid w:val="00104373"/>
    <w:rsid w:val="0010503A"/>
    <w:rsid w:val="00246BC7"/>
    <w:rsid w:val="00342EEB"/>
    <w:rsid w:val="00371FB2"/>
    <w:rsid w:val="00412204"/>
    <w:rsid w:val="00423507"/>
    <w:rsid w:val="004457E1"/>
    <w:rsid w:val="004851DF"/>
    <w:rsid w:val="004A6C97"/>
    <w:rsid w:val="004A726F"/>
    <w:rsid w:val="004B555D"/>
    <w:rsid w:val="005233D8"/>
    <w:rsid w:val="005705D2"/>
    <w:rsid w:val="005C1BC1"/>
    <w:rsid w:val="005D6967"/>
    <w:rsid w:val="00633534"/>
    <w:rsid w:val="00690163"/>
    <w:rsid w:val="00785849"/>
    <w:rsid w:val="00814E07"/>
    <w:rsid w:val="00833F5D"/>
    <w:rsid w:val="008505F9"/>
    <w:rsid w:val="00851C95"/>
    <w:rsid w:val="00A05934"/>
    <w:rsid w:val="00A96ADF"/>
    <w:rsid w:val="00AC1252"/>
    <w:rsid w:val="00AD39DD"/>
    <w:rsid w:val="00B16E82"/>
    <w:rsid w:val="00B92C9A"/>
    <w:rsid w:val="00C22712"/>
    <w:rsid w:val="00C50568"/>
    <w:rsid w:val="00C65AD0"/>
    <w:rsid w:val="00CA7620"/>
    <w:rsid w:val="00CD77DC"/>
    <w:rsid w:val="00E131B6"/>
    <w:rsid w:val="00E228AA"/>
    <w:rsid w:val="00E679A5"/>
    <w:rsid w:val="00EA5958"/>
    <w:rsid w:val="00ED60D6"/>
    <w:rsid w:val="00F56F26"/>
    <w:rsid w:val="00FD5FDD"/>
    <w:rsid w:val="2E2F68CA"/>
    <w:rsid w:val="45BBB809"/>
    <w:rsid w:val="48850BAF"/>
    <w:rsid w:val="7F34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BBB809"/>
  <w15:chartTrackingRefBased/>
  <w15:docId w15:val="{DB4ADD7B-763C-4CC7-BE3E-211F516DD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712"/>
    <w:rPr>
      <w:rFonts w:ascii="Arial" w:hAnsi="Arial"/>
      <w:color w:val="3B3838" w:themeColor="background2" w:themeShade="40"/>
      <w:sz w:val="20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5F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D5FDD"/>
    <w:rPr>
      <w:rFonts w:ascii="Arial" w:hAnsi="Arial"/>
      <w:color w:val="3B3838" w:themeColor="background2" w:themeShade="40"/>
      <w:sz w:val="20"/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FD5F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D5FDD"/>
    <w:rPr>
      <w:rFonts w:ascii="Arial" w:hAnsi="Arial"/>
      <w:color w:val="3B3838" w:themeColor="background2" w:themeShade="40"/>
      <w:sz w:val="20"/>
      <w:lang w:val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FD5FDD"/>
    <w:pPr>
      <w:spacing w:after="0" w:line="240" w:lineRule="auto"/>
    </w:pPr>
    <w:rPr>
      <w:rFonts w:ascii="Calibri" w:eastAsia="Calibri" w:hAnsi="Calibri" w:cs="Times New Roman"/>
      <w:lang w:val="es-CO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FD5FD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633534"/>
    <w:pPr>
      <w:spacing w:after="0" w:line="240" w:lineRule="auto"/>
    </w:pPr>
    <w:rPr>
      <w:rFonts w:ascii="Arial" w:hAnsi="Arial"/>
      <w:color w:val="3B3838" w:themeColor="background2" w:themeShade="40"/>
      <w:sz w:val="20"/>
      <w:lang w:val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371FB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71FB2"/>
    <w:pPr>
      <w:spacing w:line="240" w:lineRule="auto"/>
    </w:pPr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71FB2"/>
    <w:rPr>
      <w:rFonts w:ascii="Arial" w:hAnsi="Arial"/>
      <w:color w:val="3B3838" w:themeColor="background2" w:themeShade="40"/>
      <w:sz w:val="20"/>
      <w:szCs w:val="20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71FB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71FB2"/>
    <w:rPr>
      <w:rFonts w:ascii="Arial" w:hAnsi="Arial"/>
      <w:b/>
      <w:bCs/>
      <w:color w:val="3B3838" w:themeColor="background2" w:themeShade="40"/>
      <w:sz w:val="20"/>
      <w:szCs w:val="20"/>
      <w:lang w:val="es-CO"/>
    </w:rPr>
  </w:style>
  <w:style w:type="table" w:styleId="Tablaconcuadrcula">
    <w:name w:val="Table Grid"/>
    <w:basedOn w:val="Tablanormal"/>
    <w:uiPriority w:val="59"/>
    <w:rsid w:val="00CD77DC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SharedWithUsers xmlns="a6cb9e4b-f1d1-4245-83ec-6cad768d538a">
      <UserInfo>
        <DisplayName/>
        <AccountId xsi:nil="true"/>
        <AccountType/>
      </UserInfo>
    </SharedWithUsers>
    <_Flow_SignoffStatus xmlns="9d85dbaf-23eb-4e57-a637-93dcacc8b1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55EB5A-AB23-4820-A564-2374163D0F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ECB60C-6335-41A5-AE7C-69F058FC221F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1EFD1060-AF85-4229-A85E-72C3FE1ED3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Juan David Cárdenas Cabeza</cp:lastModifiedBy>
  <cp:revision>8</cp:revision>
  <dcterms:created xsi:type="dcterms:W3CDTF">2022-12-12T16:33:00Z</dcterms:created>
  <dcterms:modified xsi:type="dcterms:W3CDTF">2025-02-07T03:26:00Z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