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C30DA" w:rsidR="00EC30DA" w:rsidP="00EC30DA" w:rsidRDefault="00EC30DA" w14:paraId="62901E8C" w14:textId="77777777">
      <w:pPr>
        <w:spacing w:after="0" w:line="240" w:lineRule="auto"/>
        <w:jc w:val="center"/>
        <w:rPr>
          <w:rFonts w:ascii="Arial" w:hAnsi="Arial" w:eastAsia="Arial" w:cs="Arial"/>
          <w:b/>
          <w:bCs/>
          <w:sz w:val="20"/>
          <w:lang w:val="es-419"/>
        </w:rPr>
      </w:pPr>
      <w:r w:rsidRPr="00EC30DA">
        <w:rPr>
          <w:rFonts w:ascii="Arial" w:hAnsi="Arial" w:eastAsia="Arial" w:cs="Arial"/>
          <w:b/>
          <w:bCs/>
          <w:sz w:val="20"/>
          <w:lang w:val="es-419"/>
        </w:rPr>
        <w:t xml:space="preserve">MATRIZ 4 – BIENES NACIONALES RELEVANTES PARA LA OBRA PÚBLICA DEL SECTOR TRANSPORTE </w:t>
      </w:r>
    </w:p>
    <w:p w:rsidR="00D72554" w:rsidP="00D72554" w:rsidRDefault="00D72554" w14:paraId="6B18DC75" w14:textId="77777777">
      <w:pPr>
        <w:spacing w:after="0" w:line="240" w:lineRule="auto"/>
        <w:jc w:val="both"/>
        <w:rPr>
          <w:rFonts w:ascii="Arial" w:hAnsi="Arial" w:eastAsia="Arial" w:cs="Arial"/>
          <w:sz w:val="20"/>
          <w:lang w:val="es-419"/>
        </w:rPr>
      </w:pPr>
    </w:p>
    <w:p w:rsidRPr="00D72554" w:rsidR="00D72554" w:rsidP="00D72554" w:rsidRDefault="00D72554" w14:paraId="4977A4F0" w14:textId="1F431211">
      <w:pPr>
        <w:spacing w:after="0" w:line="240" w:lineRule="auto"/>
        <w:jc w:val="both"/>
        <w:rPr>
          <w:rFonts w:ascii="Arial" w:hAnsi="Arial" w:eastAsia="Arial" w:cs="Arial"/>
          <w:sz w:val="20"/>
          <w:lang w:val="es-419"/>
        </w:rPr>
      </w:pPr>
      <w:r w:rsidRPr="00D72554">
        <w:rPr>
          <w:rFonts w:ascii="Arial" w:hAnsi="Arial" w:eastAsia="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rsidRPr="00D72554" w:rsidR="00D72554" w:rsidP="00D72554" w:rsidRDefault="00D72554" w14:paraId="0DFF78BC" w14:textId="77777777">
      <w:pPr>
        <w:spacing w:after="0" w:line="240" w:lineRule="auto"/>
        <w:jc w:val="both"/>
        <w:rPr>
          <w:rFonts w:ascii="Arial" w:hAnsi="Arial" w:eastAsia="Arial" w:cs="Arial"/>
          <w:sz w:val="20"/>
          <w:lang w:val="es-419"/>
        </w:rPr>
      </w:pPr>
    </w:p>
    <w:p w:rsidRPr="00A76A0A" w:rsidR="00A76A0A" w:rsidP="00A76A0A" w:rsidRDefault="00A76A0A" w14:paraId="2A81ABE0" w14:textId="77777777">
      <w:pPr>
        <w:spacing w:after="0" w:line="240" w:lineRule="auto"/>
        <w:jc w:val="both"/>
        <w:rPr>
          <w:rFonts w:ascii="Arial" w:hAnsi="Arial" w:eastAsia="Arial" w:cs="Arial"/>
          <w:sz w:val="20"/>
          <w:lang w:val="es-419"/>
        </w:rPr>
      </w:pPr>
      <w:r w:rsidRPr="00A76A0A">
        <w:rPr>
          <w:rFonts w:ascii="Arial" w:hAnsi="Arial" w:eastAsia="Arial" w:cs="Arial"/>
          <w:sz w:val="20"/>
          <w:lang w:val="es-419"/>
        </w:rPr>
        <w:t xml:space="preserve">En cumplimiento de los referidos criterios, la Entidad Estatal deberá desarrollar la siguiente metodología para identificar los bienes nacionales relevantes para la ejecución del objeto a contratar: </w:t>
      </w:r>
    </w:p>
    <w:p w:rsidRPr="00A76A0A" w:rsidR="00A76A0A" w:rsidP="00A76A0A" w:rsidRDefault="00A76A0A" w14:paraId="4BAB7E26" w14:textId="77777777">
      <w:pPr>
        <w:spacing w:after="0" w:line="240" w:lineRule="auto"/>
        <w:jc w:val="both"/>
        <w:rPr>
          <w:rFonts w:ascii="Arial" w:hAnsi="Arial" w:eastAsia="Arial" w:cs="Arial"/>
          <w:bCs/>
          <w:sz w:val="20"/>
          <w:szCs w:val="24"/>
          <w:lang w:val="es-419"/>
        </w:rPr>
      </w:pPr>
    </w:p>
    <w:p w:rsidRPr="00AD46BF" w:rsidR="00A76A0A" w:rsidP="00A76A0A" w:rsidRDefault="00A76A0A" w14:paraId="0D13667A" w14:textId="37AE4B05">
      <w:pPr>
        <w:numPr>
          <w:ilvl w:val="0"/>
          <w:numId w:val="1"/>
        </w:numPr>
        <w:tabs>
          <w:tab w:val="left" w:pos="1134"/>
        </w:tabs>
        <w:spacing w:after="0" w:line="240" w:lineRule="auto"/>
        <w:contextualSpacing/>
        <w:jc w:val="both"/>
        <w:rPr>
          <w:rFonts w:ascii="Arial" w:hAnsi="Arial" w:eastAsia="Arial" w:cs="Arial"/>
          <w:i/>
          <w:color w:val="000000"/>
          <w:sz w:val="20"/>
          <w:szCs w:val="20"/>
          <w:lang w:val="es-CO"/>
        </w:rPr>
      </w:pPr>
      <w:r w:rsidRPr="00A76A0A">
        <w:rPr>
          <w:rFonts w:ascii="Arial" w:hAnsi="Arial" w:eastAsia="Arial" w:cs="Arial"/>
          <w:iCs/>
          <w:color w:val="000000"/>
          <w:sz w:val="20"/>
          <w:szCs w:val="20"/>
          <w:lang w:val="es-CO"/>
        </w:rPr>
        <w:t xml:space="preserve">Identificar dentro del Presupuesto </w:t>
      </w:r>
      <w:r w:rsidRPr="00A76A0A">
        <w:rPr>
          <w:rFonts w:ascii="Arial" w:hAnsi="Arial" w:eastAsia="Arial" w:cs="Arial"/>
          <w:color w:val="000000"/>
          <w:sz w:val="20"/>
          <w:szCs w:val="20"/>
          <w:lang w:val="es-CO"/>
        </w:rPr>
        <w:t>O</w:t>
      </w:r>
      <w:r w:rsidRPr="00A76A0A">
        <w:rPr>
          <w:rFonts w:ascii="Arial" w:hAnsi="Arial" w:eastAsia="Arial" w:cs="Arial"/>
          <w:iCs/>
          <w:color w:val="000000"/>
          <w:sz w:val="20"/>
          <w:szCs w:val="20"/>
          <w:lang w:val="es-CO"/>
        </w:rPr>
        <w:t>ficial los bienes o insumos requeridos para la ejecución del proyecto.</w:t>
      </w:r>
    </w:p>
    <w:p w:rsidRPr="00AD46BF" w:rsidR="00AD46BF" w:rsidP="00AD46BF" w:rsidRDefault="00AD46BF" w14:paraId="4E8CD06A" w14:textId="77777777">
      <w:pPr>
        <w:pStyle w:val="Prrafodelista"/>
        <w:tabs>
          <w:tab w:val="left" w:pos="1134"/>
        </w:tabs>
        <w:spacing w:after="160"/>
        <w:ind w:left="502"/>
        <w:rPr>
          <w:rFonts w:cs="Arial"/>
          <w:i/>
          <w:color w:val="000000"/>
          <w:szCs w:val="20"/>
          <w:lang w:val="es-CO"/>
        </w:rPr>
      </w:pPr>
    </w:p>
    <w:p w:rsidRPr="00473D0F" w:rsidR="00AD46BF" w:rsidP="00AD46BF" w:rsidRDefault="00AD46BF" w14:paraId="57A97583" w14:textId="1EA22C5E">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rsidRPr="00473D0F" w:rsidR="00AD46BF" w:rsidP="00AD46BF" w:rsidRDefault="00AD46BF" w14:paraId="1B0E195B" w14:textId="77777777">
      <w:pPr>
        <w:pStyle w:val="Prrafodelista"/>
        <w:rPr>
          <w:rFonts w:cs="Arial"/>
          <w:i/>
          <w:color w:val="000000"/>
          <w:szCs w:val="20"/>
          <w:lang w:val="es-CO"/>
        </w:rPr>
      </w:pPr>
    </w:p>
    <w:p w:rsidRPr="00473D0F" w:rsidR="00AD46BF" w:rsidP="00AD46BF" w:rsidRDefault="00AD46BF" w14:paraId="06EF67B8" w14:textId="77777777">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rsidRPr="00473D0F" w:rsidR="00AD46BF" w:rsidP="00AD46BF" w:rsidRDefault="00AD46BF" w14:paraId="296A9F0A" w14:textId="77777777">
      <w:pPr>
        <w:pStyle w:val="Prrafodelista"/>
        <w:rPr>
          <w:rFonts w:cs="Arial"/>
          <w:i/>
          <w:color w:val="000000"/>
          <w:szCs w:val="20"/>
          <w:lang w:val="es-CO"/>
        </w:rPr>
      </w:pPr>
    </w:p>
    <w:p w:rsidRPr="00473D0F" w:rsidR="00AD46BF" w:rsidP="00AD46BF" w:rsidRDefault="00AD46BF" w14:paraId="7A640803" w14:textId="77777777">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rsidRPr="00473D0F" w:rsidR="00AD46BF" w:rsidP="00AD46BF" w:rsidRDefault="00AD46BF" w14:paraId="6A9462EF" w14:textId="77777777">
      <w:pPr>
        <w:pStyle w:val="Prrafodelista"/>
        <w:tabs>
          <w:tab w:val="left" w:pos="1134"/>
        </w:tabs>
        <w:ind w:left="502"/>
        <w:rPr>
          <w:rFonts w:cs="Arial"/>
          <w:i/>
          <w:color w:val="000000"/>
          <w:sz w:val="22"/>
          <w:lang w:val="es-CO"/>
        </w:rPr>
      </w:pPr>
    </w:p>
    <w:p w:rsidRPr="00A76A0A" w:rsidR="00AD46BF" w:rsidP="00862F10" w:rsidRDefault="00862F10" w14:paraId="3480CB8B" w14:textId="1FBD1B99">
      <w:pPr>
        <w:tabs>
          <w:tab w:val="left" w:pos="1134"/>
        </w:tabs>
        <w:spacing w:after="0" w:line="240" w:lineRule="auto"/>
        <w:ind w:left="502"/>
        <w:contextualSpacing/>
        <w:jc w:val="center"/>
        <w:rPr>
          <w:rFonts w:ascii="Arial" w:hAnsi="Arial" w:eastAsia="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rsidR="00974AC8" w:rsidRDefault="00974AC8" w14:paraId="5C1A07E2" w14:textId="278A68A2"/>
    <w:p w:rsidR="00152E47" w:rsidP="00152E47" w:rsidRDefault="00152E47" w14:paraId="40392333" w14:textId="77777777">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152E47">
        <w:rPr>
          <w:rFonts w:ascii="Arial" w:hAnsi="Arial" w:eastAsia="Arial" w:cs="Arial"/>
          <w:color w:val="000000"/>
          <w:sz w:val="20"/>
          <w:lang w:val="es-CO"/>
        </w:rPr>
        <w:t>Determinar el</w:t>
      </w:r>
      <w:r w:rsidRPr="00152E47">
        <w:rPr>
          <w:rFonts w:ascii="Arial" w:hAnsi="Arial" w:eastAsia="Arial" w:cs="Arial"/>
          <w:b/>
          <w:i/>
          <w:color w:val="000000"/>
          <w:sz w:val="20"/>
          <w:lang w:val="es-CO"/>
        </w:rPr>
        <w:t xml:space="preserve"> porcentaje acumulado </w:t>
      </w:r>
      <w:r w:rsidRPr="00152E47">
        <w:rPr>
          <w:rFonts w:ascii="Arial" w:hAnsi="Arial" w:eastAsia="Arial" w:cs="Arial"/>
          <w:bCs/>
          <w:iCs/>
          <w:color w:val="000000"/>
          <w:sz w:val="20"/>
          <w:lang w:val="es-CO"/>
        </w:rPr>
        <w:t>entendido como la sumatoria de los porcentajes de participación definidos en el numeral anterior. P</w:t>
      </w:r>
      <w:r w:rsidRPr="00152E47">
        <w:rPr>
          <w:rFonts w:ascii="Arial" w:hAnsi="Arial" w:eastAsia="Arial" w:cs="Arial"/>
          <w:color w:val="000000"/>
          <w:sz w:val="20"/>
          <w:lang w:val="es-CO"/>
        </w:rPr>
        <w:t xml:space="preserve">ara lo cual, se sugiere, organizar los bienes en una tabla, en orden descendente según su </w:t>
      </w:r>
      <w:r w:rsidRPr="00152E47">
        <w:rPr>
          <w:rFonts w:ascii="Arial" w:hAnsi="Arial" w:eastAsia="Arial" w:cs="Arial"/>
          <w:b/>
          <w:i/>
          <w:color w:val="000000"/>
          <w:sz w:val="20"/>
          <w:lang w:val="es-CO"/>
        </w:rPr>
        <w:t>porcentaje de participación,</w:t>
      </w:r>
      <w:r w:rsidRPr="00152E47">
        <w:rPr>
          <w:rFonts w:ascii="Arial" w:hAnsi="Arial" w:eastAsia="Arial" w:cs="Arial"/>
          <w:color w:val="000000"/>
          <w:sz w:val="20"/>
          <w:lang w:val="es-CO"/>
        </w:rPr>
        <w:t xml:space="preserve"> disponiendo una fila por cada bien, una columna para el nombre o descripción del bien, otra para el </w:t>
      </w:r>
      <w:r w:rsidRPr="00152E47">
        <w:rPr>
          <w:rFonts w:ascii="Arial" w:hAnsi="Arial" w:eastAsia="Arial" w:cs="Arial"/>
          <w:b/>
          <w:i/>
          <w:color w:val="000000"/>
          <w:sz w:val="20"/>
          <w:lang w:val="es-CO"/>
        </w:rPr>
        <w:t>porcentaje de participación</w:t>
      </w:r>
      <w:r w:rsidRPr="00152E47">
        <w:rPr>
          <w:rFonts w:ascii="Arial" w:hAnsi="Arial" w:eastAsia="Arial" w:cs="Arial"/>
          <w:b/>
          <w:color w:val="000000"/>
          <w:sz w:val="20"/>
          <w:lang w:val="es-CO"/>
        </w:rPr>
        <w:t xml:space="preserve"> </w:t>
      </w:r>
      <w:r w:rsidRPr="00152E47">
        <w:rPr>
          <w:rFonts w:ascii="Arial" w:hAnsi="Arial" w:eastAsia="Arial" w:cs="Arial"/>
          <w:color w:val="000000"/>
          <w:sz w:val="20"/>
          <w:lang w:val="es-CO"/>
        </w:rPr>
        <w:t xml:space="preserve">y otra en la que se consignará el </w:t>
      </w:r>
      <w:r w:rsidRPr="00152E47">
        <w:rPr>
          <w:rFonts w:ascii="Arial" w:hAnsi="Arial" w:eastAsia="Arial" w:cs="Arial"/>
          <w:b/>
          <w:i/>
          <w:color w:val="000000"/>
          <w:sz w:val="20"/>
          <w:lang w:val="es-CO"/>
        </w:rPr>
        <w:t>porcentaje acumulado.</w:t>
      </w:r>
      <w:r w:rsidRPr="00152E47">
        <w:rPr>
          <w:rFonts w:ascii="Arial" w:hAnsi="Arial" w:eastAsia="Arial" w:cs="Arial"/>
          <w:b/>
          <w:color w:val="000000"/>
          <w:sz w:val="20"/>
          <w:lang w:val="es-CO"/>
        </w:rPr>
        <w:t xml:space="preserve"> </w:t>
      </w:r>
    </w:p>
    <w:p w:rsidR="00152E47" w:rsidP="00152E47" w:rsidRDefault="00152E47" w14:paraId="369AB5CF"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00152E47" w:rsidP="00152E47" w:rsidRDefault="00152E47" w14:paraId="03DCD0B8" w14:textId="581186C9">
      <w:pPr>
        <w:tabs>
          <w:tab w:val="left" w:pos="1134"/>
        </w:tabs>
        <w:spacing w:after="0" w:line="240" w:lineRule="auto"/>
        <w:ind w:left="502"/>
        <w:contextualSpacing/>
        <w:jc w:val="both"/>
        <w:rPr>
          <w:rFonts w:ascii="Arial" w:hAnsi="Arial" w:eastAsia="Arial" w:cs="Arial"/>
          <w:color w:val="000000"/>
          <w:sz w:val="20"/>
          <w:lang w:val="es-CO"/>
        </w:rPr>
      </w:pPr>
      <w:r w:rsidRPr="00152E47">
        <w:rPr>
          <w:rFonts w:ascii="Arial" w:hAnsi="Arial" w:eastAsia="Arial" w:cs="Arial"/>
          <w:color w:val="000000"/>
          <w:sz w:val="20"/>
          <w:lang w:val="es-CO"/>
        </w:rPr>
        <w:t>Al bien o insumo que tiene la mayor participación, es decir</w:t>
      </w:r>
      <w:r w:rsidR="00DA4845">
        <w:rPr>
          <w:rFonts w:ascii="Arial" w:hAnsi="Arial" w:eastAsia="Arial" w:cs="Arial"/>
          <w:color w:val="000000"/>
          <w:sz w:val="20"/>
          <w:lang w:val="es-CO"/>
        </w:rPr>
        <w:t>,</w:t>
      </w:r>
      <w:r w:rsidRPr="00152E47">
        <w:rPr>
          <w:rFonts w:ascii="Arial" w:hAnsi="Arial" w:eastAsia="Arial" w:cs="Arial"/>
          <w:color w:val="000000"/>
          <w:sz w:val="20"/>
          <w:lang w:val="es-CO"/>
        </w:rPr>
        <w:t xml:space="preserve"> el que ocupa el primer lugar en el listado, le corresponderá como </w:t>
      </w:r>
      <w:r w:rsidRPr="00152E47">
        <w:rPr>
          <w:rFonts w:ascii="Arial" w:hAnsi="Arial" w:eastAsia="Arial" w:cs="Arial"/>
          <w:b/>
          <w:i/>
          <w:color w:val="000000"/>
          <w:sz w:val="20"/>
          <w:lang w:val="es-CO"/>
        </w:rPr>
        <w:t>porcentaje acumulado</w:t>
      </w:r>
      <w:r w:rsidRPr="00152E47">
        <w:rPr>
          <w:rFonts w:ascii="Arial" w:hAnsi="Arial" w:eastAsia="Arial" w:cs="Arial"/>
          <w:color w:val="000000"/>
          <w:sz w:val="20"/>
          <w:lang w:val="es-CO"/>
        </w:rPr>
        <w:t xml:space="preserve"> el valor asignado como </w:t>
      </w:r>
      <w:r w:rsidRPr="00152E47">
        <w:rPr>
          <w:rFonts w:ascii="Arial" w:hAnsi="Arial" w:eastAsia="Arial" w:cs="Arial"/>
          <w:b/>
          <w:i/>
          <w:color w:val="000000"/>
          <w:sz w:val="20"/>
          <w:lang w:val="es-CO"/>
        </w:rPr>
        <w:t>porcentaje de participación</w:t>
      </w:r>
      <w:r w:rsidRPr="00152E47">
        <w:rPr>
          <w:rFonts w:ascii="Arial" w:hAnsi="Arial" w:eastAsia="Arial" w:cs="Arial"/>
          <w:color w:val="000000"/>
          <w:sz w:val="20"/>
          <w:lang w:val="es-CO"/>
        </w:rPr>
        <w:t xml:space="preserve">. Para el segundo bien el </w:t>
      </w:r>
      <w:r w:rsidRPr="00152E47">
        <w:rPr>
          <w:rFonts w:ascii="Arial" w:hAnsi="Arial" w:eastAsia="Arial" w:cs="Arial"/>
          <w:b/>
          <w:bCs/>
          <w:i/>
          <w:iCs/>
          <w:color w:val="000000"/>
          <w:sz w:val="20"/>
          <w:lang w:val="es-CO"/>
        </w:rPr>
        <w:t xml:space="preserve">porcentaje acumulado </w:t>
      </w:r>
      <w:r w:rsidRPr="00152E47">
        <w:rPr>
          <w:rFonts w:ascii="Arial" w:hAnsi="Arial" w:eastAsia="Arial" w:cs="Arial"/>
          <w:color w:val="000000"/>
          <w:sz w:val="20"/>
          <w:lang w:val="es-CO"/>
        </w:rPr>
        <w:t xml:space="preserve">será la suma de su porcentaje de participación con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asignado al bien que lo antecede en el listado. Del mismo modo, para el tercer bien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será la suma de su porcentaje de participación con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hAnsi="Arial" w:eastAsia="Arial" w:cs="Arial"/>
          <w:color w:val="000000"/>
          <w:sz w:val="20"/>
          <w:lang w:val="es-CO"/>
        </w:rPr>
        <w:t>.</w:t>
      </w:r>
    </w:p>
    <w:p w:rsidR="00CE23D6" w:rsidP="00152E47" w:rsidRDefault="00CE23D6" w14:paraId="2980C8BA" w14:textId="1961A94F">
      <w:pPr>
        <w:tabs>
          <w:tab w:val="left" w:pos="1134"/>
        </w:tabs>
        <w:spacing w:after="0" w:line="240" w:lineRule="auto"/>
        <w:ind w:left="502"/>
        <w:contextualSpacing/>
        <w:jc w:val="both"/>
        <w:rPr>
          <w:rFonts w:ascii="Arial" w:hAnsi="Arial" w:eastAsia="Arial" w:cs="Arial"/>
          <w:color w:val="000000"/>
          <w:sz w:val="20"/>
          <w:lang w:val="es-CO"/>
        </w:rPr>
      </w:pPr>
    </w:p>
    <w:p w:rsidR="00124A4D" w:rsidP="00124A4D" w:rsidRDefault="00CE23D6" w14:paraId="4E8377B3" w14:textId="77777777">
      <w:pPr>
        <w:tabs>
          <w:tab w:val="left" w:pos="1134"/>
        </w:tabs>
        <w:spacing w:after="0" w:line="240" w:lineRule="auto"/>
        <w:ind w:left="502"/>
        <w:contextualSpacing/>
        <w:jc w:val="center"/>
        <w:rPr>
          <w:rFonts w:ascii="Arial" w:hAnsi="Arial" w:eastAsia="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rsidR="00124A4D" w:rsidP="00124A4D" w:rsidRDefault="00124A4D" w14:paraId="5C943A64" w14:textId="77777777">
      <w:pPr>
        <w:tabs>
          <w:tab w:val="left" w:pos="1134"/>
        </w:tabs>
        <w:spacing w:after="0" w:line="240" w:lineRule="auto"/>
        <w:ind w:left="502"/>
        <w:contextualSpacing/>
        <w:jc w:val="center"/>
        <w:rPr>
          <w:rFonts w:ascii="Arial" w:hAnsi="Arial" w:eastAsia="Arial" w:cs="Arial"/>
          <w:iCs/>
          <w:color w:val="000000"/>
          <w:sz w:val="20"/>
          <w:szCs w:val="20"/>
          <w:lang w:val="es-CO"/>
        </w:rPr>
      </w:pPr>
    </w:p>
    <w:p w:rsidRPr="00124A4D" w:rsidR="00124A4D" w:rsidP="00124A4D" w:rsidRDefault="00124A4D" w14:paraId="0108865F" w14:textId="2493FE6C">
      <w:pPr>
        <w:tabs>
          <w:tab w:val="left" w:pos="1134"/>
        </w:tabs>
        <w:spacing w:after="0" w:line="240" w:lineRule="auto"/>
        <w:ind w:left="502"/>
        <w:contextualSpacing/>
        <w:jc w:val="both"/>
        <w:rPr>
          <w:rFonts w:ascii="Arial" w:hAnsi="Arial" w:eastAsia="Arial" w:cs="Arial"/>
          <w:color w:val="000000"/>
          <w:sz w:val="20"/>
          <w:lang w:val="es-CO"/>
        </w:rPr>
      </w:pPr>
      <w:r w:rsidRPr="00124A4D">
        <w:rPr>
          <w:rFonts w:ascii="Arial" w:hAnsi="Arial" w:eastAsia="Arial" w:cs="Arial"/>
          <w:color w:val="000000"/>
          <w:sz w:val="20"/>
          <w:lang w:val="es-CO"/>
        </w:rPr>
        <w:t xml:space="preserve">Donde </w:t>
      </w:r>
      <m:oMath>
        <m:sSub>
          <m:sSubPr>
            <m:ctrlPr>
              <w:rPr>
                <w:rFonts w:ascii="Cambria Math" w:hAnsi="Cambria Math" w:eastAsia="Arial" w:cs="Arial"/>
                <w:color w:val="000000"/>
                <w:sz w:val="20"/>
                <w:lang w:val="es-CO"/>
              </w:rPr>
            </m:ctrlPr>
          </m:sSubPr>
          <m:e>
            <m:r>
              <w:rPr>
                <w:rFonts w:ascii="Cambria Math" w:hAnsi="Cambria Math" w:eastAsia="Arial" w:cs="Arial"/>
                <w:color w:val="000000"/>
                <w:sz w:val="20"/>
                <w:lang w:val="es-CO"/>
              </w:rPr>
              <m:t>participaci</m:t>
            </m:r>
            <m:r>
              <w:rPr>
                <w:rFonts w:ascii="Cambria Math" w:hAnsi="Arial" w:eastAsia="Arial" w:cs="Arial"/>
                <w:color w:val="000000"/>
                <w:sz w:val="20"/>
                <w:lang w:val="es-CO"/>
              </w:rPr>
              <m:t>o</m:t>
            </m:r>
            <m:r>
              <w:rPr>
                <w:rFonts w:ascii="Cambria Math" w:hAnsi="Cambria Math" w:eastAsia="Arial" w:cs="Arial"/>
                <w:color w:val="000000"/>
                <w:sz w:val="20"/>
                <w:lang w:val="es-CO"/>
              </w:rPr>
              <m:t>n</m:t>
            </m:r>
            <m:r>
              <m:rPr>
                <m:sty m:val="p"/>
              </m:rPr>
              <w:rPr>
                <w:rFonts w:ascii="Cambria Math" w:hAnsi="Cambria Math" w:eastAsia="Arial" w:cs="Arial"/>
                <w:color w:val="000000"/>
                <w:sz w:val="20"/>
                <w:lang w:val="es-CO"/>
              </w:rPr>
              <m:t xml:space="preserve"> (%)</m:t>
            </m:r>
          </m:e>
          <m:sub>
            <m:r>
              <w:rPr>
                <w:rFonts w:ascii="Cambria Math" w:hAnsi="Cambria Math" w:eastAsia="Arial" w:cs="Arial"/>
                <w:color w:val="000000"/>
                <w:sz w:val="20"/>
                <w:lang w:val="es-CO"/>
              </w:rPr>
              <m:t>i</m:t>
            </m:r>
          </m:sub>
        </m:sSub>
      </m:oMath>
      <w:r w:rsidRPr="00124A4D">
        <w:rPr>
          <w:rFonts w:ascii="Arial" w:hAnsi="Arial" w:eastAsia="Arial" w:cs="Arial"/>
          <w:color w:val="000000"/>
          <w:sz w:val="20"/>
          <w:lang w:val="es-CO"/>
        </w:rPr>
        <w:t xml:space="preserve"> son las frecuencias acumuladas o porcentaje de participación (%) calculado.</w:t>
      </w:r>
    </w:p>
    <w:p w:rsidR="00124A4D" w:rsidP="00124A4D" w:rsidRDefault="00124A4D" w14:paraId="4F656CB7" w14:textId="3D1B2F63">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2BE08D0D" w14:textId="30C25015">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Identificar los bienes o insumos cuyo porcentaje acumulado esté dentro del ochenta por ciento (80%) o un valor aproximado por debajo.</w:t>
      </w:r>
    </w:p>
    <w:p w:rsidRPr="00440605" w:rsidR="00440605" w:rsidP="00440605" w:rsidRDefault="00440605" w14:paraId="608FFA52"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0E830A63" w14:textId="53E89248">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hAnsi="Arial" w:eastAsia="Arial" w:cs="Arial"/>
          <w:iCs/>
          <w:color w:val="000000"/>
          <w:sz w:val="20"/>
          <w:szCs w:val="20"/>
          <w:lang w:val="es-CO"/>
        </w:rPr>
        <w:t xml:space="preserve">sumatoria de los porcentajes de participación de cada bien, resultado que luego se dividirá entre el número de bienes que se promedian. </w:t>
      </w:r>
    </w:p>
    <w:p w:rsidRPr="00440605" w:rsidR="00440605" w:rsidP="00440605" w:rsidRDefault="00440605" w14:paraId="54322F56"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244ED900" w14:textId="1529E86C">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 xml:space="preserve">Los bienes relevantes serán aquellos cuyo porcentaje de participación sea igual o superior al promedio calculado en el paso anterior. </w:t>
      </w:r>
    </w:p>
    <w:p w:rsidRPr="00440605" w:rsidR="00440605" w:rsidP="00440605" w:rsidRDefault="00440605" w14:paraId="7FE797E8"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00440605" w:rsidP="00440605" w:rsidRDefault="00440605" w14:paraId="56F5BE4F" w14:textId="5B12BD70">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rsidR="00EC153F" w:rsidP="00EC153F" w:rsidRDefault="00EC153F" w14:paraId="36C5997B" w14:textId="77777777">
      <w:pPr>
        <w:pStyle w:val="Prrafodelista"/>
        <w:rPr>
          <w:rFonts w:eastAsia="Arial" w:cs="Arial"/>
          <w:iCs/>
          <w:color w:val="000000"/>
          <w:szCs w:val="20"/>
          <w:lang w:val="es-CO"/>
        </w:rPr>
      </w:pPr>
    </w:p>
    <w:p w:rsidRPr="00EC153F" w:rsidR="00EC153F" w:rsidP="00EC153F" w:rsidRDefault="00EC153F" w14:paraId="2F9F8627" w14:textId="77777777">
      <w:pPr>
        <w:numPr>
          <w:ilvl w:val="0"/>
          <w:numId w:val="1"/>
        </w:numPr>
        <w:spacing w:after="0" w:line="240" w:lineRule="auto"/>
        <w:contextualSpacing/>
        <w:jc w:val="both"/>
        <w:rPr>
          <w:rFonts w:ascii="Arial" w:hAnsi="Arial" w:eastAsia="Arial" w:cs="Times New Roman"/>
          <w:sz w:val="20"/>
          <w:lang w:val="es-CO"/>
        </w:rPr>
      </w:pPr>
      <w:r w:rsidRPr="00EC153F">
        <w:rPr>
          <w:rFonts w:ascii="Arial" w:hAnsi="Arial" w:eastAsia="Arial" w:cs="Times New Roman"/>
          <w:color w:val="000000"/>
          <w:sz w:val="20"/>
          <w:lang w:val="es-CO"/>
        </w:rPr>
        <w:t xml:space="preserve">Si </w:t>
      </w:r>
      <w:proofErr w:type="gramStart"/>
      <w:r w:rsidRPr="00EC153F">
        <w:rPr>
          <w:rFonts w:ascii="Arial" w:hAnsi="Arial" w:eastAsia="Arial" w:cs="Times New Roman"/>
          <w:color w:val="000000"/>
          <w:sz w:val="20"/>
          <w:lang w:val="es-CO"/>
        </w:rPr>
        <w:t>ninguno de los bienes relevantes están</w:t>
      </w:r>
      <w:proofErr w:type="gramEnd"/>
      <w:r w:rsidRPr="00EC153F">
        <w:rPr>
          <w:rFonts w:ascii="Arial" w:hAnsi="Arial" w:eastAsia="Arial" w:cs="Times New Roman"/>
          <w:color w:val="000000"/>
          <w:sz w:val="20"/>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EC153F">
        <w:rPr>
          <w:rFonts w:ascii="Arial" w:hAnsi="Arial" w:eastAsia="Arial" w:cs="Times New Roman"/>
          <w:color w:val="000000"/>
          <w:sz w:val="20"/>
          <w:highlight w:val="lightGray"/>
          <w:lang w:val="es-CO"/>
        </w:rPr>
        <w:t>[</w:t>
      </w:r>
      <w:r w:rsidRPr="00EC153F">
        <w:rPr>
          <w:rFonts w:ascii="Arial" w:hAnsi="Arial" w:eastAsia="Arial" w:cs="Arial"/>
          <w:sz w:val="20"/>
          <w:szCs w:val="20"/>
          <w:highlight w:val="lightGray"/>
          <w:lang w:val="es-MX" w:bidi="en-US"/>
        </w:rPr>
        <w:t>l</w:t>
      </w:r>
      <w:r w:rsidRPr="00EC153F">
        <w:rPr>
          <w:rFonts w:ascii="Arial" w:hAnsi="Arial" w:eastAsia="Arial" w:cs="Arial"/>
          <w:color w:val="000000"/>
          <w:sz w:val="20"/>
          <w:szCs w:val="20"/>
          <w:highlight w:val="lightGray"/>
        </w:rPr>
        <w:t>a Entidad Estatal incluirá el porcentaje definido en el numeral 4.3.1 del documento base]</w:t>
      </w:r>
      <w:r w:rsidRPr="00EC153F">
        <w:rPr>
          <w:rFonts w:ascii="Arial Narrow" w:hAnsi="Arial Narrow" w:eastAsia="Arial" w:cs="Times New Roman"/>
          <w:color w:val="000000"/>
          <w:sz w:val="20"/>
          <w:szCs w:val="20"/>
        </w:rPr>
        <w:t xml:space="preserve"> </w:t>
      </w:r>
      <w:r w:rsidRPr="00EC153F">
        <w:rPr>
          <w:rFonts w:ascii="Arial" w:hAnsi="Arial" w:eastAsia="Arial" w:cs="Times New Roman"/>
          <w:color w:val="000000"/>
          <w:sz w:val="20"/>
          <w:lang w:val="es-CO"/>
        </w:rPr>
        <w:t xml:space="preserve">del personal requerido para el cumplimiento del contrato. </w:t>
      </w:r>
    </w:p>
    <w:p w:rsidRPr="00EC153F" w:rsidR="00EC153F" w:rsidP="00EC153F" w:rsidRDefault="00EC153F" w14:paraId="15EA420A" w14:textId="77777777">
      <w:pPr>
        <w:spacing w:after="0" w:line="240" w:lineRule="auto"/>
        <w:ind w:left="502"/>
        <w:contextualSpacing/>
        <w:jc w:val="both"/>
        <w:rPr>
          <w:rFonts w:ascii="Arial" w:hAnsi="Arial" w:eastAsia="Arial" w:cs="Arial"/>
          <w:bCs/>
          <w:sz w:val="20"/>
          <w:szCs w:val="24"/>
          <w:lang w:val="es-419"/>
        </w:rPr>
      </w:pPr>
    </w:p>
    <w:p w:rsidRPr="00EC153F" w:rsidR="00EC153F" w:rsidP="00EC153F" w:rsidRDefault="00EC153F" w14:paraId="56F43221" w14:textId="77777777">
      <w:pPr>
        <w:spacing w:after="0" w:line="240" w:lineRule="auto"/>
        <w:jc w:val="both"/>
        <w:rPr>
          <w:rFonts w:ascii="Arial" w:hAnsi="Arial" w:eastAsia="Arial" w:cs="Times New Roman"/>
          <w:bCs/>
          <w:sz w:val="20"/>
          <w:lang w:val="es-MX"/>
        </w:rPr>
      </w:pPr>
      <w:r w:rsidRPr="00EC153F">
        <w:rPr>
          <w:rFonts w:ascii="Arial" w:hAnsi="Arial" w:eastAsia="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hAnsi="Arial" w:eastAsia="Arial" w:cs="Times New Roman"/>
          <w:sz w:val="20"/>
          <w:lang w:val="es-419"/>
        </w:rPr>
        <w:t xml:space="preserve">2.2.1.2.4.2.9. del Decreto 1082 de 2015, adicionado </w:t>
      </w:r>
      <w:r w:rsidRPr="00EC153F">
        <w:rPr>
          <w:rFonts w:ascii="Arial" w:hAnsi="Arial" w:eastAsia="Arial" w:cs="Times New Roman"/>
          <w:bCs/>
          <w:sz w:val="20"/>
          <w:lang w:val="es-MX"/>
        </w:rPr>
        <w:t xml:space="preserve">por el Decreto 680 de 2021. </w:t>
      </w:r>
    </w:p>
    <w:p w:rsidRPr="00EC153F" w:rsidR="00EC153F" w:rsidP="00EC153F" w:rsidRDefault="00EC153F" w14:paraId="7133F42D" w14:textId="77777777">
      <w:pPr>
        <w:spacing w:after="0" w:line="240" w:lineRule="auto"/>
        <w:jc w:val="both"/>
        <w:rPr>
          <w:rFonts w:ascii="Arial" w:hAnsi="Arial" w:eastAsia="Arial" w:cs="Times New Roman"/>
          <w:bCs/>
          <w:sz w:val="20"/>
          <w:lang w:val="es-MX"/>
        </w:rPr>
      </w:pPr>
    </w:p>
    <w:p w:rsidRPr="00EC153F" w:rsidR="00EC153F" w:rsidP="00EC153F" w:rsidRDefault="00EC153F" w14:paraId="712B5A88" w14:textId="77777777">
      <w:pPr>
        <w:spacing w:after="0" w:line="240" w:lineRule="auto"/>
        <w:jc w:val="both"/>
        <w:rPr>
          <w:rFonts w:ascii="Arial" w:hAnsi="Arial" w:eastAsia="Arial" w:cs="Times New Roman"/>
          <w:bCs/>
          <w:sz w:val="20"/>
          <w:lang w:val="es-MX"/>
        </w:rPr>
      </w:pPr>
      <w:r w:rsidRPr="00EC153F">
        <w:rPr>
          <w:rFonts w:ascii="Arial" w:hAnsi="Arial" w:eastAsia="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rsidRPr="00EC153F" w:rsidR="00EC153F" w:rsidP="00EC153F" w:rsidRDefault="00EC153F" w14:paraId="273CFABC" w14:textId="77777777">
      <w:pPr>
        <w:spacing w:after="0" w:line="240" w:lineRule="auto"/>
        <w:jc w:val="both"/>
        <w:rPr>
          <w:rFonts w:ascii="Arial" w:hAnsi="Arial" w:eastAsia="Arial" w:cs="Times New Roman"/>
          <w:bCs/>
          <w:sz w:val="20"/>
          <w:lang w:val="es-MX"/>
        </w:rPr>
      </w:pPr>
    </w:p>
    <w:p w:rsidRPr="00EC153F" w:rsidR="00EC153F" w:rsidP="00EC153F" w:rsidRDefault="00EC153F" w14:paraId="696BC45A" w14:textId="77777777">
      <w:pPr>
        <w:spacing w:after="0" w:line="240" w:lineRule="auto"/>
        <w:jc w:val="both"/>
        <w:rPr>
          <w:rFonts w:ascii="Arial" w:hAnsi="Arial" w:eastAsia="Arial" w:cs="Times New Roman"/>
          <w:sz w:val="20"/>
          <w:lang w:val="es-MX"/>
        </w:rPr>
      </w:pPr>
      <w:r w:rsidRPr="00EC153F">
        <w:rPr>
          <w:rFonts w:ascii="Arial" w:hAnsi="Arial" w:eastAsia="Arial" w:cs="Times New Roman"/>
          <w:sz w:val="20"/>
          <w:lang w:val="es-MX"/>
        </w:rPr>
        <w:t xml:space="preserve">Para determinar los bienes nacionales relevantes, la Entidad tendrá en cuenta tanto los </w:t>
      </w:r>
      <w:r w:rsidRPr="00EC153F">
        <w:rPr>
          <w:rFonts w:ascii="Arial" w:hAnsi="Arial" w:eastAsia="Arial" w:cs="Times New Roman"/>
          <w:i/>
          <w:iCs/>
          <w:sz w:val="20"/>
          <w:lang w:val="es-MX"/>
        </w:rPr>
        <w:t>insumos</w:t>
      </w:r>
      <w:r w:rsidRPr="00EC153F">
        <w:rPr>
          <w:rFonts w:ascii="Arial" w:hAnsi="Arial" w:eastAsia="Arial" w:cs="Times New Roman"/>
          <w:sz w:val="20"/>
          <w:lang w:val="es-MX"/>
        </w:rPr>
        <w:t xml:space="preserve"> como los materiales producidos con dichos insumos, tal como se presenta de forma enunciativa a continuación: </w:t>
      </w:r>
    </w:p>
    <w:p w:rsidR="00EC153F" w:rsidP="00EC153F" w:rsidRDefault="00EC153F" w14:paraId="78FA5617" w14:textId="1B238E57">
      <w:pPr>
        <w:tabs>
          <w:tab w:val="left" w:pos="1134"/>
        </w:tabs>
        <w:spacing w:after="0" w:line="240" w:lineRule="auto"/>
        <w:ind w:left="502"/>
        <w:contextualSpacing/>
        <w:jc w:val="both"/>
        <w:rPr>
          <w:rFonts w:ascii="Arial" w:hAnsi="Arial" w:eastAsia="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Pr="009E1A9B" w:rsidR="009E1A9B" w:rsidTr="009E1A9B" w14:paraId="62340968" w14:textId="77777777">
        <w:trPr>
          <w:trHeight w:val="290"/>
          <w:tblHeader/>
        </w:trPr>
        <w:tc>
          <w:tcPr>
            <w:tcW w:w="1471" w:type="pct"/>
            <w:vMerge w:val="restart"/>
            <w:tcBorders>
              <w:top w:val="single" w:color="auto" w:sz="4" w:space="0"/>
              <w:left w:val="single" w:color="auto" w:sz="4" w:space="0"/>
              <w:bottom w:val="single" w:color="auto" w:sz="4" w:space="0"/>
              <w:right w:val="single" w:color="auto" w:sz="4" w:space="0"/>
            </w:tcBorders>
            <w:shd w:val="clear" w:color="auto" w:fill="B8B7B7"/>
            <w:vAlign w:val="center"/>
            <w:hideMark/>
          </w:tcPr>
          <w:p w:rsidRPr="009E1A9B" w:rsidR="009E1A9B" w:rsidP="009E1A9B" w:rsidRDefault="009E1A9B" w14:paraId="5EB016EB"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TIPO DE INFRAESTRUCTURA DE TRANSPORTE</w:t>
            </w:r>
          </w:p>
        </w:tc>
        <w:tc>
          <w:tcPr>
            <w:tcW w:w="3529" w:type="pct"/>
            <w:gridSpan w:val="2"/>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246C1A27"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LISTADO DE BIENES COLOMBIANOS RELEVANTES SECTOR TRANSPORTE</w:t>
            </w:r>
          </w:p>
        </w:tc>
      </w:tr>
      <w:tr w:rsidRPr="009E1A9B" w:rsidR="009E1A9B" w:rsidTr="009E1A9B" w14:paraId="4797E5F3" w14:textId="77777777">
        <w:trPr>
          <w:trHeight w:val="290"/>
          <w:tblHeader/>
        </w:trPr>
        <w:tc>
          <w:tcPr>
            <w:tcW w:w="1471" w:type="pct"/>
            <w:vMerge/>
            <w:tcBorders>
              <w:top w:val="single" w:color="auto" w:sz="4" w:space="0"/>
              <w:left w:val="single" w:color="auto" w:sz="4" w:space="0"/>
              <w:bottom w:val="single" w:color="auto" w:sz="4" w:space="0"/>
              <w:right w:val="single" w:color="auto" w:sz="4" w:space="0"/>
            </w:tcBorders>
            <w:shd w:val="clear" w:color="auto" w:fill="B8B7B7"/>
            <w:vAlign w:val="center"/>
            <w:hideMark/>
          </w:tcPr>
          <w:p w:rsidRPr="009E1A9B" w:rsidR="009E1A9B" w:rsidP="009E1A9B" w:rsidRDefault="009E1A9B" w14:paraId="0159C050"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6B337542"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Insumos</w:t>
            </w:r>
          </w:p>
        </w:tc>
        <w:tc>
          <w:tcPr>
            <w:tcW w:w="1765" w:type="pct"/>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302647A9"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Elementos o materiales producidos</w:t>
            </w:r>
          </w:p>
        </w:tc>
      </w:tr>
      <w:tr w:rsidRPr="009E1A9B" w:rsidR="009E1A9B" w:rsidTr="00E82E2E" w14:paraId="2C78D5A6"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295D8707"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 xml:space="preserve">1. OBRAS EN VÍAS PRIMARIAS O SECUNDARIAS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411D2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ACB834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06617B7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A90F62"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BFE06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E113D1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2812C58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4CB45F8"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54839F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E3E69D"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7717EFC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330206F"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859271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F3DF62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75C00B9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C55BFEA"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0B0572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80BBF8A"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655A52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3888C0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708DA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0F6565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89F371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52708C4"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5882AE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63E3E39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066146B6"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4F10D394"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2. OBRAS EN VÍAS TERCIARIAS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391C26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DB1FD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5AD82E4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CE27228"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64251A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9436DC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5F5E81C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756890"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D392A5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5191C45"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0529B9D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7A54266"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9F1291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3C2D9C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090843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CCBC520"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05629C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8E7AC3"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3F9F2FC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D1D51A9"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D2797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D8B99F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7C74D49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8F83629"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542B96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BD0987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5EAAFBCD"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290D28EF"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3. OBRAS MARÍTIMAS Y FLUVIALES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8E81E9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EA181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Draga</w:t>
            </w:r>
          </w:p>
        </w:tc>
      </w:tr>
      <w:tr w:rsidRPr="009E1A9B" w:rsidR="009E1A9B" w:rsidTr="00E82E2E" w14:paraId="24D0F06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08AD26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8B64E3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4E4B3C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68F57B2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EA32123"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33B42B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37C0C6D"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238EA61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C83556D"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570F58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8878C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014F2BB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8594FF"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9B1C4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3D2994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05D353C9"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54D9733"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1CAE597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7AA282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377EDF44"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174203EA"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A9CDCD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ED0B36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765ABA22"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4808AD"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81879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33AEB1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7F191A9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A39B32"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C8595E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BD5408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lanzado</w:t>
            </w:r>
          </w:p>
        </w:tc>
      </w:tr>
      <w:tr w:rsidRPr="009E1A9B" w:rsidR="009E1A9B" w:rsidTr="00E82E2E" w14:paraId="2D9B0FA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11DD86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1033D6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56B644"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0F9906A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0B4D91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F9AD5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7A9B0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5BB066D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CA1CCBF"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638BA8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959236A"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167ECAD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65E49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4FFBF0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24FB27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Mallas electrosoldadas</w:t>
            </w:r>
          </w:p>
        </w:tc>
      </w:tr>
      <w:tr w:rsidRPr="009E1A9B" w:rsidR="009E1A9B" w:rsidTr="00E82E2E" w14:paraId="7C4E56A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3754E6"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AC0AC0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C949CC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4931C5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4601E63"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567A996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85BCB4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476D10C7"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AB4225C"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5. OBRAS FÉRREAS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B96DF9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60C783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F0DF6A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E29759D"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791E14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27C211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415215E3"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5BB235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7481B9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4587A2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4445C7D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51E6D66"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57A3E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6C383B3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50A53F1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40F4E01"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30553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Madera</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B427C3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7991B10E"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6E7377FA" w14:textId="77777777">
            <w:pPr>
              <w:spacing w:after="0" w:line="240" w:lineRule="auto"/>
              <w:jc w:val="center"/>
              <w:rPr>
                <w:rFonts w:ascii="Arial" w:hAnsi="Arial" w:eastAsia="Times New Roman" w:cs="Arial"/>
                <w:b/>
                <w:color w:val="000000"/>
                <w:sz w:val="18"/>
                <w:szCs w:val="18"/>
                <w:lang w:val="pt-BR" w:eastAsia="es-CO"/>
              </w:rPr>
            </w:pPr>
            <w:r w:rsidRPr="009E1A9B">
              <w:rPr>
                <w:rFonts w:ascii="Arial" w:hAnsi="Arial" w:eastAsia="Times New Roman" w:cs="Arial"/>
                <w:b/>
                <w:color w:val="000000"/>
                <w:sz w:val="18"/>
                <w:szCs w:val="18"/>
                <w:lang w:val="pt-BR" w:eastAsia="es-CO"/>
              </w:rPr>
              <w:t xml:space="preserve">6. OBRAS DE INFRAESTRUCTURA VIAL URBANA. </w:t>
            </w:r>
            <w:r w:rsidRPr="009E1A9B">
              <w:rPr>
                <w:rFonts w:ascii="Arial" w:hAnsi="Arial" w:eastAsia="Times New Roman" w:cs="Arial"/>
                <w:b/>
                <w:color w:val="000000"/>
                <w:sz w:val="18"/>
                <w:szCs w:val="18"/>
                <w:lang w:val="pt-BR" w:eastAsia="es-CO"/>
              </w:rPr>
              <w:br/>
            </w:r>
            <w:r w:rsidRPr="009E1A9B">
              <w:rPr>
                <w:rFonts w:ascii="Arial" w:hAnsi="Arial" w:eastAsia="Times New Roman" w:cs="Arial"/>
                <w:b/>
                <w:color w:val="000000"/>
                <w:sz w:val="18"/>
                <w:szCs w:val="18"/>
                <w:lang w:val="pt-BR" w:eastAsia="es-CO"/>
              </w:rPr>
              <w:t xml:space="preserve">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ECEAB5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9908D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58A16C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5425773"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D21D03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53E787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11E868DC"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3D7544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6C8176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536C9CC"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588F6E3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C0B79E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F50F67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00C727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3AD0E31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84C014"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CC96F4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6BF7AA5"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1FB7F59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AA47FF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3CEBAD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CE2B14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232FB922"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F54906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35436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68451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1CA6C45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8DE1A26"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B9E2AF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DE3865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4907226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4C7827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4E4096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B49CB4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1CF1DE07"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1BEABB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ACD97F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C4ACEF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095AFD42"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5DF6A4B"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7. OBRAS EN PUENTES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6FD781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F5EB9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4BBCAE6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2B28FD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743F94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5BFD78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04A8428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07CC85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E1EA0A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805E17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1EE6897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60C8E15"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AB3841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3DF0C4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3D57FD2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D3437E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751701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A44D2C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1B3027E9"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396C229"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9A3A3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5CAABD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6CA1827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177DB54"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0E25FC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254DCA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32C2360C"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B1768AD"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8. OBRAS AEROPORTUARIAS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C176D1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9C2018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0B2EB23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FA02A3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7FB71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9F37D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2D621E4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78944C"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1DDDBA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741ABA0"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12DF9ED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83034B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C63A07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51071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51EB1E5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7DD2F1E"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B654E4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8795629"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393AF88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3F6BE7A"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BF618D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B2518F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3983D37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65CE2C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474CBA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FB68E7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67DF8CF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54D946"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F1FFFC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9A3B19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1FA28F3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630E88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1D547CD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D465E7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1AE6C7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A5DDDBE"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E109FE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D377F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bl>
    <w:p w:rsidRPr="00152E47" w:rsidR="009E1A9B" w:rsidP="00EC153F" w:rsidRDefault="009E1A9B" w14:paraId="3E186271"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sectPr w:rsidRPr="00152E47" w:rsidR="009E1A9B">
      <w:headerReference w:type="default" r:id="rId12"/>
      <w:footerReference w:type="default" r:id="rId13"/>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D62C7" w:rsidP="00EC30DA" w:rsidRDefault="008D62C7" w14:paraId="54621183" w14:textId="77777777">
      <w:pPr>
        <w:spacing w:after="0" w:line="240" w:lineRule="auto"/>
      </w:pPr>
      <w:r>
        <w:separator/>
      </w:r>
    </w:p>
  </w:endnote>
  <w:endnote w:type="continuationSeparator" w:id="0">
    <w:p w:rsidR="008D62C7" w:rsidP="00EC30DA" w:rsidRDefault="008D62C7" w14:paraId="22810A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836"/>
      <w:gridCol w:w="1872"/>
      <w:gridCol w:w="942"/>
      <w:gridCol w:w="317"/>
    </w:tblGrid>
    <w:tr w:rsidRPr="00921956" w:rsidR="00921956" w:rsidTr="00E82E2E" w14:paraId="3BA3F3A4" w14:textId="77777777">
      <w:trPr>
        <w:trHeight w:val="220"/>
      </w:trPr>
      <w:tc>
        <w:tcPr>
          <w:tcW w:w="969"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6D12D19B" w14:textId="77777777">
          <w:pPr>
            <w:spacing w:after="4" w:line="247" w:lineRule="auto"/>
            <w:ind w:left="10" w:hanging="10"/>
            <w:rPr>
              <w:rFonts w:ascii="Arial" w:hAnsi="Arial" w:eastAsia="Arial" w:cs="Arial"/>
              <w:b/>
              <w:sz w:val="18"/>
              <w:szCs w:val="18"/>
              <w:lang w:eastAsia="es-CO"/>
            </w:rPr>
          </w:pPr>
          <w:r w:rsidRPr="00921956">
            <w:rPr>
              <w:rFonts w:ascii="Arial" w:hAnsi="Arial" w:eastAsia="Arial" w:cs="Arial"/>
              <w:b/>
              <w:sz w:val="18"/>
              <w:szCs w:val="18"/>
              <w:lang w:eastAsia="es-CO"/>
            </w:rPr>
            <w:t>Código</w:t>
          </w:r>
        </w:p>
      </w:tc>
      <w:tc>
        <w:tcPr>
          <w:tcW w:w="2424"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060021D2" w14:textId="77777777">
          <w:pPr>
            <w:spacing w:after="4" w:line="247" w:lineRule="auto"/>
            <w:ind w:left="10" w:hanging="10"/>
            <w:rPr>
              <w:rFonts w:ascii="Arial" w:hAnsi="Arial" w:eastAsia="Arial" w:cs="Arial"/>
              <w:sz w:val="18"/>
              <w:szCs w:val="18"/>
              <w:lang w:eastAsia="es-CO"/>
            </w:rPr>
          </w:pPr>
          <w:r w:rsidRPr="00921956">
            <w:rPr>
              <w:rFonts w:ascii="Arial" w:hAnsi="Arial" w:eastAsia="Arial" w:cs="Arial"/>
              <w:sz w:val="18"/>
              <w:szCs w:val="18"/>
              <w:lang w:eastAsia="es-CO"/>
            </w:rPr>
            <w:t>CCE-EICP-FM-120</w:t>
          </w:r>
        </w:p>
      </w:tc>
      <w:tc>
        <w:tcPr>
          <w:tcW w:w="1250"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4E1E282A" w14:textId="77777777">
          <w:pPr>
            <w:spacing w:after="4" w:line="247" w:lineRule="auto"/>
            <w:ind w:left="10" w:hanging="10"/>
            <w:jc w:val="center"/>
            <w:rPr>
              <w:rFonts w:ascii="Arial" w:hAnsi="Arial" w:eastAsia="Arial" w:cs="Arial"/>
              <w:b/>
              <w:sz w:val="18"/>
              <w:szCs w:val="18"/>
              <w:lang w:eastAsia="es-CO"/>
            </w:rPr>
          </w:pPr>
          <w:r w:rsidRPr="00921956">
            <w:rPr>
              <w:rFonts w:ascii="Arial" w:hAnsi="Arial" w:eastAsia="Arial" w:cs="Arial"/>
              <w:b/>
              <w:sz w:val="18"/>
              <w:szCs w:val="18"/>
              <w:lang w:eastAsia="es-CO"/>
            </w:rPr>
            <w:t>Versión</w:t>
          </w:r>
        </w:p>
      </w:tc>
      <w:tc>
        <w:tcPr>
          <w:tcW w:w="357"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75F7B9E8" w14:textId="77777777">
          <w:pPr>
            <w:spacing w:after="4" w:line="247" w:lineRule="auto"/>
            <w:ind w:left="10" w:hanging="10"/>
            <w:rPr>
              <w:rFonts w:ascii="Arial" w:hAnsi="Arial" w:eastAsia="Arial" w:cs="Arial"/>
              <w:sz w:val="18"/>
              <w:szCs w:val="18"/>
              <w:lang w:eastAsia="es-CO"/>
            </w:rPr>
          </w:pPr>
          <w:r w:rsidRPr="00921956">
            <w:rPr>
              <w:rFonts w:ascii="Arial" w:hAnsi="Arial" w:eastAsia="Arial" w:cs="Arial"/>
              <w:sz w:val="18"/>
              <w:szCs w:val="18"/>
              <w:lang w:eastAsia="es-CO"/>
            </w:rPr>
            <w:t>1</w:t>
          </w:r>
        </w:p>
      </w:tc>
    </w:tr>
  </w:tbl>
  <w:p w:rsidR="00921956" w:rsidRDefault="00921956" w14:paraId="7B202C6B"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D62C7" w:rsidP="00EC30DA" w:rsidRDefault="008D62C7" w14:paraId="27BE7B97" w14:textId="77777777">
      <w:pPr>
        <w:spacing w:after="0" w:line="240" w:lineRule="auto"/>
      </w:pPr>
      <w:r>
        <w:separator/>
      </w:r>
    </w:p>
  </w:footnote>
  <w:footnote w:type="continuationSeparator" w:id="0">
    <w:p w:rsidR="008D62C7" w:rsidP="00EC30DA" w:rsidRDefault="008D62C7" w14:paraId="540BD44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97"/>
      <w:gridCol w:w="4551"/>
      <w:gridCol w:w="953"/>
      <w:gridCol w:w="2036"/>
    </w:tblGrid>
    <w:tr w:rsidRPr="002867D6" w:rsidR="002867D6" w:rsidTr="5BE87DF5" w14:paraId="534A7A6F" w14:textId="77777777">
      <w:trPr>
        <w:trHeight w:val="146"/>
        <w:jc w:val="center"/>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5B89710F" w14:textId="77777777">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rsidRPr="002867D6" w:rsidR="002867D6" w:rsidP="5BE87DF5" w:rsidRDefault="002867D6" w14:paraId="42C3240A" w14:textId="3B10B022">
          <w:pPr>
            <w:tabs>
              <w:tab w:val="center" w:pos="4419"/>
              <w:tab w:val="right" w:pos="8838"/>
            </w:tabs>
            <w:jc w:val="center"/>
            <w:rPr>
              <w:rFonts w:ascii="Arial" w:hAnsi="Arial" w:cs="Arial"/>
              <w:b w:val="1"/>
              <w:bCs w:val="1"/>
              <w:sz w:val="16"/>
              <w:szCs w:val="16"/>
            </w:rPr>
          </w:pPr>
          <w:r w:rsidRPr="5BE87DF5" w:rsidR="5BE87DF5">
            <w:rPr>
              <w:rFonts w:ascii="Arial" w:hAnsi="Arial" w:cs="Arial"/>
              <w:b w:val="1"/>
              <w:bCs w:val="1"/>
              <w:sz w:val="16"/>
              <w:szCs w:val="16"/>
            </w:rPr>
            <w:t xml:space="preserve">OBRA PÚBLICA DE INFRAESTRUCTURA DE </w:t>
          </w:r>
          <w:r w:rsidRPr="5BE87DF5" w:rsidR="5BE87DF5">
            <w:rPr>
              <w:rFonts w:ascii="Arial" w:hAnsi="Arial" w:cs="Arial"/>
              <w:b w:val="1"/>
              <w:bCs w:val="1"/>
              <w:sz w:val="16"/>
              <w:szCs w:val="16"/>
            </w:rPr>
            <w:t xml:space="preserve">SOCIAL </w:t>
          </w:r>
        </w:p>
      </w:tc>
    </w:tr>
    <w:tr w:rsidRPr="002867D6" w:rsidR="002867D6" w:rsidTr="5BE87DF5" w14:paraId="0C8E34A0" w14:textId="77777777">
      <w:trPr>
        <w:trHeight w:val="234"/>
        <w:jc w:val="center"/>
      </w:trPr>
      <w:tc>
        <w:tcPr>
          <w:tcW w:w="734"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6B47D641" w14:textId="77777777">
          <w:pPr>
            <w:spacing w:after="4" w:line="247" w:lineRule="auto"/>
            <w:ind w:left="10" w:hanging="10"/>
            <w:jc w:val="both"/>
            <w:rPr>
              <w:rFonts w:ascii="Arial" w:hAnsi="Arial" w:eastAsia="Arial" w:cs="Arial"/>
              <w:b/>
              <w:sz w:val="18"/>
              <w:szCs w:val="18"/>
            </w:rPr>
          </w:pPr>
          <w:r w:rsidRPr="002867D6">
            <w:rPr>
              <w:rFonts w:ascii="Arial" w:hAnsi="Arial" w:eastAsia="Arial" w:cs="Arial"/>
              <w:b/>
              <w:sz w:val="18"/>
              <w:szCs w:val="18"/>
            </w:rPr>
            <w:t>Código</w:t>
          </w:r>
        </w:p>
      </w:tc>
      <w:tc>
        <w:tcPr>
          <w:tcW w:w="2575"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3DF364F7" w14:textId="77777777">
          <w:pPr>
            <w:spacing w:after="4" w:line="247" w:lineRule="auto"/>
            <w:ind w:left="10" w:hanging="10"/>
            <w:jc w:val="both"/>
            <w:rPr>
              <w:rFonts w:ascii="Arial" w:hAnsi="Arial" w:eastAsia="Arial" w:cs="Arial"/>
              <w:sz w:val="16"/>
              <w:szCs w:val="16"/>
            </w:rPr>
          </w:pPr>
          <w:r w:rsidRPr="002867D6">
            <w:rPr>
              <w:rFonts w:ascii="Arial" w:hAnsi="Arial" w:eastAsia="Arial" w:cs="Arial"/>
              <w:sz w:val="16"/>
              <w:szCs w:val="16"/>
            </w:rPr>
            <w:t>CCE-EICP-FM-120</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3D751A31" w14:textId="77777777">
          <w:pPr>
            <w:spacing w:after="4" w:line="247" w:lineRule="auto"/>
            <w:ind w:left="10" w:hanging="10"/>
            <w:jc w:val="center"/>
            <w:rPr>
              <w:rFonts w:ascii="Arial" w:hAnsi="Arial" w:eastAsia="Arial" w:cs="Arial"/>
              <w:b/>
              <w:sz w:val="16"/>
              <w:szCs w:val="16"/>
            </w:rPr>
          </w:pPr>
          <w:r w:rsidRPr="002867D6">
            <w:rPr>
              <w:rFonts w:ascii="Arial" w:hAnsi="Arial" w:eastAsia="Arial" w:cs="Arial"/>
              <w:b/>
              <w:sz w:val="16"/>
              <w:szCs w:val="16"/>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507AA80F" w14:textId="77777777">
          <w:pPr>
            <w:spacing w:after="4" w:line="247" w:lineRule="auto"/>
            <w:ind w:left="10" w:hanging="10"/>
            <w:jc w:val="both"/>
            <w:rPr>
              <w:rFonts w:ascii="Arial" w:hAnsi="Arial" w:eastAsia="Arial" w:cs="Arial"/>
              <w:sz w:val="16"/>
              <w:szCs w:val="16"/>
            </w:rPr>
          </w:pPr>
          <w:r w:rsidRPr="002867D6">
            <w:rPr>
              <w:rFonts w:ascii="Arial" w:hAnsi="Arial" w:eastAsia="Arial" w:cs="Arial"/>
              <w:sz w:val="16"/>
              <w:szCs w:val="16"/>
            </w:rPr>
            <w:fldChar w:fldCharType="begin"/>
          </w:r>
          <w:r w:rsidRPr="002867D6">
            <w:rPr>
              <w:rFonts w:ascii="Arial" w:hAnsi="Arial" w:eastAsia="Arial" w:cs="Arial"/>
              <w:sz w:val="16"/>
              <w:szCs w:val="16"/>
            </w:rPr>
            <w:instrText xml:space="preserve"> PAGE </w:instrText>
          </w:r>
          <w:r w:rsidRPr="002867D6">
            <w:rPr>
              <w:rFonts w:ascii="Arial" w:hAnsi="Arial" w:eastAsia="Arial" w:cs="Arial"/>
              <w:sz w:val="16"/>
              <w:szCs w:val="16"/>
            </w:rPr>
            <w:fldChar w:fldCharType="separate"/>
          </w:r>
          <w:r w:rsidRPr="002867D6">
            <w:rPr>
              <w:rFonts w:ascii="Arial" w:hAnsi="Arial" w:eastAsia="Arial" w:cs="Arial"/>
              <w:sz w:val="16"/>
              <w:szCs w:val="16"/>
            </w:rPr>
            <w:t>20</w:t>
          </w:r>
          <w:r w:rsidRPr="002867D6">
            <w:rPr>
              <w:rFonts w:ascii="Arial" w:hAnsi="Arial" w:eastAsia="Arial" w:cs="Arial"/>
              <w:sz w:val="16"/>
              <w:szCs w:val="16"/>
            </w:rPr>
            <w:fldChar w:fldCharType="end"/>
          </w:r>
          <w:r w:rsidRPr="002867D6">
            <w:rPr>
              <w:rFonts w:ascii="Arial" w:hAnsi="Arial" w:eastAsia="Arial" w:cs="Arial"/>
              <w:sz w:val="16"/>
              <w:szCs w:val="16"/>
            </w:rPr>
            <w:t xml:space="preserve"> de </w:t>
          </w:r>
          <w:r w:rsidRPr="002867D6">
            <w:rPr>
              <w:rFonts w:ascii="Arial" w:hAnsi="Arial" w:eastAsia="Arial" w:cs="Arial"/>
              <w:sz w:val="16"/>
              <w:szCs w:val="16"/>
            </w:rPr>
            <w:fldChar w:fldCharType="begin"/>
          </w:r>
          <w:r w:rsidRPr="002867D6">
            <w:rPr>
              <w:rFonts w:ascii="Arial" w:hAnsi="Arial" w:eastAsia="Arial" w:cs="Arial"/>
              <w:sz w:val="16"/>
              <w:szCs w:val="16"/>
            </w:rPr>
            <w:instrText xml:space="preserve"> NUMPAGES </w:instrText>
          </w:r>
          <w:r w:rsidRPr="002867D6">
            <w:rPr>
              <w:rFonts w:ascii="Arial" w:hAnsi="Arial" w:eastAsia="Arial" w:cs="Arial"/>
              <w:sz w:val="16"/>
              <w:szCs w:val="16"/>
            </w:rPr>
            <w:fldChar w:fldCharType="separate"/>
          </w:r>
          <w:r w:rsidRPr="002867D6">
            <w:rPr>
              <w:rFonts w:ascii="Arial" w:hAnsi="Arial" w:eastAsia="Arial" w:cs="Arial"/>
              <w:sz w:val="16"/>
              <w:szCs w:val="16"/>
            </w:rPr>
            <w:t>20</w:t>
          </w:r>
          <w:r w:rsidRPr="002867D6">
            <w:rPr>
              <w:rFonts w:ascii="Arial" w:hAnsi="Arial" w:eastAsia="Arial" w:cs="Arial"/>
              <w:sz w:val="16"/>
              <w:szCs w:val="16"/>
            </w:rPr>
            <w:fldChar w:fldCharType="end"/>
          </w:r>
        </w:p>
      </w:tc>
    </w:tr>
    <w:tr w:rsidRPr="002867D6" w:rsidR="002867D6" w:rsidTr="5BE87DF5" w14:paraId="59DC865C" w14:textId="77777777">
      <w:trPr>
        <w:trHeight w:val="73"/>
        <w:jc w:val="center"/>
      </w:trPr>
      <w:tc>
        <w:tcPr>
          <w:tcW w:w="734"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46858430" w14:textId="77777777">
          <w:pPr>
            <w:spacing w:after="4" w:line="247" w:lineRule="auto"/>
            <w:ind w:left="10" w:hanging="10"/>
            <w:jc w:val="both"/>
            <w:rPr>
              <w:rFonts w:ascii="Arial" w:hAnsi="Arial" w:eastAsia="Arial" w:cs="Arial"/>
              <w:b/>
              <w:sz w:val="18"/>
              <w:szCs w:val="18"/>
            </w:rPr>
          </w:pPr>
          <w:r w:rsidRPr="002867D6">
            <w:rPr>
              <w:rFonts w:ascii="Arial" w:hAnsi="Arial" w:eastAsia="Arial" w:cs="Arial"/>
              <w:b/>
              <w:sz w:val="18"/>
              <w:szCs w:val="18"/>
            </w:rPr>
            <w:t>Versión No.</w:t>
          </w:r>
        </w:p>
      </w:tc>
      <w:tc>
        <w:tcPr>
          <w:tcW w:w="4266" w:type="pct"/>
          <w:gridSpan w:val="3"/>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0B2D09C5" w14:textId="77777777">
          <w:pPr>
            <w:spacing w:after="4" w:line="247" w:lineRule="auto"/>
            <w:ind w:left="10" w:hanging="10"/>
            <w:jc w:val="both"/>
            <w:rPr>
              <w:rFonts w:ascii="Arial" w:hAnsi="Arial" w:eastAsia="Arial" w:cs="Arial"/>
              <w:sz w:val="16"/>
              <w:szCs w:val="16"/>
            </w:rPr>
          </w:pPr>
          <w:r w:rsidRPr="002867D6">
            <w:rPr>
              <w:rFonts w:ascii="Arial" w:hAnsi="Arial" w:eastAsia="Arial" w:cs="Arial"/>
              <w:sz w:val="16"/>
              <w:szCs w:val="16"/>
            </w:rPr>
            <w:t>1</w:t>
          </w:r>
        </w:p>
      </w:tc>
    </w:tr>
  </w:tbl>
  <w:p w:rsidR="002867D6" w:rsidRDefault="002867D6" w14:paraId="57BAAD2C"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hint="default" w:ascii="Arial" w:hAnsi="Arial" w:cs="Arial" w:eastAsiaTheme="minorHAnsi"/>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hint="default" w:ascii="Arial" w:hAnsi="Arial" w:cs="Arial" w:eastAsiaTheme="minorHAnsi"/>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226992211">
    <w:abstractNumId w:val="0"/>
  </w:num>
  <w:num w:numId="2" w16cid:durableId="39270281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6"/>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124A4D"/>
    <w:rsid w:val="00152E47"/>
    <w:rsid w:val="002867D6"/>
    <w:rsid w:val="003B3739"/>
    <w:rsid w:val="00440605"/>
    <w:rsid w:val="00583AE8"/>
    <w:rsid w:val="0068540B"/>
    <w:rsid w:val="00862F10"/>
    <w:rsid w:val="008A4831"/>
    <w:rsid w:val="008D62C7"/>
    <w:rsid w:val="008E0BB5"/>
    <w:rsid w:val="00921956"/>
    <w:rsid w:val="00974AC8"/>
    <w:rsid w:val="009E1A9B"/>
    <w:rsid w:val="00A17713"/>
    <w:rsid w:val="00A76A0A"/>
    <w:rsid w:val="00AD46BF"/>
    <w:rsid w:val="00B1141A"/>
    <w:rsid w:val="00CE23D6"/>
    <w:rsid w:val="00D72554"/>
    <w:rsid w:val="00DA4845"/>
    <w:rsid w:val="00EC153F"/>
    <w:rsid w:val="00EC30DA"/>
    <w:rsid w:val="5BE87DF5"/>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2867D6"/>
  </w:style>
  <w:style w:type="table" w:styleId="Cuadrculadetablaclara11" w:customStyle="1">
    <w:name w:val="Cuadrícula de tabla clara11"/>
    <w:basedOn w:val="Tablanormal"/>
    <w:next w:val="Tablaconcuadrculaclara"/>
    <w:uiPriority w:val="99"/>
    <w:rsid w:val="002867D6"/>
    <w:pPr>
      <w:spacing w:after="0" w:line="240" w:lineRule="auto"/>
    </w:pPr>
    <w:rPr>
      <w:rFonts w:ascii="Calibri" w:hAnsi="Calibri" w:eastAsia="Calibri" w:cs="Times New Roman"/>
      <w:lang w:val="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2867D6"/>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Cuadrculadetablaclara1" w:customStyle="1">
    <w:name w:val="Cuadrícula de tabla clara1"/>
    <w:basedOn w:val="Tablanormal"/>
    <w:next w:val="Tablaconcuadrculaclara"/>
    <w:uiPriority w:val="99"/>
    <w:rsid w:val="00921956"/>
    <w:pPr>
      <w:spacing w:after="0" w:line="240" w:lineRule="auto"/>
    </w:pPr>
    <w:rPr>
      <w:rFonts w:ascii="Calibri" w:hAnsi="Calibri" w:eastAsia="Calibri" w:cs="Times New Roman"/>
      <w:lang w:val="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C89FE4BC-DC16-461F-9610-C42041295A2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 Milena Nuñez Aldana</dc:creator>
  <keywords/>
  <dc:description/>
  <lastModifiedBy>Adriana Katerine Lopez Rodriguez</lastModifiedBy>
  <revision>3</revision>
  <lastPrinted>2021-10-06T14:45:00.0000000Z</lastPrinted>
  <dcterms:created xsi:type="dcterms:W3CDTF">2022-08-01T21:31:00.0000000Z</dcterms:created>
  <dcterms:modified xsi:type="dcterms:W3CDTF">2024-12-17T17:37:32.6958270Z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